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2404" w14:textId="1ECDBF37" w:rsidR="00EB0050" w:rsidRPr="00305E0F" w:rsidRDefault="00B02122">
      <w:pPr>
        <w:pStyle w:val="P68B1DB1-Normal1"/>
        <w:spacing w:after="0" w:line="240" w:lineRule="auto"/>
        <w:ind w:firstLine="567"/>
        <w:jc w:val="right"/>
        <w:rPr>
          <w:lang w:val="en-GB"/>
        </w:rPr>
      </w:pPr>
      <w:r w:rsidRPr="00305E0F">
        <w:rPr>
          <w:lang w:val="en-GB"/>
        </w:rPr>
        <w:t>EU</w:t>
      </w:r>
    </w:p>
    <w:p w14:paraId="597F71EA" w14:textId="77777777" w:rsidR="00EB0050" w:rsidRPr="00305E0F" w:rsidRDefault="00EB0050">
      <w:pPr>
        <w:spacing w:after="0" w:line="240" w:lineRule="auto"/>
        <w:rPr>
          <w:rFonts w:ascii="Times New Roman" w:eastAsia="Times New Roman" w:hAnsi="Times New Roman" w:cs="Times New Roman"/>
          <w:b/>
          <w:bCs/>
          <w:sz w:val="24"/>
          <w:szCs w:val="24"/>
          <w:lang w:val="en-GB"/>
        </w:rPr>
      </w:pPr>
    </w:p>
    <w:p w14:paraId="1AD33D72" w14:textId="7C273956" w:rsidR="00EB0050" w:rsidRPr="00305E0F" w:rsidRDefault="00594C05">
      <w:pPr>
        <w:pStyle w:val="P68B1DB1-Normal1"/>
        <w:jc w:val="center"/>
        <w:rPr>
          <w:lang w:val="en-GB"/>
        </w:rPr>
      </w:pPr>
      <w:bookmarkStart w:id="0" w:name="_Hlk175317190"/>
      <w:r w:rsidRPr="00305E0F">
        <w:rPr>
          <w:lang w:val="en-GB"/>
        </w:rPr>
        <w:t>NATIONAL BANK OF MOLDOVA</w:t>
      </w:r>
    </w:p>
    <w:p w14:paraId="2B32A928" w14:textId="77777777" w:rsidR="00EB0050" w:rsidRPr="00305E0F" w:rsidRDefault="00EB0050">
      <w:pPr>
        <w:spacing w:after="0" w:line="240" w:lineRule="auto"/>
        <w:jc w:val="center"/>
        <w:rPr>
          <w:rFonts w:ascii="Times New Roman" w:eastAsia="Times New Roman" w:hAnsi="Times New Roman" w:cs="Times New Roman"/>
          <w:b/>
          <w:sz w:val="24"/>
          <w:szCs w:val="24"/>
          <w:lang w:val="en-GB"/>
        </w:rPr>
      </w:pPr>
    </w:p>
    <w:p w14:paraId="1E98EFDB" w14:textId="41E77E77" w:rsidR="00EB0050" w:rsidRPr="00305E0F" w:rsidRDefault="00B02122">
      <w:pPr>
        <w:pStyle w:val="P68B1DB1-Normal1"/>
        <w:spacing w:after="0" w:line="240" w:lineRule="auto"/>
        <w:jc w:val="center"/>
        <w:rPr>
          <w:lang w:val="en-GB"/>
        </w:rPr>
      </w:pPr>
      <w:r w:rsidRPr="00305E0F">
        <w:rPr>
          <w:lang w:val="en-GB"/>
        </w:rPr>
        <w:t>DECISION</w:t>
      </w:r>
    </w:p>
    <w:p w14:paraId="6C367421" w14:textId="564E99D4" w:rsidR="00EB0050" w:rsidRPr="00305E0F" w:rsidRDefault="00B02122">
      <w:pPr>
        <w:pStyle w:val="P68B1DB1-Normal2"/>
        <w:spacing w:after="0" w:line="240" w:lineRule="auto"/>
        <w:jc w:val="center"/>
        <w:rPr>
          <w:rFonts w:ascii="Times New Roman" w:eastAsia="Times New Roman" w:hAnsi="Times New Roman" w:cs="Times New Roman"/>
          <w:b/>
          <w:bCs/>
          <w:lang w:val="en-GB"/>
        </w:rPr>
      </w:pPr>
      <w:bookmarkStart w:id="1" w:name="_Hlk176521247"/>
      <w:r w:rsidRPr="00305E0F">
        <w:rPr>
          <w:rFonts w:ascii="Times New Roman" w:eastAsia="Times New Roman" w:hAnsi="Times New Roman" w:cs="Times New Roman"/>
          <w:b/>
          <w:lang w:val="en-GB"/>
        </w:rPr>
        <w:t>for the approval</w:t>
      </w:r>
      <w:r w:rsidRPr="00305E0F">
        <w:rPr>
          <w:lang w:val="en-GB"/>
        </w:rPr>
        <w:t xml:space="preserve"> </w:t>
      </w:r>
      <w:r w:rsidRPr="00305E0F">
        <w:rPr>
          <w:rFonts w:ascii="Times New Roman" w:eastAsia="Times New Roman" w:hAnsi="Times New Roman" w:cs="Times New Roman"/>
          <w:b/>
          <w:lang w:val="en-GB"/>
        </w:rPr>
        <w:t>of the Regulation on the treatment of credit risk under the Internal Ratings Based Approach</w:t>
      </w:r>
    </w:p>
    <w:p w14:paraId="33D81B52" w14:textId="77777777" w:rsidR="00EB0050" w:rsidRPr="00305E0F" w:rsidRDefault="00EB0050">
      <w:pPr>
        <w:spacing w:after="0" w:line="240" w:lineRule="auto"/>
        <w:jc w:val="center"/>
        <w:rPr>
          <w:rFonts w:ascii="Times New Roman" w:eastAsia="Times New Roman" w:hAnsi="Times New Roman" w:cs="Times New Roman"/>
          <w:b/>
          <w:bCs/>
          <w:sz w:val="24"/>
          <w:szCs w:val="24"/>
          <w:lang w:val="en-GB"/>
        </w:rPr>
      </w:pPr>
    </w:p>
    <w:p w14:paraId="0B514C6F" w14:textId="07CF8141" w:rsidR="00EB0050" w:rsidRPr="00305E0F" w:rsidRDefault="00B02122">
      <w:pPr>
        <w:pStyle w:val="P68B1DB1-Normal1"/>
        <w:spacing w:after="0" w:line="240" w:lineRule="auto"/>
        <w:jc w:val="center"/>
        <w:rPr>
          <w:bCs/>
          <w:lang w:val="en-GB"/>
        </w:rPr>
      </w:pPr>
      <w:r w:rsidRPr="00305E0F">
        <w:rPr>
          <w:lang w:val="en-GB"/>
        </w:rPr>
        <w:t>No 162 of 2 July 2026</w:t>
      </w:r>
    </w:p>
    <w:bookmarkEnd w:id="1"/>
    <w:p w14:paraId="3704D7C2" w14:textId="77777777" w:rsidR="008B5DF3" w:rsidRPr="00305E0F" w:rsidRDefault="00B02122" w:rsidP="008B5DF3">
      <w:pPr>
        <w:pStyle w:val="P68B1DB1-Normal3"/>
        <w:spacing w:after="0"/>
        <w:jc w:val="center"/>
        <w:rPr>
          <w:color w:val="auto"/>
          <w:lang w:val="en-GB"/>
        </w:rPr>
      </w:pPr>
      <w:r w:rsidRPr="00305E0F">
        <w:rPr>
          <w:color w:val="auto"/>
          <w:lang w:val="en-GB"/>
        </w:rPr>
        <w:t>(</w:t>
      </w:r>
      <w:r w:rsidR="00594C05" w:rsidRPr="00305E0F">
        <w:rPr>
          <w:color w:val="auto"/>
          <w:lang w:val="en-GB"/>
        </w:rPr>
        <w:t xml:space="preserve">in force as of 1 July 2027, </w:t>
      </w:r>
      <w:r w:rsidR="00D25517" w:rsidRPr="00305E0F">
        <w:rPr>
          <w:color w:val="auto"/>
          <w:lang w:val="en-GB"/>
        </w:rPr>
        <w:t xml:space="preserve">with the exception of </w:t>
      </w:r>
      <w:r w:rsidR="00594C05" w:rsidRPr="00305E0F">
        <w:rPr>
          <w:color w:val="auto"/>
          <w:lang w:val="en-GB"/>
        </w:rPr>
        <w:t xml:space="preserve">certain provisions </w:t>
      </w:r>
    </w:p>
    <w:p w14:paraId="62FE67C4" w14:textId="7C251E35" w:rsidR="00EB0050" w:rsidRPr="00305E0F" w:rsidRDefault="00594C05">
      <w:pPr>
        <w:pStyle w:val="P68B1DB1-Normal3"/>
        <w:jc w:val="center"/>
        <w:rPr>
          <w:bCs/>
          <w:iCs/>
          <w:color w:val="auto"/>
          <w:lang w:val="en-GB"/>
        </w:rPr>
      </w:pPr>
      <w:r w:rsidRPr="00305E0F">
        <w:rPr>
          <w:color w:val="auto"/>
          <w:lang w:val="en-GB"/>
        </w:rPr>
        <w:t>set forth in paragraphs 2 and 3</w:t>
      </w:r>
      <w:r w:rsidR="00B02122" w:rsidRPr="00305E0F">
        <w:rPr>
          <w:color w:val="auto"/>
          <w:lang w:val="en-GB"/>
        </w:rPr>
        <w:t>)</w:t>
      </w:r>
    </w:p>
    <w:p w14:paraId="228F8A17" w14:textId="7307588D" w:rsidR="00EB0050" w:rsidRPr="00305E0F" w:rsidRDefault="00B02122">
      <w:pPr>
        <w:spacing w:after="0" w:line="240" w:lineRule="auto"/>
        <w:jc w:val="center"/>
        <w:rPr>
          <w:rFonts w:ascii="Times New Roman" w:hAnsi="Times New Roman" w:cs="Times New Roman"/>
          <w:sz w:val="24"/>
          <w:szCs w:val="24"/>
          <w:lang w:val="en-GB"/>
        </w:rPr>
      </w:pPr>
      <w:r w:rsidRPr="00B02122">
        <w:rPr>
          <w:rFonts w:ascii="Times New Roman" w:hAnsi="Times New Roman" w:cs="Times New Roman"/>
          <w:sz w:val="24"/>
          <w:szCs w:val="24"/>
          <w:lang w:val="en-GB"/>
        </w:rPr>
        <w:t>Official Gazette of the Republic of Moldova No</w:t>
      </w:r>
      <w:r>
        <w:rPr>
          <w:rFonts w:ascii="Times New Roman" w:hAnsi="Times New Roman" w:cs="Times New Roman"/>
          <w:sz w:val="24"/>
          <w:szCs w:val="24"/>
          <w:lang w:val="en-GB"/>
        </w:rPr>
        <w:t xml:space="preserve"> </w:t>
      </w:r>
      <w:r w:rsidRPr="00B02122">
        <w:rPr>
          <w:rFonts w:ascii="Times New Roman" w:hAnsi="Times New Roman" w:cs="Times New Roman"/>
          <w:sz w:val="24"/>
          <w:szCs w:val="24"/>
          <w:lang w:val="en-GB"/>
        </w:rPr>
        <w:t xml:space="preserve">298-300 </w:t>
      </w:r>
      <w:r>
        <w:rPr>
          <w:rFonts w:ascii="Times New Roman" w:hAnsi="Times New Roman" w:cs="Times New Roman"/>
          <w:sz w:val="24"/>
          <w:szCs w:val="24"/>
          <w:lang w:val="en-GB"/>
        </w:rPr>
        <w:t>Article</w:t>
      </w:r>
      <w:r w:rsidRPr="00B02122">
        <w:rPr>
          <w:rFonts w:ascii="Times New Roman" w:hAnsi="Times New Roman" w:cs="Times New Roman"/>
          <w:sz w:val="24"/>
          <w:szCs w:val="24"/>
          <w:lang w:val="en-GB"/>
        </w:rPr>
        <w:t xml:space="preserve"> 543 </w:t>
      </w:r>
      <w:r>
        <w:rPr>
          <w:rFonts w:ascii="Times New Roman" w:hAnsi="Times New Roman" w:cs="Times New Roman"/>
          <w:sz w:val="24"/>
          <w:szCs w:val="24"/>
          <w:lang w:val="en-GB"/>
        </w:rPr>
        <w:t>of</w:t>
      </w:r>
      <w:r w:rsidRPr="00B02122">
        <w:rPr>
          <w:rFonts w:ascii="Times New Roman" w:hAnsi="Times New Roman" w:cs="Times New Roman"/>
          <w:sz w:val="24"/>
          <w:szCs w:val="24"/>
          <w:lang w:val="en-GB"/>
        </w:rPr>
        <w:t xml:space="preserve"> 7</w:t>
      </w:r>
      <w:r>
        <w:rPr>
          <w:rFonts w:ascii="Times New Roman" w:hAnsi="Times New Roman" w:cs="Times New Roman"/>
          <w:sz w:val="24"/>
          <w:szCs w:val="24"/>
          <w:lang w:val="en-GB"/>
        </w:rPr>
        <w:t xml:space="preserve"> July </w:t>
      </w:r>
      <w:r w:rsidRPr="00B02122">
        <w:rPr>
          <w:rFonts w:ascii="Times New Roman" w:hAnsi="Times New Roman" w:cs="Times New Roman"/>
          <w:sz w:val="24"/>
          <w:szCs w:val="24"/>
          <w:lang w:val="en-GB"/>
        </w:rPr>
        <w:t>2026</w:t>
      </w:r>
    </w:p>
    <w:p w14:paraId="00121273" w14:textId="4C7794AD" w:rsidR="00EB0050" w:rsidRPr="00305E0F" w:rsidRDefault="00B02122">
      <w:pPr>
        <w:pStyle w:val="P68B1DB1-Normal4"/>
        <w:spacing w:after="0" w:line="240" w:lineRule="auto"/>
        <w:jc w:val="center"/>
        <w:rPr>
          <w:rFonts w:eastAsia="Times New Roman"/>
          <w:lang w:val="en-GB"/>
        </w:rPr>
      </w:pPr>
      <w:r w:rsidRPr="00305E0F">
        <w:rPr>
          <w:lang w:val="en-GB"/>
        </w:rPr>
        <w:t>* * *</w:t>
      </w:r>
    </w:p>
    <w:p w14:paraId="383B57B0" w14:textId="79DDE728" w:rsidR="00EB0050" w:rsidRPr="00305E0F" w:rsidRDefault="00B02122">
      <w:pPr>
        <w:pStyle w:val="P68B1DB1-Normal5"/>
        <w:spacing w:after="0" w:line="240" w:lineRule="auto"/>
        <w:jc w:val="both"/>
        <w:rPr>
          <w:lang w:val="en-GB"/>
        </w:rPr>
      </w:pPr>
      <w:r w:rsidRPr="00305E0F">
        <w:rPr>
          <w:lang w:val="en-GB"/>
        </w:rPr>
        <w:t xml:space="preserve">Pursuant to </w:t>
      </w:r>
      <w:r w:rsidR="00594C05" w:rsidRPr="00305E0F">
        <w:rPr>
          <w:lang w:val="en-GB"/>
        </w:rPr>
        <w:t xml:space="preserve">Article </w:t>
      </w:r>
      <w:r w:rsidRPr="00305E0F">
        <w:rPr>
          <w:lang w:val="en-GB"/>
        </w:rPr>
        <w:t xml:space="preserve">66 of the Law </w:t>
      </w:r>
      <w:r w:rsidR="00594C05" w:rsidRPr="00305E0F">
        <w:rPr>
          <w:lang w:val="en-GB"/>
        </w:rPr>
        <w:t xml:space="preserve">No </w:t>
      </w:r>
      <w:r w:rsidRPr="00305E0F">
        <w:rPr>
          <w:lang w:val="en-GB"/>
        </w:rPr>
        <w:t xml:space="preserve">202/2017 on </w:t>
      </w:r>
      <w:r w:rsidR="00594C05" w:rsidRPr="00305E0F">
        <w:rPr>
          <w:lang w:val="en-GB"/>
        </w:rPr>
        <w:t xml:space="preserve">the activity of </w:t>
      </w:r>
      <w:r w:rsidRPr="00305E0F">
        <w:rPr>
          <w:lang w:val="en-GB"/>
        </w:rPr>
        <w:t xml:space="preserve">banks (Official </w:t>
      </w:r>
      <w:r w:rsidR="00594C05" w:rsidRPr="00305E0F">
        <w:rPr>
          <w:lang w:val="en-GB"/>
        </w:rPr>
        <w:t>Gazette</w:t>
      </w:r>
      <w:r w:rsidRPr="00305E0F">
        <w:rPr>
          <w:lang w:val="en-GB"/>
        </w:rPr>
        <w:t xml:space="preserve"> of the Republic of Moldova, 2017, </w:t>
      </w:r>
      <w:r w:rsidR="00594C05" w:rsidRPr="00305E0F">
        <w:rPr>
          <w:lang w:val="en-GB"/>
        </w:rPr>
        <w:t xml:space="preserve">No </w:t>
      </w:r>
      <w:r w:rsidRPr="00305E0F">
        <w:rPr>
          <w:lang w:val="en-GB"/>
        </w:rPr>
        <w:t xml:space="preserve">434-439, </w:t>
      </w:r>
      <w:r w:rsidR="00594C05" w:rsidRPr="00305E0F">
        <w:rPr>
          <w:lang w:val="en-GB"/>
        </w:rPr>
        <w:t xml:space="preserve">Article </w:t>
      </w:r>
      <w:r w:rsidRPr="00305E0F">
        <w:rPr>
          <w:lang w:val="en-GB"/>
        </w:rPr>
        <w:t>727), with subsequent amendments, the Executive Board of the National Bank of Moldova</w:t>
      </w:r>
    </w:p>
    <w:p w14:paraId="36D7D435" w14:textId="77777777" w:rsidR="00EB0050" w:rsidRPr="00305E0F" w:rsidRDefault="00EB0050">
      <w:pPr>
        <w:spacing w:after="0" w:line="240" w:lineRule="auto"/>
        <w:jc w:val="center"/>
        <w:rPr>
          <w:rFonts w:ascii="Times New Roman" w:eastAsia="Times New Roman" w:hAnsi="Times New Roman" w:cs="Times New Roman"/>
          <w:b/>
          <w:bCs/>
          <w:sz w:val="24"/>
          <w:szCs w:val="24"/>
          <w:lang w:val="en-GB"/>
        </w:rPr>
      </w:pPr>
    </w:p>
    <w:p w14:paraId="26938BEB" w14:textId="0CE7E20D" w:rsidR="00EB0050" w:rsidRPr="00305E0F" w:rsidRDefault="00B02122">
      <w:pPr>
        <w:pStyle w:val="P68B1DB1-Normal1"/>
        <w:spacing w:after="0" w:line="240" w:lineRule="auto"/>
        <w:jc w:val="center"/>
        <w:rPr>
          <w:bCs/>
          <w:lang w:val="en-GB"/>
        </w:rPr>
      </w:pPr>
      <w:r w:rsidRPr="00305E0F">
        <w:rPr>
          <w:lang w:val="en-GB"/>
        </w:rPr>
        <w:t>DECIDES:</w:t>
      </w:r>
    </w:p>
    <w:p w14:paraId="7101A5A2" w14:textId="6C4A0BB6" w:rsidR="00EB0050" w:rsidRPr="00305E0F" w:rsidRDefault="00B02122">
      <w:pPr>
        <w:pStyle w:val="P68B1DB1-Normal5"/>
        <w:spacing w:after="0" w:line="240" w:lineRule="auto"/>
        <w:jc w:val="both"/>
        <w:rPr>
          <w:lang w:val="en-GB"/>
        </w:rPr>
      </w:pPr>
      <w:bookmarkStart w:id="2" w:name="_Hlk204608182"/>
      <w:r w:rsidRPr="00305E0F">
        <w:rPr>
          <w:lang w:val="en-GB"/>
        </w:rPr>
        <w:t xml:space="preserve">This </w:t>
      </w:r>
      <w:r w:rsidR="00E61739" w:rsidRPr="00305E0F">
        <w:rPr>
          <w:lang w:val="en-GB"/>
        </w:rPr>
        <w:t>decision</w:t>
      </w:r>
      <w:r w:rsidRPr="00305E0F">
        <w:rPr>
          <w:lang w:val="en-GB"/>
        </w:rPr>
        <w:t>:</w:t>
      </w:r>
    </w:p>
    <w:p w14:paraId="10ABE3E0" w14:textId="3D524595" w:rsidR="00EB0050" w:rsidRPr="00305E0F" w:rsidRDefault="00B02122">
      <w:pPr>
        <w:pStyle w:val="P68B1DB1-Normal5"/>
        <w:spacing w:after="0" w:line="240" w:lineRule="auto"/>
        <w:jc w:val="both"/>
        <w:rPr>
          <w:lang w:val="en-GB"/>
        </w:rPr>
      </w:pPr>
      <w:r w:rsidRPr="00305E0F">
        <w:rPr>
          <w:lang w:val="en-GB"/>
        </w:rPr>
        <w:t xml:space="preserve">- partially transposes (transposes: Article 4, </w:t>
      </w:r>
      <w:r w:rsidR="00704220" w:rsidRPr="00305E0F">
        <w:rPr>
          <w:lang w:val="en-GB"/>
        </w:rPr>
        <w:t>paragraph</w:t>
      </w:r>
      <w:r w:rsidRPr="00305E0F">
        <w:rPr>
          <w:lang w:val="en-GB"/>
        </w:rPr>
        <w:t xml:space="preserve">s 53 to 55, 78; Article 5, </w:t>
      </w:r>
      <w:r w:rsidR="00704220" w:rsidRPr="00305E0F">
        <w:rPr>
          <w:lang w:val="en-GB"/>
        </w:rPr>
        <w:t>paragraph</w:t>
      </w:r>
      <w:r w:rsidRPr="00305E0F">
        <w:rPr>
          <w:lang w:val="en-GB"/>
        </w:rPr>
        <w:t xml:space="preserve">s 1 to 9; Article 142; Article 143 (1) to (4); Article 144(1); Articles 145-147(1) to (10); Articles 148 to 150 (1a); Articles 151 to 153 (1) to (8); Articles 154 to 157 (1) to (5); Articles 158 to 164 (1) to (4), (6) to (7) and (10); </w:t>
      </w:r>
      <w:r w:rsidR="00594C05" w:rsidRPr="00305E0F">
        <w:rPr>
          <w:lang w:val="en-GB"/>
        </w:rPr>
        <w:t xml:space="preserve">Article </w:t>
      </w:r>
      <w:r w:rsidRPr="00305E0F">
        <w:rPr>
          <w:lang w:val="en-GB"/>
        </w:rPr>
        <w:t>166-173 (1)-(2); Articles 174 to 178(1) to (5); Articles 179 to 180 (1) to (2); Article 181 (1) to (2); Article 182(1) to (3); Article 183-191) Regulation (EU) No 575/2013 of the European Parliament and of the Council of 26 June 2013 on prudential requirements for credit institutions and amending Regulation (EU) No 648/2012, published in Official Journal of the European Union L 176 of 27 June 2013, CELEX: 32013R0575, as last amended by Regulation (EU) 2025/1215 of the European Parliament and of the Council of 17 June 2025;</w:t>
      </w:r>
    </w:p>
    <w:p w14:paraId="056B8A85" w14:textId="54EBE8F0" w:rsidR="00EB0050" w:rsidRPr="00305E0F" w:rsidRDefault="00B02122">
      <w:pPr>
        <w:pStyle w:val="P68B1DB1-Normal5"/>
        <w:spacing w:after="0" w:line="240" w:lineRule="auto"/>
        <w:jc w:val="both"/>
        <w:rPr>
          <w:b/>
          <w:bCs/>
          <w:lang w:val="en-GB"/>
        </w:rPr>
      </w:pPr>
      <w:r w:rsidRPr="00305E0F">
        <w:rPr>
          <w:lang w:val="en-GB"/>
        </w:rPr>
        <w:t>- transposes Commission Delegated Regulation (EU) 2021/598 of 14 December 2020 supplementing Regulation (EU) No 575/2013 of the European Parliament and of the Council with regard to regulatory technical standards for assigning risk weights to specialised lending exposures, published in the Official Journal of the European Union L 127 of 14 April 2021, CELEX: 32021R0598.</w:t>
      </w:r>
    </w:p>
    <w:bookmarkEnd w:id="0"/>
    <w:bookmarkEnd w:id="2"/>
    <w:p w14:paraId="6A233594" w14:textId="7F633A00" w:rsidR="00EB0050" w:rsidRPr="00305E0F" w:rsidRDefault="00B02122" w:rsidP="00B02122">
      <w:pPr>
        <w:pStyle w:val="P68B1DB1-ListParagraph6"/>
        <w:numPr>
          <w:ilvl w:val="0"/>
          <w:numId w:val="1"/>
        </w:numPr>
        <w:spacing w:before="160" w:after="0" w:line="240" w:lineRule="auto"/>
        <w:ind w:left="0" w:firstLine="567"/>
        <w:contextualSpacing w:val="0"/>
        <w:jc w:val="both"/>
        <w:rPr>
          <w:lang w:val="en-GB"/>
        </w:rPr>
      </w:pPr>
      <w:r w:rsidRPr="00305E0F">
        <w:rPr>
          <w:lang w:val="en-GB"/>
        </w:rPr>
        <w:t>The Regulation on the treatment of credit risk under the IRB Approach is approved (attached).</w:t>
      </w:r>
    </w:p>
    <w:p w14:paraId="63CB6D3E" w14:textId="42936D51" w:rsidR="00EB0050" w:rsidRPr="00305E0F" w:rsidRDefault="00B02122">
      <w:pPr>
        <w:pStyle w:val="P68B1DB1-ListParagraph6"/>
        <w:numPr>
          <w:ilvl w:val="0"/>
          <w:numId w:val="1"/>
        </w:numPr>
        <w:spacing w:after="0" w:line="240" w:lineRule="auto"/>
        <w:ind w:left="0" w:firstLine="567"/>
        <w:jc w:val="both"/>
        <w:rPr>
          <w:lang w:val="en-GB"/>
        </w:rPr>
      </w:pPr>
      <w:r w:rsidRPr="00305E0F">
        <w:rPr>
          <w:lang w:val="en-GB"/>
        </w:rPr>
        <w:t>This Decision shall enter into force on 1 July 2027, with the exception of paragraph 138 of the specific reporting obligations, which shall enter into force on 1 January 2028.</w:t>
      </w:r>
    </w:p>
    <w:p w14:paraId="55D86314" w14:textId="017EF848" w:rsidR="00EB0050" w:rsidRPr="00305E0F" w:rsidRDefault="00B02122">
      <w:pPr>
        <w:pStyle w:val="P68B1DB1-ListParagraph6"/>
        <w:numPr>
          <w:ilvl w:val="0"/>
          <w:numId w:val="1"/>
        </w:numPr>
        <w:spacing w:after="0" w:line="240" w:lineRule="auto"/>
        <w:ind w:left="0" w:firstLine="567"/>
        <w:jc w:val="both"/>
        <w:rPr>
          <w:lang w:val="en-GB"/>
        </w:rPr>
      </w:pPr>
      <w:r w:rsidRPr="00305E0F">
        <w:rPr>
          <w:lang w:val="en-GB"/>
        </w:rPr>
        <w:t>Until the date of entry into force of the Treaty of Accession of the Republic of Moldova to the European Union:</w:t>
      </w:r>
    </w:p>
    <w:p w14:paraId="3F235117" w14:textId="3986B114" w:rsidR="00EB0050" w:rsidRPr="00305E0F" w:rsidRDefault="00B02122">
      <w:pPr>
        <w:pStyle w:val="P68B1DB1-ListParagraph6"/>
        <w:numPr>
          <w:ilvl w:val="1"/>
          <w:numId w:val="1"/>
        </w:numPr>
        <w:spacing w:after="0" w:line="240" w:lineRule="auto"/>
        <w:ind w:left="0" w:firstLine="567"/>
        <w:jc w:val="both"/>
        <w:rPr>
          <w:lang w:val="en-GB"/>
        </w:rPr>
      </w:pPr>
      <w:r w:rsidRPr="00305E0F">
        <w:rPr>
          <w:lang w:val="en-GB"/>
        </w:rPr>
        <w:t xml:space="preserve">for the provisions specified in paragraph </w:t>
      </w:r>
      <w:r w:rsidRPr="00305E0F">
        <w:rPr>
          <w:lang w:val="en-GB"/>
        </w:rPr>
        <w:fldChar w:fldCharType="begin"/>
      </w:r>
      <w:r w:rsidRPr="00305E0F">
        <w:rPr>
          <w:lang w:val="en-GB"/>
        </w:rPr>
        <w:instrText xml:space="preserve"> REF _Ref232159185 \r \h  \* MERGEFORMAT </w:instrText>
      </w:r>
      <w:r w:rsidRPr="00305E0F">
        <w:rPr>
          <w:lang w:val="en-GB"/>
        </w:rPr>
      </w:r>
      <w:r w:rsidRPr="00305E0F">
        <w:rPr>
          <w:lang w:val="en-GB"/>
        </w:rPr>
        <w:fldChar w:fldCharType="separate"/>
      </w:r>
      <w:r w:rsidR="00594C05" w:rsidRPr="00305E0F">
        <w:rPr>
          <w:lang w:val="en-GB"/>
        </w:rPr>
        <w:t>23.1.2</w:t>
      </w:r>
      <w:r w:rsidRPr="00305E0F">
        <w:rPr>
          <w:lang w:val="en-GB"/>
        </w:rPr>
        <w:fldChar w:fldCharType="end"/>
      </w:r>
      <w:r w:rsidRPr="00305E0F">
        <w:rPr>
          <w:lang w:val="en-GB"/>
        </w:rPr>
        <w:t xml:space="preserve"> the banks shall apply a value of MDL 5 million;</w:t>
      </w:r>
    </w:p>
    <w:p w14:paraId="0F208626" w14:textId="76CF565B" w:rsidR="00EB0050" w:rsidRPr="00305E0F" w:rsidRDefault="00B02122">
      <w:pPr>
        <w:pStyle w:val="P68B1DB1-ListParagraph6"/>
        <w:numPr>
          <w:ilvl w:val="1"/>
          <w:numId w:val="1"/>
        </w:numPr>
        <w:spacing w:after="0" w:line="240" w:lineRule="auto"/>
        <w:ind w:left="0" w:firstLine="567"/>
        <w:jc w:val="both"/>
        <w:rPr>
          <w:lang w:val="en-GB"/>
        </w:rPr>
      </w:pPr>
      <w:r w:rsidRPr="00305E0F">
        <w:rPr>
          <w:lang w:val="en-GB"/>
        </w:rPr>
        <w:t xml:space="preserve">for the provisions specified in paragraph </w:t>
      </w:r>
      <w:r w:rsidRPr="00305E0F">
        <w:rPr>
          <w:lang w:val="en-GB"/>
        </w:rPr>
        <w:fldChar w:fldCharType="begin"/>
      </w:r>
      <w:r w:rsidRPr="00305E0F">
        <w:rPr>
          <w:lang w:val="en-GB"/>
        </w:rPr>
        <w:instrText xml:space="preserve"> REF _Ref232159315 \r \h  \* MERGEFORMAT </w:instrText>
      </w:r>
      <w:r w:rsidRPr="00305E0F">
        <w:rPr>
          <w:lang w:val="en-GB"/>
        </w:rPr>
      </w:r>
      <w:r w:rsidRPr="00305E0F">
        <w:rPr>
          <w:lang w:val="en-GB"/>
        </w:rPr>
        <w:fldChar w:fldCharType="separate"/>
      </w:r>
      <w:r w:rsidR="00594C05" w:rsidRPr="00305E0F">
        <w:rPr>
          <w:lang w:val="en-GB"/>
        </w:rPr>
        <w:t>27.3</w:t>
      </w:r>
      <w:r w:rsidRPr="00305E0F">
        <w:rPr>
          <w:lang w:val="en-GB"/>
        </w:rPr>
        <w:fldChar w:fldCharType="end"/>
      </w:r>
      <w:r w:rsidRPr="00305E0F">
        <w:rPr>
          <w:lang w:val="en-GB"/>
        </w:rPr>
        <w:t xml:space="preserve"> banks shall apply a maximum exposure value to a natural person of less than or equal to MDL 500</w:t>
      </w:r>
      <w:r w:rsidR="00E61739" w:rsidRPr="00305E0F">
        <w:rPr>
          <w:lang w:val="en-GB"/>
        </w:rPr>
        <w:t>,</w:t>
      </w:r>
      <w:r w:rsidRPr="00305E0F">
        <w:rPr>
          <w:lang w:val="en-GB"/>
        </w:rPr>
        <w:t>000;</w:t>
      </w:r>
    </w:p>
    <w:p w14:paraId="447009FA" w14:textId="7793ED96" w:rsidR="00EB0050" w:rsidRPr="00305E0F" w:rsidRDefault="00B02122">
      <w:pPr>
        <w:pStyle w:val="P68B1DB1-ListParagraph6"/>
        <w:numPr>
          <w:ilvl w:val="1"/>
          <w:numId w:val="1"/>
        </w:numPr>
        <w:spacing w:after="0" w:line="240" w:lineRule="auto"/>
        <w:ind w:left="0" w:firstLine="567"/>
        <w:jc w:val="both"/>
        <w:rPr>
          <w:lang w:val="en-GB"/>
        </w:rPr>
      </w:pPr>
      <w:r w:rsidRPr="00305E0F">
        <w:rPr>
          <w:lang w:val="en-GB"/>
        </w:rPr>
        <w:t>for the provisions specified in paragraph 73 banks will apply an amount equal to the equivalent in MDL of EUR 25 million instead of EUR 50 million;</w:t>
      </w:r>
    </w:p>
    <w:p w14:paraId="3578E81C" w14:textId="11C65004" w:rsidR="00EB0050" w:rsidRPr="00305E0F" w:rsidRDefault="00B02122">
      <w:pPr>
        <w:pStyle w:val="P68B1DB1-ListParagraph6"/>
        <w:numPr>
          <w:ilvl w:val="1"/>
          <w:numId w:val="1"/>
        </w:numPr>
        <w:spacing w:after="0" w:line="240" w:lineRule="auto"/>
        <w:ind w:left="0" w:firstLine="567"/>
        <w:jc w:val="both"/>
        <w:rPr>
          <w:lang w:val="en-GB"/>
        </w:rPr>
      </w:pPr>
      <w:r w:rsidRPr="00305E0F">
        <w:rPr>
          <w:lang w:val="en-GB"/>
        </w:rPr>
        <w:t xml:space="preserve">for the provisions specified in </w:t>
      </w:r>
      <w:r w:rsidR="00D25517" w:rsidRPr="00305E0F">
        <w:rPr>
          <w:lang w:val="en-GB"/>
        </w:rPr>
        <w:t>paragraphs</w:t>
      </w:r>
      <w:r w:rsidRPr="00305E0F">
        <w:rPr>
          <w:lang w:val="en-GB"/>
        </w:rPr>
        <w:t xml:space="preserve"> 71.2.2, 71.3, 79, 80.1, 80.2 banks will apply a coefficient of 10 instead of 12.5 and a weighting of 1000% instead of 1250%.</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080"/>
        <w:gridCol w:w="2021"/>
      </w:tblGrid>
      <w:tr w:rsidR="00B02122" w:rsidRPr="00090699" w14:paraId="26400DB8" w14:textId="77777777" w:rsidTr="00402FBC">
        <w:tc>
          <w:tcPr>
            <w:tcW w:w="0" w:type="auto"/>
            <w:tcBorders>
              <w:top w:val="nil"/>
              <w:left w:val="nil"/>
              <w:bottom w:val="nil"/>
              <w:right w:val="nil"/>
            </w:tcBorders>
            <w:tcMar>
              <w:top w:w="24" w:type="dxa"/>
              <w:left w:w="48" w:type="dxa"/>
              <w:bottom w:w="24" w:type="dxa"/>
              <w:right w:w="1680" w:type="dxa"/>
            </w:tcMar>
            <w:hideMark/>
          </w:tcPr>
          <w:p w14:paraId="55BED5B7" w14:textId="1942FDA0" w:rsidR="00B02122" w:rsidRDefault="00B02122" w:rsidP="00B02122">
            <w:pPr>
              <w:pStyle w:val="ListParagraph"/>
              <w:spacing w:before="160" w:after="0" w:line="240" w:lineRule="auto"/>
              <w:ind w:left="786" w:hanging="786"/>
              <w:rPr>
                <w:rFonts w:ascii="Times New Roman" w:eastAsia="Times New Roman" w:hAnsi="Times New Roman" w:cs="Times New Roman"/>
                <w:b/>
                <w:bCs/>
                <w:lang w:eastAsia="ro-MD"/>
              </w:rPr>
            </w:pPr>
            <w:r w:rsidRPr="00305E0F">
              <w:rPr>
                <w:lang w:val="en-GB"/>
              </w:rPr>
              <w:br w:type="page"/>
            </w:r>
            <w:r>
              <w:rPr>
                <w:rFonts w:ascii="Times New Roman" w:eastAsia="Times New Roman" w:hAnsi="Times New Roman" w:cs="Times New Roman"/>
                <w:b/>
                <w:bCs/>
                <w:lang w:eastAsia="ro-MD"/>
              </w:rPr>
              <w:t>CHAIRMAN OF THE EXECUTIVE BOARD</w:t>
            </w:r>
          </w:p>
          <w:p w14:paraId="74A48E92" w14:textId="78B841D0" w:rsidR="00B02122" w:rsidRPr="00B02122" w:rsidRDefault="00B02122" w:rsidP="00B02122">
            <w:pPr>
              <w:spacing w:before="160" w:after="0" w:line="240" w:lineRule="auto"/>
              <w:rPr>
                <w:rFonts w:ascii="Times New Roman" w:eastAsia="Times New Roman" w:hAnsi="Times New Roman" w:cs="Times New Roman"/>
                <w:b/>
                <w:bCs/>
                <w:lang w:eastAsia="ro-MD"/>
              </w:rPr>
            </w:pPr>
          </w:p>
        </w:tc>
        <w:tc>
          <w:tcPr>
            <w:tcW w:w="0" w:type="auto"/>
            <w:tcBorders>
              <w:top w:val="nil"/>
              <w:left w:val="nil"/>
              <w:bottom w:val="nil"/>
              <w:right w:val="nil"/>
            </w:tcBorders>
            <w:tcMar>
              <w:top w:w="24" w:type="dxa"/>
              <w:left w:w="48" w:type="dxa"/>
              <w:bottom w:w="24" w:type="dxa"/>
              <w:right w:w="48" w:type="dxa"/>
            </w:tcMar>
            <w:hideMark/>
          </w:tcPr>
          <w:p w14:paraId="67FE6A47" w14:textId="0827C6E7" w:rsidR="00B02122" w:rsidRPr="00090699" w:rsidRDefault="00B02122" w:rsidP="00B02122">
            <w:pPr>
              <w:spacing w:before="160" w:after="0" w:line="240" w:lineRule="auto"/>
              <w:rPr>
                <w:rFonts w:ascii="Times New Roman" w:eastAsia="Times New Roman" w:hAnsi="Times New Roman" w:cs="Times New Roman"/>
                <w:b/>
                <w:bCs/>
                <w:lang w:eastAsia="ro-MD"/>
              </w:rPr>
            </w:pPr>
            <w:r w:rsidRPr="00090699">
              <w:rPr>
                <w:rFonts w:ascii="Times New Roman" w:eastAsia="Times New Roman" w:hAnsi="Times New Roman" w:cs="Times New Roman"/>
                <w:b/>
                <w:bCs/>
                <w:lang w:eastAsia="ro-MD"/>
              </w:rPr>
              <w:t>Anca-Dana DRAGU</w:t>
            </w:r>
          </w:p>
        </w:tc>
      </w:tr>
      <w:tr w:rsidR="00B02122" w:rsidRPr="00090699" w14:paraId="5701108F" w14:textId="77777777" w:rsidTr="00402FBC">
        <w:tc>
          <w:tcPr>
            <w:tcW w:w="0" w:type="auto"/>
            <w:gridSpan w:val="2"/>
            <w:tcBorders>
              <w:top w:val="nil"/>
              <w:left w:val="nil"/>
              <w:bottom w:val="nil"/>
              <w:right w:val="nil"/>
            </w:tcBorders>
            <w:tcMar>
              <w:top w:w="120" w:type="dxa"/>
              <w:left w:w="48" w:type="dxa"/>
              <w:bottom w:w="24" w:type="dxa"/>
              <w:right w:w="48" w:type="dxa"/>
            </w:tcMar>
            <w:hideMark/>
          </w:tcPr>
          <w:p w14:paraId="6DCC7067" w14:textId="4068F1B3" w:rsidR="00B02122" w:rsidRPr="00090699" w:rsidRDefault="00B02122" w:rsidP="00B02122">
            <w:pPr>
              <w:spacing w:after="0" w:line="240" w:lineRule="auto"/>
              <w:rPr>
                <w:rFonts w:ascii="Times New Roman" w:eastAsia="Times New Roman" w:hAnsi="Times New Roman" w:cs="Times New Roman"/>
                <w:b/>
                <w:bCs/>
                <w:lang w:eastAsia="ro-MD"/>
              </w:rPr>
            </w:pPr>
            <w:r w:rsidRPr="00090699">
              <w:rPr>
                <w:rFonts w:ascii="Times New Roman" w:eastAsia="Times New Roman" w:hAnsi="Times New Roman" w:cs="Times New Roman"/>
                <w:b/>
                <w:bCs/>
                <w:lang w:eastAsia="ro-MD"/>
              </w:rPr>
              <w:t xml:space="preserve">Nr.162. Chișinău, 2 </w:t>
            </w:r>
            <w:r>
              <w:rPr>
                <w:rFonts w:ascii="Times New Roman" w:eastAsia="Times New Roman" w:hAnsi="Times New Roman" w:cs="Times New Roman"/>
                <w:b/>
                <w:bCs/>
                <w:lang w:eastAsia="ro-MD"/>
              </w:rPr>
              <w:t>July</w:t>
            </w:r>
            <w:r w:rsidRPr="00090699">
              <w:rPr>
                <w:rFonts w:ascii="Times New Roman" w:eastAsia="Times New Roman" w:hAnsi="Times New Roman" w:cs="Times New Roman"/>
                <w:b/>
                <w:bCs/>
                <w:lang w:eastAsia="ro-MD"/>
              </w:rPr>
              <w:t xml:space="preserve"> 2026.</w:t>
            </w:r>
          </w:p>
        </w:tc>
      </w:tr>
    </w:tbl>
    <w:p w14:paraId="1C30421C" w14:textId="3E3D42FB" w:rsidR="00EB0050" w:rsidRPr="00305E0F" w:rsidRDefault="00B02122">
      <w:pPr>
        <w:pStyle w:val="P68B1DB1-ListParagraph8"/>
        <w:tabs>
          <w:tab w:val="left" w:pos="1134"/>
        </w:tabs>
        <w:spacing w:after="0" w:line="240" w:lineRule="auto"/>
        <w:ind w:left="786"/>
        <w:jc w:val="right"/>
        <w:rPr>
          <w:color w:val="auto"/>
          <w:lang w:val="en-GB"/>
        </w:rPr>
      </w:pPr>
      <w:r w:rsidRPr="00305E0F">
        <w:rPr>
          <w:color w:val="auto"/>
          <w:lang w:val="en-GB"/>
        </w:rPr>
        <w:lastRenderedPageBreak/>
        <w:t>Approved</w:t>
      </w:r>
    </w:p>
    <w:p w14:paraId="0264F1C9" w14:textId="23839FDD" w:rsidR="00EB0050" w:rsidRPr="00305E0F" w:rsidRDefault="0015646F">
      <w:pPr>
        <w:pStyle w:val="P68B1DB1-ListParagraph8"/>
        <w:tabs>
          <w:tab w:val="left" w:pos="1134"/>
        </w:tabs>
        <w:spacing w:after="0" w:line="240" w:lineRule="auto"/>
        <w:ind w:left="786"/>
        <w:jc w:val="right"/>
        <w:rPr>
          <w:color w:val="auto"/>
          <w:lang w:val="en-GB"/>
        </w:rPr>
      </w:pPr>
      <w:r w:rsidRPr="00305E0F">
        <w:rPr>
          <w:color w:val="auto"/>
          <w:lang w:val="en-GB"/>
        </w:rPr>
        <w:t>by the Decision of the Executive Board</w:t>
      </w:r>
    </w:p>
    <w:p w14:paraId="759C55AD" w14:textId="493642C8" w:rsidR="00EB0050" w:rsidRPr="00305E0F" w:rsidRDefault="0015646F">
      <w:pPr>
        <w:pStyle w:val="P68B1DB1-ListParagraph8"/>
        <w:tabs>
          <w:tab w:val="left" w:pos="1134"/>
        </w:tabs>
        <w:spacing w:after="0" w:line="240" w:lineRule="auto"/>
        <w:ind w:left="786"/>
        <w:jc w:val="right"/>
        <w:rPr>
          <w:color w:val="auto"/>
          <w:lang w:val="en-GB"/>
        </w:rPr>
      </w:pPr>
      <w:r w:rsidRPr="00305E0F">
        <w:rPr>
          <w:color w:val="auto"/>
          <w:lang w:val="en-GB"/>
        </w:rPr>
        <w:t>of the National Bank of Moldova</w:t>
      </w:r>
    </w:p>
    <w:p w14:paraId="098FCDC2" w14:textId="41ACCC6C" w:rsidR="00EB0050" w:rsidRPr="00305E0F" w:rsidRDefault="00B02122">
      <w:pPr>
        <w:pStyle w:val="P68B1DB1-ListParagraph8"/>
        <w:tabs>
          <w:tab w:val="left" w:pos="1134"/>
        </w:tabs>
        <w:spacing w:after="0" w:line="240" w:lineRule="auto"/>
        <w:ind w:left="786"/>
        <w:jc w:val="right"/>
        <w:rPr>
          <w:color w:val="auto"/>
          <w:lang w:val="en-GB"/>
        </w:rPr>
      </w:pPr>
      <w:r w:rsidRPr="00305E0F">
        <w:rPr>
          <w:color w:val="auto"/>
          <w:lang w:val="en-GB"/>
        </w:rPr>
        <w:t>No 162 of 2 July 2026</w:t>
      </w:r>
    </w:p>
    <w:p w14:paraId="6CD531EA" w14:textId="77777777" w:rsidR="00EB0050" w:rsidRPr="00305E0F" w:rsidRDefault="00EB0050">
      <w:pPr>
        <w:pStyle w:val="ListParagraph"/>
        <w:tabs>
          <w:tab w:val="left" w:pos="1134"/>
        </w:tabs>
        <w:spacing w:after="0" w:line="240" w:lineRule="auto"/>
        <w:ind w:left="786"/>
        <w:jc w:val="center"/>
        <w:rPr>
          <w:rFonts w:ascii="Times New Roman" w:hAnsi="Times New Roman" w:cs="Times New Roman"/>
          <w:sz w:val="24"/>
          <w:szCs w:val="24"/>
          <w:lang w:val="en-GB"/>
        </w:rPr>
      </w:pPr>
    </w:p>
    <w:p w14:paraId="59B6ED7B" w14:textId="77777777" w:rsidR="0015646F" w:rsidRPr="00305E0F" w:rsidRDefault="0015646F">
      <w:pPr>
        <w:pStyle w:val="P68B1DB1-ListParagraph9"/>
        <w:spacing w:after="0" w:line="240" w:lineRule="auto"/>
        <w:ind w:left="0"/>
        <w:jc w:val="center"/>
        <w:rPr>
          <w:color w:val="auto"/>
          <w:lang w:val="en-GB"/>
        </w:rPr>
      </w:pPr>
      <w:r w:rsidRPr="00305E0F">
        <w:rPr>
          <w:color w:val="auto"/>
          <w:lang w:val="en-GB"/>
        </w:rPr>
        <w:t xml:space="preserve">REGULATION </w:t>
      </w:r>
    </w:p>
    <w:p w14:paraId="49E8BED1" w14:textId="79DE2178" w:rsidR="00EB0050" w:rsidRPr="00305E0F" w:rsidRDefault="0015646F">
      <w:pPr>
        <w:pStyle w:val="P68B1DB1-ListParagraph9"/>
        <w:spacing w:after="0" w:line="240" w:lineRule="auto"/>
        <w:ind w:left="0"/>
        <w:jc w:val="center"/>
        <w:rPr>
          <w:bCs/>
          <w:color w:val="auto"/>
          <w:lang w:val="en-GB"/>
        </w:rPr>
      </w:pPr>
      <w:r w:rsidRPr="00305E0F">
        <w:rPr>
          <w:color w:val="auto"/>
          <w:lang w:val="en-GB"/>
        </w:rPr>
        <w:t xml:space="preserve">ON THE TREATMENT OF CREDIT RISK UNDER THE INTERNAL RATINGS BASED APPROACH </w:t>
      </w:r>
    </w:p>
    <w:p w14:paraId="4158FEAD" w14:textId="77777777" w:rsidR="00EB0050" w:rsidRPr="00305E0F" w:rsidRDefault="00B02122" w:rsidP="00136CEA">
      <w:pPr>
        <w:pStyle w:val="P68B1DB1-Normal10"/>
        <w:shd w:val="clear" w:color="auto" w:fill="FFFFFF"/>
        <w:spacing w:before="120" w:after="0" w:line="240" w:lineRule="auto"/>
        <w:jc w:val="center"/>
        <w:rPr>
          <w:bCs/>
          <w:color w:val="auto"/>
          <w:lang w:val="en-GB"/>
        </w:rPr>
      </w:pPr>
      <w:r w:rsidRPr="00305E0F">
        <w:rPr>
          <w:color w:val="auto"/>
          <w:lang w:val="en-GB"/>
        </w:rPr>
        <w:t>Chapter I</w:t>
      </w:r>
    </w:p>
    <w:p w14:paraId="0E2F0F63" w14:textId="0406B568" w:rsidR="00EB0050" w:rsidRPr="00305E0F" w:rsidRDefault="00B02122">
      <w:pPr>
        <w:pStyle w:val="P68B1DB1-Normal10"/>
        <w:shd w:val="clear" w:color="auto" w:fill="FFFFFF"/>
        <w:spacing w:after="0" w:line="240" w:lineRule="auto"/>
        <w:jc w:val="center"/>
        <w:rPr>
          <w:bCs/>
          <w:color w:val="auto"/>
          <w:lang w:val="en-GB"/>
        </w:rPr>
      </w:pPr>
      <w:r w:rsidRPr="00305E0F">
        <w:rPr>
          <w:color w:val="auto"/>
          <w:lang w:val="en-GB"/>
        </w:rPr>
        <w:t>General provisions</w:t>
      </w:r>
    </w:p>
    <w:p w14:paraId="3E6E08F4" w14:textId="39D1F5A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contextualSpacing w:val="0"/>
        <w:jc w:val="both"/>
        <w:rPr>
          <w:color w:val="auto"/>
          <w:lang w:val="en-GB"/>
        </w:rPr>
      </w:pPr>
      <w:r w:rsidRPr="00305E0F">
        <w:rPr>
          <w:color w:val="auto"/>
          <w:lang w:val="en-GB"/>
        </w:rPr>
        <w:t>This Regulation shall apply to banks established in the Republic of Moldova and branches in the Republic of Moldova of banks from other states, which are licensed by the National Bank of Moldova (hereinafter - banks). This Regulation shall apply at both individual and consolidated level.</w:t>
      </w:r>
    </w:p>
    <w:p w14:paraId="2B17D6A9" w14:textId="00DD8655"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This Regulation establishes the methodology and conditions that banks shall apply, based on the Internal Ratings Based </w:t>
      </w:r>
      <w:r w:rsidR="0015646F" w:rsidRPr="00305E0F">
        <w:rPr>
          <w:color w:val="auto"/>
          <w:lang w:val="en-GB"/>
        </w:rPr>
        <w:t xml:space="preserve">(IRB) </w:t>
      </w:r>
      <w:r w:rsidRPr="00305E0F">
        <w:rPr>
          <w:color w:val="auto"/>
          <w:lang w:val="en-GB"/>
        </w:rPr>
        <w:t xml:space="preserve">Approach for determining risk-weighted exposure amounts for the purpose of calculating banks' own funds requirements in accordance with the Regulation on own funds </w:t>
      </w:r>
      <w:r w:rsidR="00C53A21" w:rsidRPr="00305E0F">
        <w:rPr>
          <w:color w:val="auto"/>
          <w:lang w:val="en-GB"/>
        </w:rPr>
        <w:t xml:space="preserve">of banks </w:t>
      </w:r>
      <w:r w:rsidRPr="00305E0F">
        <w:rPr>
          <w:color w:val="auto"/>
          <w:lang w:val="en-GB"/>
        </w:rPr>
        <w:t xml:space="preserve">and capital requirements, approved by the Decision of the Executive Board of the National Bank of Moldova </w:t>
      </w:r>
      <w:r w:rsidR="00594C05" w:rsidRPr="00305E0F">
        <w:rPr>
          <w:color w:val="auto"/>
          <w:lang w:val="en-GB"/>
        </w:rPr>
        <w:t xml:space="preserve">No </w:t>
      </w:r>
      <w:r w:rsidRPr="00305E0F">
        <w:rPr>
          <w:color w:val="auto"/>
          <w:lang w:val="en-GB"/>
        </w:rPr>
        <w:t xml:space="preserve">109/2018 (hereinafter - Regulation </w:t>
      </w:r>
      <w:r w:rsidR="00594C05" w:rsidRPr="00305E0F">
        <w:rPr>
          <w:color w:val="auto"/>
          <w:lang w:val="en-GB"/>
        </w:rPr>
        <w:t xml:space="preserve">No </w:t>
      </w:r>
      <w:r w:rsidRPr="00305E0F">
        <w:rPr>
          <w:color w:val="auto"/>
          <w:lang w:val="en-GB"/>
        </w:rPr>
        <w:t>109/2018).</w:t>
      </w:r>
    </w:p>
    <w:p w14:paraId="3B123193" w14:textId="0873D67C" w:rsidR="00EB0050" w:rsidRPr="00305E0F" w:rsidRDefault="00B02122">
      <w:pPr>
        <w:pStyle w:val="P68B1DB1-ListParagraph8"/>
        <w:numPr>
          <w:ilvl w:val="0"/>
          <w:numId w:val="2"/>
        </w:numPr>
        <w:tabs>
          <w:tab w:val="left" w:pos="0"/>
          <w:tab w:val="left" w:pos="567"/>
        </w:tabs>
        <w:spacing w:before="60" w:after="0" w:line="240" w:lineRule="auto"/>
        <w:ind w:firstLine="567"/>
        <w:jc w:val="both"/>
        <w:rPr>
          <w:color w:val="auto"/>
          <w:lang w:val="en-GB"/>
        </w:rPr>
      </w:pPr>
      <w:r w:rsidRPr="00305E0F">
        <w:rPr>
          <w:color w:val="auto"/>
          <w:lang w:val="en-GB"/>
        </w:rPr>
        <w:t xml:space="preserve">The terms and expressions used in this Regulation have the meanings provided in the Law </w:t>
      </w:r>
      <w:r w:rsidR="00594C05" w:rsidRPr="00305E0F">
        <w:rPr>
          <w:color w:val="auto"/>
          <w:lang w:val="en-GB"/>
        </w:rPr>
        <w:t xml:space="preserve">No </w:t>
      </w:r>
      <w:r w:rsidRPr="00305E0F">
        <w:rPr>
          <w:color w:val="auto"/>
          <w:lang w:val="en-GB"/>
        </w:rPr>
        <w:t xml:space="preserve">202/2017 on </w:t>
      </w:r>
      <w:r w:rsidR="00594C05" w:rsidRPr="00305E0F">
        <w:rPr>
          <w:color w:val="auto"/>
          <w:lang w:val="en-GB"/>
        </w:rPr>
        <w:t xml:space="preserve">the activity of </w:t>
      </w:r>
      <w:r w:rsidRPr="00305E0F">
        <w:rPr>
          <w:color w:val="auto"/>
          <w:lang w:val="en-GB"/>
        </w:rPr>
        <w:t xml:space="preserve">banks (hereinafter - Law </w:t>
      </w:r>
      <w:r w:rsidR="00594C05" w:rsidRPr="00305E0F">
        <w:rPr>
          <w:color w:val="auto"/>
          <w:lang w:val="en-GB"/>
        </w:rPr>
        <w:t xml:space="preserve">No </w:t>
      </w:r>
      <w:r w:rsidRPr="00305E0F">
        <w:rPr>
          <w:color w:val="auto"/>
          <w:lang w:val="en-GB"/>
        </w:rPr>
        <w:t>202/2017) and in other normative acts of the National Bank of Moldova issued in application of the said law. The following concepts shall also be used for the purposes of this Regulation:</w:t>
      </w:r>
    </w:p>
    <w:p w14:paraId="563BFBC2" w14:textId="50E654F9" w:rsidR="00EB0050" w:rsidRPr="00305E0F" w:rsidRDefault="00C53A21">
      <w:pPr>
        <w:pStyle w:val="P68B1DB1-ListParagraph8"/>
        <w:numPr>
          <w:ilvl w:val="1"/>
          <w:numId w:val="2"/>
        </w:numPr>
        <w:shd w:val="clear" w:color="auto" w:fill="FFFFFF"/>
        <w:tabs>
          <w:tab w:val="left" w:pos="0"/>
        </w:tabs>
        <w:spacing w:before="60" w:after="0" w:line="240" w:lineRule="auto"/>
        <w:jc w:val="both"/>
        <w:rPr>
          <w:color w:val="auto"/>
          <w:lang w:val="en-GB"/>
        </w:rPr>
      </w:pPr>
      <w:bookmarkStart w:id="3" w:name="_Ref214982787"/>
      <w:r w:rsidRPr="00305E0F">
        <w:rPr>
          <w:b/>
          <w:color w:val="auto"/>
          <w:lang w:val="en-GB"/>
        </w:rPr>
        <w:t xml:space="preserve">PD/LGD modelling adjustment approach - </w:t>
      </w:r>
      <w:r w:rsidRPr="00305E0F">
        <w:rPr>
          <w:bCs/>
          <w:color w:val="auto"/>
          <w:lang w:val="en-GB"/>
        </w:rPr>
        <w:t>an adjustment of the LGD or modelling an adjustment of both the PD and the LGD of the underlying exposure;</w:t>
      </w:r>
    </w:p>
    <w:p w14:paraId="3557C07B" w14:textId="6CE22EEB" w:rsidR="00EB0050" w:rsidRPr="00305E0F" w:rsidRDefault="00B02122">
      <w:pPr>
        <w:pStyle w:val="P68B1DB1-ListParagraph8"/>
        <w:numPr>
          <w:ilvl w:val="1"/>
          <w:numId w:val="2"/>
        </w:numPr>
        <w:tabs>
          <w:tab w:val="left" w:pos="0"/>
        </w:tabs>
        <w:spacing w:after="0" w:line="240" w:lineRule="auto"/>
        <w:jc w:val="both"/>
        <w:rPr>
          <w:color w:val="auto"/>
          <w:sz w:val="18"/>
          <w:szCs w:val="18"/>
          <w:lang w:val="en-GB"/>
        </w:rPr>
      </w:pPr>
      <w:r w:rsidRPr="00305E0F">
        <w:rPr>
          <w:b/>
          <w:color w:val="auto"/>
          <w:lang w:val="en-GB"/>
        </w:rPr>
        <w:t>appropriate adjustment</w:t>
      </w:r>
      <w:r w:rsidRPr="00305E0F">
        <w:rPr>
          <w:color w:val="auto"/>
          <w:lang w:val="en-GB"/>
        </w:rPr>
        <w:t xml:space="preserve"> </w:t>
      </w:r>
      <w:r w:rsidRPr="00305E0F">
        <w:rPr>
          <w:b/>
          <w:color w:val="auto"/>
          <w:lang w:val="en-GB"/>
        </w:rPr>
        <w:t>-</w:t>
      </w:r>
      <w:r w:rsidRPr="00305E0F">
        <w:rPr>
          <w:color w:val="auto"/>
          <w:lang w:val="en-GB"/>
        </w:rPr>
        <w:t xml:space="preserve"> </w:t>
      </w:r>
      <w:r w:rsidR="00C53A21" w:rsidRPr="00305E0F">
        <w:rPr>
          <w:color w:val="auto"/>
          <w:lang w:val="en-GB"/>
        </w:rPr>
        <w:t>the impact on risk parameter estimates resulting from the application of methodologies within the estimation of risk parameters to correct the identified deficiencies in data and in estimation methods, and to account for changes to underwriting standards, risk appetite, collection and recovery policies and any other source of additional uncertainty, to the extent possible in order to avoid biases in risk parameter estimates</w:t>
      </w:r>
      <w:r w:rsidRPr="00305E0F">
        <w:rPr>
          <w:color w:val="auto"/>
          <w:lang w:val="en-GB"/>
        </w:rPr>
        <w:t>;</w:t>
      </w:r>
    </w:p>
    <w:p w14:paraId="43A25583" w14:textId="2CF4B705" w:rsidR="00EB0050" w:rsidRPr="00305E0F" w:rsidRDefault="00B02122">
      <w:pPr>
        <w:pStyle w:val="P68B1DB1-ListParagraph8"/>
        <w:numPr>
          <w:ilvl w:val="1"/>
          <w:numId w:val="2"/>
        </w:numPr>
        <w:tabs>
          <w:tab w:val="left" w:pos="0"/>
        </w:tabs>
        <w:spacing w:before="60" w:after="0" w:line="240" w:lineRule="auto"/>
        <w:jc w:val="both"/>
        <w:rPr>
          <w:color w:val="auto"/>
          <w:lang w:val="en-GB"/>
        </w:rPr>
      </w:pPr>
      <w:bookmarkStart w:id="4" w:name="_Ref214982804"/>
      <w:r w:rsidRPr="00305E0F">
        <w:rPr>
          <w:b/>
          <w:color w:val="auto"/>
          <w:lang w:val="en-GB"/>
        </w:rPr>
        <w:t>exposure class</w:t>
      </w:r>
      <w:r w:rsidRPr="00305E0F">
        <w:rPr>
          <w:color w:val="auto"/>
          <w:lang w:val="en-GB"/>
        </w:rPr>
        <w:t xml:space="preserve"> </w:t>
      </w:r>
      <w:r w:rsidRPr="00305E0F">
        <w:rPr>
          <w:b/>
          <w:color w:val="auto"/>
          <w:lang w:val="en-GB"/>
        </w:rPr>
        <w:t>-</w:t>
      </w:r>
      <w:r w:rsidRPr="00305E0F">
        <w:rPr>
          <w:color w:val="auto"/>
          <w:lang w:val="en-GB"/>
        </w:rPr>
        <w:t xml:space="preserve"> any of the exposure classes referred to in p</w:t>
      </w:r>
      <w:r w:rsidR="00C53A21" w:rsidRPr="00305E0F">
        <w:rPr>
          <w:color w:val="auto"/>
          <w:lang w:val="en-GB"/>
        </w:rPr>
        <w:t xml:space="preserve">aragraph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w:t>
      </w:r>
      <w:bookmarkEnd w:id="4"/>
    </w:p>
    <w:p w14:paraId="544954D2" w14:textId="575CDF5B" w:rsidR="00EB0050" w:rsidRPr="00305E0F" w:rsidRDefault="00B02122">
      <w:pPr>
        <w:pStyle w:val="P68B1DB1-ListParagraph11"/>
        <w:numPr>
          <w:ilvl w:val="1"/>
          <w:numId w:val="2"/>
        </w:numPr>
        <w:shd w:val="clear" w:color="auto" w:fill="FFFFFF"/>
        <w:tabs>
          <w:tab w:val="left" w:pos="0"/>
        </w:tabs>
        <w:spacing w:before="60" w:after="0" w:line="240" w:lineRule="auto"/>
        <w:jc w:val="both"/>
        <w:rPr>
          <w:color w:val="auto"/>
          <w:sz w:val="24"/>
          <w:szCs w:val="24"/>
          <w:lang w:val="en-GB"/>
        </w:rPr>
      </w:pPr>
      <w:r w:rsidRPr="00305E0F">
        <w:rPr>
          <w:b/>
          <w:color w:val="auto"/>
          <w:sz w:val="24"/>
          <w:szCs w:val="24"/>
          <w:lang w:val="en-GB"/>
        </w:rPr>
        <w:t xml:space="preserve">obligor grade </w:t>
      </w:r>
      <w:r w:rsidR="00C53A21" w:rsidRPr="00305E0F">
        <w:rPr>
          <w:b/>
          <w:color w:val="auto"/>
          <w:sz w:val="24"/>
          <w:szCs w:val="24"/>
          <w:lang w:val="en-GB"/>
        </w:rPr>
        <w:t>-</w:t>
      </w:r>
      <w:r w:rsidR="00C53A21" w:rsidRPr="00305E0F">
        <w:rPr>
          <w:color w:val="auto"/>
          <w:sz w:val="24"/>
          <w:szCs w:val="24"/>
          <w:lang w:val="en-GB"/>
        </w:rPr>
        <w:t xml:space="preserve"> risk category within the obligor rating scale of a rating system, to which obligors are assigned on the basis of a specified and distinct set of rating criteria, from which estimates of probability of default (PD) are derived</w:t>
      </w:r>
      <w:r w:rsidRPr="00305E0F">
        <w:rPr>
          <w:color w:val="auto"/>
          <w:sz w:val="24"/>
          <w:szCs w:val="24"/>
          <w:lang w:val="en-GB"/>
        </w:rPr>
        <w:t>;</w:t>
      </w:r>
      <w:r w:rsidRPr="00305E0F">
        <w:rPr>
          <w:color w:val="auto"/>
          <w:sz w:val="18"/>
          <w:szCs w:val="18"/>
          <w:highlight w:val="lightGray"/>
          <w:lang w:val="en-GB"/>
        </w:rPr>
        <w:t xml:space="preserve"> </w:t>
      </w:r>
    </w:p>
    <w:p w14:paraId="7D607F83" w14:textId="6AF7EF25" w:rsidR="00EB0050" w:rsidRPr="00305E0F" w:rsidRDefault="00C53A21">
      <w:pPr>
        <w:pStyle w:val="P68B1DB1-ListParagraph8"/>
        <w:numPr>
          <w:ilvl w:val="1"/>
          <w:numId w:val="2"/>
        </w:numPr>
        <w:shd w:val="clear" w:color="auto" w:fill="FFFFFF"/>
        <w:tabs>
          <w:tab w:val="left" w:pos="0"/>
        </w:tabs>
        <w:spacing w:before="60" w:after="0" w:line="240" w:lineRule="auto"/>
        <w:jc w:val="both"/>
        <w:rPr>
          <w:color w:val="auto"/>
          <w:lang w:val="en-GB"/>
        </w:rPr>
      </w:pPr>
      <w:r w:rsidRPr="00305E0F">
        <w:rPr>
          <w:b/>
          <w:color w:val="auto"/>
          <w:lang w:val="en-GB"/>
        </w:rPr>
        <w:t xml:space="preserve">facility grade </w:t>
      </w:r>
      <w:r w:rsidRPr="00305E0F">
        <w:rPr>
          <w:color w:val="auto"/>
          <w:lang w:val="en-GB"/>
        </w:rPr>
        <w:t>-</w:t>
      </w:r>
      <w:r w:rsidR="00E14F89" w:rsidRPr="00305E0F">
        <w:rPr>
          <w:color w:val="auto"/>
          <w:lang w:val="en-GB"/>
        </w:rPr>
        <w:t xml:space="preserve"> a</w:t>
      </w:r>
      <w:r w:rsidRPr="00305E0F">
        <w:rPr>
          <w:color w:val="auto"/>
          <w:lang w:val="en-GB"/>
        </w:rPr>
        <w:t xml:space="preserve"> </w:t>
      </w:r>
      <w:r w:rsidR="00E14F89" w:rsidRPr="00305E0F">
        <w:rPr>
          <w:color w:val="auto"/>
          <w:lang w:val="en-GB"/>
        </w:rPr>
        <w:t>risk category within a rating system's facility scale, to which exposures are assigned on the basis of a specified and distinct set of rating criteria, from which own estimates of LGD are derived</w:t>
      </w:r>
      <w:r w:rsidRPr="00305E0F">
        <w:rPr>
          <w:color w:val="auto"/>
          <w:lang w:val="en-GB"/>
        </w:rPr>
        <w:t>;</w:t>
      </w:r>
    </w:p>
    <w:p w14:paraId="5C91ABC8" w14:textId="6C2C146B" w:rsidR="00EB0050" w:rsidRPr="00305E0F" w:rsidRDefault="00B02122">
      <w:pPr>
        <w:pStyle w:val="P68B1DB1-ListParagraph8"/>
        <w:numPr>
          <w:ilvl w:val="1"/>
          <w:numId w:val="2"/>
        </w:numPr>
        <w:shd w:val="clear" w:color="auto" w:fill="FFFFFF"/>
        <w:tabs>
          <w:tab w:val="left" w:pos="0"/>
        </w:tabs>
        <w:spacing w:before="60" w:after="0" w:line="240" w:lineRule="auto"/>
        <w:jc w:val="both"/>
        <w:rPr>
          <w:color w:val="auto"/>
          <w:lang w:val="en-GB"/>
        </w:rPr>
      </w:pPr>
      <w:r w:rsidRPr="00305E0F">
        <w:rPr>
          <w:b/>
          <w:color w:val="auto"/>
          <w:lang w:val="en-GB"/>
        </w:rPr>
        <w:t>large regulated financial sector entity</w:t>
      </w:r>
      <w:r w:rsidRPr="00305E0F">
        <w:rPr>
          <w:color w:val="auto"/>
          <w:lang w:val="en-GB"/>
        </w:rPr>
        <w:t xml:space="preserve"> </w:t>
      </w:r>
      <w:r w:rsidRPr="00305E0F">
        <w:rPr>
          <w:b/>
          <w:color w:val="auto"/>
          <w:lang w:val="en-GB"/>
        </w:rPr>
        <w:t>-</w:t>
      </w:r>
      <w:r w:rsidRPr="00305E0F">
        <w:rPr>
          <w:color w:val="auto"/>
          <w:lang w:val="en-GB"/>
        </w:rPr>
        <w:t xml:space="preserve"> </w:t>
      </w:r>
      <w:r w:rsidR="00E14F89" w:rsidRPr="00305E0F">
        <w:rPr>
          <w:color w:val="auto"/>
          <w:lang w:val="en-GB"/>
        </w:rPr>
        <w:t>a financial sector entity which meets all of the following conditions</w:t>
      </w:r>
      <w:r w:rsidRPr="00305E0F">
        <w:rPr>
          <w:color w:val="auto"/>
          <w:lang w:val="en-GB"/>
        </w:rPr>
        <w:t>:</w:t>
      </w:r>
    </w:p>
    <w:p w14:paraId="5B77F5EA" w14:textId="1C06DDCA" w:rsidR="00EB0050" w:rsidRPr="00305E0F" w:rsidRDefault="00E14F89">
      <w:pPr>
        <w:pStyle w:val="P68B1DB1-ListParagraph8"/>
        <w:numPr>
          <w:ilvl w:val="2"/>
          <w:numId w:val="2"/>
        </w:numPr>
        <w:shd w:val="clear" w:color="auto" w:fill="FFFFFF"/>
        <w:tabs>
          <w:tab w:val="left" w:pos="0"/>
        </w:tabs>
        <w:spacing w:before="60" w:after="0" w:line="240" w:lineRule="auto"/>
        <w:ind w:left="0"/>
        <w:jc w:val="both"/>
        <w:rPr>
          <w:color w:val="auto"/>
          <w:lang w:val="en-GB"/>
        </w:rPr>
      </w:pPr>
      <w:r w:rsidRPr="00305E0F">
        <w:rPr>
          <w:color w:val="auto"/>
          <w:lang w:val="en-GB"/>
        </w:rPr>
        <w:t xml:space="preserve">the entity’s total assets, or the total assets of its parent company where the entity has a parent company, calculated on an individual or consolidated basis, are equal to or greater than the MDL equivalent of EUR 70 billion, using the most recent audited financial statement or consolidated financial statement in order to determine asset size; </w:t>
      </w:r>
    </w:p>
    <w:p w14:paraId="2421FF2E" w14:textId="4949D2CE" w:rsidR="00EB0050" w:rsidRPr="00305E0F" w:rsidRDefault="00B02122">
      <w:pPr>
        <w:pStyle w:val="P68B1DB1-ListParagraph8"/>
        <w:numPr>
          <w:ilvl w:val="2"/>
          <w:numId w:val="2"/>
        </w:numPr>
        <w:shd w:val="clear" w:color="auto" w:fill="FFFFFF"/>
        <w:tabs>
          <w:tab w:val="left" w:pos="0"/>
        </w:tabs>
        <w:spacing w:before="60" w:after="0" w:line="240" w:lineRule="auto"/>
        <w:ind w:left="0"/>
        <w:jc w:val="both"/>
        <w:rPr>
          <w:color w:val="auto"/>
          <w:lang w:val="en-GB"/>
        </w:rPr>
      </w:pPr>
      <w:bookmarkStart w:id="5" w:name="_Ref231546791"/>
      <w:r w:rsidRPr="00305E0F">
        <w:rPr>
          <w:color w:val="auto"/>
          <w:lang w:val="en-GB"/>
        </w:rPr>
        <w:t xml:space="preserve">the entity is subject to prudential requirements, directly on an individual or consolidated basis or indirectly on the basis of prudential consolidation of </w:t>
      </w:r>
      <w:r w:rsidR="00E14F89" w:rsidRPr="00305E0F">
        <w:rPr>
          <w:color w:val="auto"/>
          <w:lang w:val="en-GB"/>
        </w:rPr>
        <w:t>its</w:t>
      </w:r>
      <w:r w:rsidRPr="00305E0F">
        <w:rPr>
          <w:color w:val="auto"/>
          <w:lang w:val="en-GB"/>
        </w:rPr>
        <w:t xml:space="preserve"> parent undertaking, in accordance with the Regulation on </w:t>
      </w:r>
      <w:r w:rsidR="00E14F89" w:rsidRPr="00305E0F">
        <w:rPr>
          <w:color w:val="auto"/>
          <w:lang w:val="en-GB"/>
        </w:rPr>
        <w:t xml:space="preserve">consolidated </w:t>
      </w:r>
      <w:r w:rsidRPr="00305E0F">
        <w:rPr>
          <w:color w:val="auto"/>
          <w:lang w:val="en-GB"/>
        </w:rPr>
        <w:t xml:space="preserve">supervision of banks, approved by Decision of the Executive Board of the National Bank of Moldova </w:t>
      </w:r>
      <w:r w:rsidR="00594C05" w:rsidRPr="00305E0F">
        <w:rPr>
          <w:color w:val="auto"/>
          <w:lang w:val="en-GB"/>
        </w:rPr>
        <w:t xml:space="preserve">No </w:t>
      </w:r>
      <w:r w:rsidRPr="00305E0F">
        <w:rPr>
          <w:color w:val="auto"/>
          <w:lang w:val="en-GB"/>
        </w:rPr>
        <w:t xml:space="preserve">101/2020 (hereinafter - Regulation </w:t>
      </w:r>
      <w:r w:rsidR="00594C05" w:rsidRPr="00305E0F">
        <w:rPr>
          <w:color w:val="auto"/>
          <w:lang w:val="en-GB"/>
        </w:rPr>
        <w:t xml:space="preserve">No </w:t>
      </w:r>
      <w:r w:rsidRPr="00305E0F">
        <w:rPr>
          <w:color w:val="auto"/>
          <w:lang w:val="en-GB"/>
        </w:rPr>
        <w:t>101/2020), normative acts on prudential requirements of investment firms and normative acts on the taking-up and pursuit of the business of insurance and reinsurance, or legal prudential requirements of a third country that are at least equivalent to those normative acts of the Republic of Moldova;</w:t>
      </w:r>
      <w:bookmarkEnd w:id="5"/>
    </w:p>
    <w:p w14:paraId="3591212B" w14:textId="235B340E" w:rsidR="00EB0050" w:rsidRPr="00305E0F" w:rsidRDefault="001777BD">
      <w:pPr>
        <w:pStyle w:val="P68B1DB1-ListParagraph8"/>
        <w:numPr>
          <w:ilvl w:val="1"/>
          <w:numId w:val="2"/>
        </w:numPr>
        <w:shd w:val="clear" w:color="auto" w:fill="FFFFFF"/>
        <w:tabs>
          <w:tab w:val="left" w:pos="0"/>
        </w:tabs>
        <w:spacing w:before="60" w:after="0" w:line="240" w:lineRule="auto"/>
        <w:jc w:val="both"/>
        <w:rPr>
          <w:color w:val="auto"/>
          <w:lang w:val="en-GB"/>
        </w:rPr>
      </w:pPr>
      <w:r w:rsidRPr="00305E0F">
        <w:rPr>
          <w:b/>
          <w:color w:val="auto"/>
          <w:lang w:val="en-GB"/>
        </w:rPr>
        <w:lastRenderedPageBreak/>
        <w:t>unregulated financial sector entity -</w:t>
      </w:r>
      <w:r w:rsidRPr="00305E0F">
        <w:rPr>
          <w:color w:val="auto"/>
          <w:lang w:val="en-GB"/>
        </w:rPr>
        <w:t xml:space="preserve"> a financial sector entity that does not </w:t>
      </w:r>
      <w:r w:rsidR="002B71C3" w:rsidRPr="00305E0F">
        <w:rPr>
          <w:color w:val="auto"/>
          <w:lang w:val="en-GB"/>
        </w:rPr>
        <w:t>fulfil the</w:t>
      </w:r>
      <w:r w:rsidRPr="00305E0F">
        <w:rPr>
          <w:color w:val="auto"/>
          <w:lang w:val="en-GB"/>
        </w:rPr>
        <w:t xml:space="preserve"> condition set out in </w:t>
      </w:r>
      <w:r w:rsidR="002B71C3"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_Ref231546791 \r \h </w:instrText>
      </w:r>
      <w:r w:rsidRPr="00305E0F">
        <w:rPr>
          <w:color w:val="auto"/>
          <w:lang w:val="en-GB"/>
        </w:rPr>
      </w:r>
      <w:r w:rsidRPr="00305E0F">
        <w:rPr>
          <w:color w:val="auto"/>
          <w:lang w:val="en-GB"/>
        </w:rPr>
        <w:fldChar w:fldCharType="separate"/>
      </w:r>
      <w:r w:rsidR="00594C05" w:rsidRPr="00305E0F">
        <w:rPr>
          <w:color w:val="auto"/>
          <w:lang w:val="en-GB"/>
        </w:rPr>
        <w:t>3.6.2</w:t>
      </w:r>
      <w:r w:rsidRPr="00305E0F">
        <w:rPr>
          <w:color w:val="auto"/>
          <w:lang w:val="en-GB"/>
        </w:rPr>
        <w:fldChar w:fldCharType="end"/>
      </w:r>
      <w:r w:rsidRPr="00305E0F">
        <w:rPr>
          <w:color w:val="auto"/>
          <w:lang w:val="en-GB"/>
        </w:rPr>
        <w:t>;</w:t>
      </w:r>
    </w:p>
    <w:p w14:paraId="19B67226" w14:textId="2801E6D0" w:rsidR="00EB0050" w:rsidRPr="00305E0F" w:rsidRDefault="00B02122">
      <w:pPr>
        <w:pStyle w:val="P68B1DB1-ListParagraph8"/>
        <w:numPr>
          <w:ilvl w:val="1"/>
          <w:numId w:val="2"/>
        </w:numPr>
        <w:shd w:val="clear" w:color="auto" w:fill="FFFFFF"/>
        <w:tabs>
          <w:tab w:val="left" w:pos="0"/>
        </w:tabs>
        <w:spacing w:before="60" w:after="0" w:line="240" w:lineRule="auto"/>
        <w:jc w:val="both"/>
        <w:rPr>
          <w:color w:val="auto"/>
          <w:lang w:val="en-GB"/>
        </w:rPr>
      </w:pPr>
      <w:r w:rsidRPr="00305E0F">
        <w:rPr>
          <w:b/>
          <w:color w:val="auto"/>
          <w:lang w:val="en-GB"/>
        </w:rPr>
        <w:t>retail exposure</w:t>
      </w:r>
      <w:r w:rsidRPr="00305E0F">
        <w:rPr>
          <w:color w:val="auto"/>
          <w:lang w:val="en-GB"/>
        </w:rPr>
        <w:t xml:space="preserve"> </w:t>
      </w:r>
      <w:r w:rsidRPr="00305E0F">
        <w:rPr>
          <w:b/>
          <w:color w:val="auto"/>
          <w:lang w:val="en-GB"/>
        </w:rPr>
        <w:t>-</w:t>
      </w:r>
      <w:r w:rsidRPr="00305E0F">
        <w:rPr>
          <w:color w:val="auto"/>
          <w:lang w:val="en-GB"/>
        </w:rPr>
        <w:t xml:space="preserve"> an exposure assigned to any of the exposure classes referred to in </w:t>
      </w:r>
      <w:r w:rsidR="002B71C3"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002B71C3" w:rsidRPr="00305E0F">
        <w:rPr>
          <w:color w:val="auto"/>
          <w:lang w:val="en-GB"/>
        </w:rPr>
        <w:t xml:space="preserve"> sub-paragraph </w:t>
      </w:r>
      <w:r w:rsidRPr="00305E0F">
        <w:rPr>
          <w:color w:val="auto"/>
          <w:lang w:val="en-GB"/>
        </w:rPr>
        <w:fldChar w:fldCharType="begin"/>
      </w:r>
      <w:r w:rsidRPr="00305E0F">
        <w:rPr>
          <w:color w:val="auto"/>
          <w:lang w:val="en-GB"/>
        </w:rPr>
        <w:instrText xml:space="preserve"> REF _Ref214975112 \r \h </w:instrText>
      </w:r>
      <w:r w:rsidRPr="00305E0F">
        <w:rPr>
          <w:color w:val="auto"/>
          <w:lang w:val="en-GB"/>
        </w:rPr>
      </w:r>
      <w:r w:rsidRPr="00305E0F">
        <w:rPr>
          <w:color w:val="auto"/>
          <w:lang w:val="en-GB"/>
        </w:rPr>
        <w:fldChar w:fldCharType="separate"/>
      </w:r>
      <w:r w:rsidR="00594C05" w:rsidRPr="00305E0F">
        <w:rPr>
          <w:color w:val="auto"/>
          <w:lang w:val="en-GB"/>
        </w:rPr>
        <w:t>19.5</w:t>
      </w:r>
      <w:r w:rsidRPr="00305E0F">
        <w:rPr>
          <w:color w:val="auto"/>
          <w:lang w:val="en-GB"/>
        </w:rPr>
        <w:fldChar w:fldCharType="end"/>
      </w:r>
      <w:r w:rsidRPr="00305E0F">
        <w:rPr>
          <w:color w:val="auto"/>
          <w:lang w:val="en-GB"/>
        </w:rPr>
        <w:t>;</w:t>
      </w:r>
    </w:p>
    <w:p w14:paraId="34C9BE55" w14:textId="6CE74ACE" w:rsidR="00EB0050" w:rsidRPr="00305E0F" w:rsidRDefault="00B02122">
      <w:pPr>
        <w:pStyle w:val="P68B1DB1-ListParagraph8"/>
        <w:numPr>
          <w:ilvl w:val="1"/>
          <w:numId w:val="2"/>
        </w:numPr>
        <w:tabs>
          <w:tab w:val="left" w:pos="0"/>
        </w:tabs>
        <w:spacing w:after="0" w:line="240" w:lineRule="auto"/>
        <w:jc w:val="both"/>
        <w:rPr>
          <w:color w:val="auto"/>
          <w:sz w:val="18"/>
          <w:szCs w:val="18"/>
          <w:lang w:val="en-GB"/>
        </w:rPr>
      </w:pPr>
      <w:r w:rsidRPr="00305E0F">
        <w:rPr>
          <w:b/>
          <w:color w:val="auto"/>
          <w:lang w:val="en-GB"/>
        </w:rPr>
        <w:t>credit exposure</w:t>
      </w:r>
      <w:r w:rsidRPr="00305E0F">
        <w:rPr>
          <w:color w:val="auto"/>
          <w:lang w:val="en-GB"/>
        </w:rPr>
        <w:t xml:space="preserve"> </w:t>
      </w:r>
      <w:r w:rsidRPr="00305E0F">
        <w:rPr>
          <w:b/>
          <w:color w:val="auto"/>
          <w:lang w:val="en-GB"/>
        </w:rPr>
        <w:t>-</w:t>
      </w:r>
      <w:r w:rsidRPr="00305E0F">
        <w:rPr>
          <w:color w:val="auto"/>
          <w:lang w:val="en-GB"/>
        </w:rPr>
        <w:t xml:space="preserve"> any on- or off-balance sheet item that results</w:t>
      </w:r>
      <w:r w:rsidR="002B71C3" w:rsidRPr="00305E0F">
        <w:rPr>
          <w:color w:val="auto"/>
          <w:lang w:val="en-GB"/>
        </w:rPr>
        <w:t>,</w:t>
      </w:r>
      <w:r w:rsidRPr="00305E0F">
        <w:rPr>
          <w:color w:val="auto"/>
          <w:lang w:val="en-GB"/>
        </w:rPr>
        <w:t xml:space="preserve"> or may result in a credit obligation;</w:t>
      </w:r>
    </w:p>
    <w:p w14:paraId="7E5C5E8D" w14:textId="513EDA91" w:rsidR="00EB0050" w:rsidRPr="00305E0F" w:rsidRDefault="002B71C3">
      <w:pPr>
        <w:pStyle w:val="P68B1DB1-ListParagraph8"/>
        <w:numPr>
          <w:ilvl w:val="1"/>
          <w:numId w:val="2"/>
        </w:numPr>
        <w:shd w:val="clear" w:color="auto" w:fill="FFFFFF"/>
        <w:tabs>
          <w:tab w:val="left" w:pos="0"/>
        </w:tabs>
        <w:spacing w:before="60" w:after="0" w:line="240" w:lineRule="auto"/>
        <w:jc w:val="both"/>
        <w:rPr>
          <w:color w:val="auto"/>
          <w:lang w:val="en-GB"/>
        </w:rPr>
      </w:pPr>
      <w:r w:rsidRPr="00305E0F">
        <w:rPr>
          <w:b/>
          <w:color w:val="auto"/>
          <w:lang w:val="en-GB"/>
        </w:rPr>
        <w:t>regional governments, local authorities and public sector entities exposure -</w:t>
      </w:r>
      <w:r w:rsidRPr="00305E0F">
        <w:rPr>
          <w:color w:val="auto"/>
          <w:lang w:val="en-GB"/>
        </w:rPr>
        <w:t xml:space="preserve"> an exposure assigned to any of the exposure classes referred to in paragraph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sub-paragraph </w:t>
      </w:r>
      <w:r w:rsidRPr="00305E0F">
        <w:rPr>
          <w:color w:val="auto"/>
          <w:lang w:val="en-GB"/>
        </w:rPr>
        <w:fldChar w:fldCharType="begin"/>
      </w:r>
      <w:r w:rsidRPr="00305E0F">
        <w:rPr>
          <w:color w:val="auto"/>
          <w:lang w:val="en-GB"/>
        </w:rPr>
        <w:instrText xml:space="preserve"> REF _Ref214974754 \r \h </w:instrText>
      </w:r>
      <w:r w:rsidRPr="00305E0F">
        <w:rPr>
          <w:color w:val="auto"/>
          <w:lang w:val="en-GB"/>
        </w:rPr>
      </w:r>
      <w:r w:rsidRPr="00305E0F">
        <w:rPr>
          <w:color w:val="auto"/>
          <w:lang w:val="en-GB"/>
        </w:rPr>
        <w:fldChar w:fldCharType="separate"/>
      </w:r>
      <w:r w:rsidR="00594C05" w:rsidRPr="00305E0F">
        <w:rPr>
          <w:color w:val="auto"/>
          <w:lang w:val="en-GB"/>
        </w:rPr>
        <w:t>19.2</w:t>
      </w:r>
      <w:r w:rsidRPr="00305E0F">
        <w:rPr>
          <w:color w:val="auto"/>
          <w:lang w:val="en-GB"/>
        </w:rPr>
        <w:fldChar w:fldCharType="end"/>
      </w:r>
      <w:r w:rsidRPr="00305E0F">
        <w:rPr>
          <w:color w:val="auto"/>
          <w:lang w:val="en-GB"/>
        </w:rPr>
        <w:t>;</w:t>
      </w:r>
    </w:p>
    <w:p w14:paraId="0D791A7C" w14:textId="346919B1" w:rsidR="00EB0050" w:rsidRPr="00305E0F" w:rsidRDefault="00B02122">
      <w:pPr>
        <w:pStyle w:val="P68B1DB1-ListParagraph8"/>
        <w:numPr>
          <w:ilvl w:val="1"/>
          <w:numId w:val="2"/>
        </w:numPr>
        <w:shd w:val="clear" w:color="auto" w:fill="FFFFFF"/>
        <w:tabs>
          <w:tab w:val="left" w:pos="0"/>
        </w:tabs>
        <w:spacing w:before="60" w:after="0" w:line="240" w:lineRule="auto"/>
        <w:jc w:val="both"/>
        <w:rPr>
          <w:color w:val="auto"/>
          <w:lang w:val="en-GB"/>
        </w:rPr>
      </w:pPr>
      <w:r w:rsidRPr="00305E0F">
        <w:rPr>
          <w:b/>
          <w:color w:val="auto"/>
          <w:lang w:val="en-GB"/>
        </w:rPr>
        <w:t xml:space="preserve">corporate exposure </w:t>
      </w:r>
      <w:r w:rsidR="002B71C3" w:rsidRPr="00305E0F">
        <w:rPr>
          <w:b/>
          <w:color w:val="auto"/>
          <w:lang w:val="en-GB"/>
        </w:rPr>
        <w:t>-</w:t>
      </w:r>
      <w:r w:rsidR="002B71C3" w:rsidRPr="00305E0F">
        <w:rPr>
          <w:color w:val="auto"/>
          <w:lang w:val="en-GB"/>
        </w:rPr>
        <w:t xml:space="preserve"> an</w:t>
      </w:r>
      <w:r w:rsidRPr="00305E0F">
        <w:rPr>
          <w:color w:val="auto"/>
          <w:lang w:val="en-GB"/>
        </w:rPr>
        <w:t xml:space="preserve"> exposure assigned to any of the exposure classes referred to in </w:t>
      </w:r>
      <w:r w:rsidR="002B71C3"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2B71C3"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_Ref214978989 \r \h </w:instrText>
      </w:r>
      <w:r w:rsidRPr="00305E0F">
        <w:rPr>
          <w:color w:val="auto"/>
          <w:lang w:val="en-GB"/>
        </w:rPr>
      </w:r>
      <w:r w:rsidRPr="00305E0F">
        <w:rPr>
          <w:color w:val="auto"/>
          <w:lang w:val="en-GB"/>
        </w:rPr>
        <w:fldChar w:fldCharType="separate"/>
      </w:r>
      <w:r w:rsidR="00594C05" w:rsidRPr="00305E0F">
        <w:rPr>
          <w:color w:val="auto"/>
          <w:lang w:val="en-GB"/>
        </w:rPr>
        <w:t>19.4</w:t>
      </w:r>
      <w:r w:rsidRPr="00305E0F">
        <w:rPr>
          <w:color w:val="auto"/>
          <w:lang w:val="en-GB"/>
        </w:rPr>
        <w:fldChar w:fldCharType="end"/>
      </w:r>
      <w:r w:rsidRPr="00305E0F">
        <w:rPr>
          <w:color w:val="auto"/>
          <w:lang w:val="en-GB"/>
        </w:rPr>
        <w:t>;</w:t>
      </w:r>
    </w:p>
    <w:p w14:paraId="1F943973" w14:textId="2D115387" w:rsidR="00EB0050" w:rsidRPr="00305E0F" w:rsidRDefault="00B02122">
      <w:pPr>
        <w:pStyle w:val="ListParagraph"/>
        <w:numPr>
          <w:ilvl w:val="1"/>
          <w:numId w:val="2"/>
        </w:numPr>
        <w:shd w:val="clear" w:color="auto" w:fill="FFFFFF"/>
        <w:tabs>
          <w:tab w:val="left" w:pos="0"/>
        </w:tabs>
        <w:spacing w:before="60" w:after="0" w:line="240" w:lineRule="auto"/>
        <w:jc w:val="both"/>
        <w:rPr>
          <w:rFonts w:ascii="Times New Roman" w:hAnsi="Times New Roman" w:cs="Times New Roman"/>
          <w:sz w:val="24"/>
          <w:szCs w:val="24"/>
          <w:lang w:val="en-GB"/>
        </w:rPr>
      </w:pPr>
      <w:r w:rsidRPr="00305E0F">
        <w:rPr>
          <w:rFonts w:ascii="Times New Roman" w:hAnsi="Times New Roman" w:cs="Times New Roman"/>
          <w:b/>
          <w:sz w:val="24"/>
          <w:szCs w:val="24"/>
          <w:lang w:val="en-GB"/>
        </w:rPr>
        <w:t>credit conversion factor based on the Standardised Approach</w:t>
      </w:r>
      <w:r w:rsidRPr="00305E0F">
        <w:rPr>
          <w:lang w:val="en-GB"/>
        </w:rPr>
        <w:t xml:space="preserve"> </w:t>
      </w:r>
      <w:r w:rsidRPr="00305E0F">
        <w:rPr>
          <w:rFonts w:ascii="Times New Roman" w:hAnsi="Times New Roman" w:cs="Times New Roman"/>
          <w:sz w:val="24"/>
          <w:szCs w:val="24"/>
          <w:lang w:val="en-GB"/>
        </w:rPr>
        <w:t>(SA-CCF) - percentage applicable under the Regulation</w:t>
      </w:r>
      <w:r w:rsidRPr="00305E0F">
        <w:rPr>
          <w:lang w:val="en-GB"/>
        </w:rPr>
        <w:t xml:space="preserve"> </w:t>
      </w:r>
      <w:r w:rsidRPr="00305E0F">
        <w:rPr>
          <w:rFonts w:ascii="Times New Roman" w:hAnsi="Times New Roman" w:cs="Times New Roman"/>
          <w:sz w:val="24"/>
          <w:szCs w:val="24"/>
          <w:lang w:val="en-GB"/>
        </w:rPr>
        <w:t xml:space="preserve">on the treatment of </w:t>
      </w:r>
      <w:r w:rsidR="00E1116E" w:rsidRPr="00305E0F">
        <w:rPr>
          <w:rFonts w:ascii="Times New Roman" w:hAnsi="Times New Roman" w:cs="Times New Roman"/>
          <w:sz w:val="24"/>
          <w:szCs w:val="24"/>
          <w:lang w:val="en-GB"/>
        </w:rPr>
        <w:t xml:space="preserve">banks’ </w:t>
      </w:r>
      <w:r w:rsidRPr="00305E0F">
        <w:rPr>
          <w:rFonts w:ascii="Times New Roman" w:hAnsi="Times New Roman" w:cs="Times New Roman"/>
          <w:sz w:val="24"/>
          <w:szCs w:val="24"/>
          <w:lang w:val="en-GB"/>
        </w:rPr>
        <w:t xml:space="preserve">credit risk </w:t>
      </w:r>
      <w:r w:rsidR="00E1116E" w:rsidRPr="00305E0F">
        <w:rPr>
          <w:rFonts w:ascii="Times New Roman" w:hAnsi="Times New Roman" w:cs="Times New Roman"/>
          <w:sz w:val="24"/>
          <w:szCs w:val="24"/>
          <w:lang w:val="en-GB"/>
        </w:rPr>
        <w:t>using</w:t>
      </w:r>
      <w:r w:rsidRPr="00305E0F">
        <w:rPr>
          <w:rFonts w:ascii="Times New Roman" w:hAnsi="Times New Roman" w:cs="Times New Roman"/>
          <w:sz w:val="24"/>
          <w:szCs w:val="24"/>
          <w:lang w:val="en-GB"/>
        </w:rPr>
        <w:t xml:space="preserve"> </w:t>
      </w:r>
      <w:r w:rsidR="00E1116E" w:rsidRPr="00305E0F">
        <w:rPr>
          <w:rFonts w:ascii="Times New Roman" w:hAnsi="Times New Roman" w:cs="Times New Roman"/>
          <w:sz w:val="24"/>
          <w:szCs w:val="24"/>
          <w:lang w:val="en-GB"/>
        </w:rPr>
        <w:t>s</w:t>
      </w:r>
      <w:r w:rsidRPr="00305E0F">
        <w:rPr>
          <w:rFonts w:ascii="Times New Roman" w:hAnsi="Times New Roman" w:cs="Times New Roman"/>
          <w:sz w:val="24"/>
          <w:szCs w:val="24"/>
          <w:lang w:val="en-GB"/>
        </w:rPr>
        <w:t xml:space="preserve">tandardised </w:t>
      </w:r>
      <w:r w:rsidR="00E1116E" w:rsidRPr="00305E0F">
        <w:rPr>
          <w:rFonts w:ascii="Times New Roman" w:hAnsi="Times New Roman" w:cs="Times New Roman"/>
          <w:sz w:val="24"/>
          <w:szCs w:val="24"/>
          <w:lang w:val="en-GB"/>
        </w:rPr>
        <w:t>a</w:t>
      </w:r>
      <w:r w:rsidRPr="00305E0F">
        <w:rPr>
          <w:rFonts w:ascii="Times New Roman" w:hAnsi="Times New Roman" w:cs="Times New Roman"/>
          <w:sz w:val="24"/>
          <w:szCs w:val="24"/>
          <w:lang w:val="en-GB"/>
        </w:rPr>
        <w:t xml:space="preserve">pproach, approved by the Decision of the Executive Board of the National Bank of Moldova </w:t>
      </w:r>
      <w:r w:rsidR="00594C05" w:rsidRPr="00305E0F">
        <w:rPr>
          <w:rFonts w:ascii="Times New Roman" w:hAnsi="Times New Roman" w:cs="Times New Roman"/>
          <w:sz w:val="24"/>
          <w:szCs w:val="24"/>
          <w:lang w:val="en-GB"/>
        </w:rPr>
        <w:t xml:space="preserve">No </w:t>
      </w:r>
      <w:r w:rsidRPr="00305E0F">
        <w:rPr>
          <w:rFonts w:ascii="Times New Roman" w:hAnsi="Times New Roman" w:cs="Times New Roman"/>
          <w:sz w:val="24"/>
          <w:szCs w:val="24"/>
          <w:lang w:val="en-GB"/>
        </w:rPr>
        <w:t xml:space="preserve">111/2018 (hereinafter - Regulation </w:t>
      </w:r>
      <w:r w:rsidR="00594C05" w:rsidRPr="00305E0F">
        <w:rPr>
          <w:rFonts w:ascii="Times New Roman" w:hAnsi="Times New Roman" w:cs="Times New Roman"/>
          <w:sz w:val="24"/>
          <w:szCs w:val="24"/>
          <w:lang w:val="en-GB"/>
        </w:rPr>
        <w:t xml:space="preserve">No </w:t>
      </w:r>
      <w:r w:rsidRPr="00305E0F">
        <w:rPr>
          <w:rFonts w:ascii="Times New Roman" w:hAnsi="Times New Roman" w:cs="Times New Roman"/>
          <w:sz w:val="24"/>
          <w:szCs w:val="24"/>
          <w:lang w:val="en-GB"/>
        </w:rPr>
        <w:t>111/2018);</w:t>
      </w:r>
    </w:p>
    <w:p w14:paraId="0700BF14" w14:textId="1267BEBE" w:rsidR="00EB0050" w:rsidRPr="00305E0F" w:rsidRDefault="00B02122">
      <w:pPr>
        <w:pStyle w:val="P68B1DB1-ListParagraph8"/>
        <w:numPr>
          <w:ilvl w:val="1"/>
          <w:numId w:val="2"/>
        </w:numPr>
        <w:shd w:val="clear" w:color="auto" w:fill="FFFFFF"/>
        <w:tabs>
          <w:tab w:val="left" w:pos="0"/>
        </w:tabs>
        <w:spacing w:before="60" w:after="0" w:line="240" w:lineRule="auto"/>
        <w:jc w:val="both"/>
        <w:rPr>
          <w:color w:val="auto"/>
          <w:lang w:val="en-GB"/>
        </w:rPr>
      </w:pPr>
      <w:r w:rsidRPr="00305E0F">
        <w:rPr>
          <w:b/>
          <w:color w:val="auto"/>
          <w:lang w:val="en-GB"/>
        </w:rPr>
        <w:t>IRB credit conversion factor (</w:t>
      </w:r>
      <w:r w:rsidRPr="00305E0F">
        <w:rPr>
          <w:bCs/>
          <w:color w:val="auto"/>
          <w:lang w:val="en-GB"/>
        </w:rPr>
        <w:t>IRB</w:t>
      </w:r>
      <w:r w:rsidR="00E1116E" w:rsidRPr="00305E0F">
        <w:rPr>
          <w:b/>
          <w:color w:val="auto"/>
          <w:lang w:val="en-GB"/>
        </w:rPr>
        <w:t>-</w:t>
      </w:r>
      <w:r w:rsidRPr="00305E0F">
        <w:rPr>
          <w:color w:val="auto"/>
          <w:lang w:val="en-GB"/>
        </w:rPr>
        <w:t>CCF) -</w:t>
      </w:r>
      <w:r w:rsidRPr="00305E0F">
        <w:rPr>
          <w:b/>
          <w:color w:val="auto"/>
          <w:lang w:val="en-GB"/>
        </w:rPr>
        <w:t xml:space="preserve"> </w:t>
      </w:r>
      <w:r w:rsidRPr="00305E0F">
        <w:rPr>
          <w:color w:val="auto"/>
          <w:lang w:val="en-GB"/>
        </w:rPr>
        <w:t>own estimates of credit conversion factor;</w:t>
      </w:r>
    </w:p>
    <w:p w14:paraId="0D478312" w14:textId="40E802D9" w:rsidR="00EB0050" w:rsidRPr="00305E0F" w:rsidRDefault="00B02122">
      <w:pPr>
        <w:pStyle w:val="P68B1DB1-ListParagraph8"/>
        <w:numPr>
          <w:ilvl w:val="1"/>
          <w:numId w:val="2"/>
        </w:numPr>
        <w:tabs>
          <w:tab w:val="left" w:pos="0"/>
        </w:tabs>
        <w:spacing w:after="0" w:line="240" w:lineRule="auto"/>
        <w:jc w:val="both"/>
        <w:rPr>
          <w:color w:val="auto"/>
          <w:sz w:val="18"/>
          <w:szCs w:val="18"/>
          <w:lang w:val="en-GB"/>
        </w:rPr>
      </w:pPr>
      <w:r w:rsidRPr="00305E0F">
        <w:rPr>
          <w:b/>
          <w:color w:val="auto"/>
          <w:lang w:val="en-GB"/>
        </w:rPr>
        <w:t>facility or credit facility</w:t>
      </w:r>
      <w:r w:rsidRPr="00305E0F">
        <w:rPr>
          <w:color w:val="auto"/>
          <w:lang w:val="en-GB"/>
        </w:rPr>
        <w:t xml:space="preserve"> </w:t>
      </w:r>
      <w:r w:rsidRPr="00305E0F">
        <w:rPr>
          <w:b/>
          <w:color w:val="auto"/>
          <w:lang w:val="en-GB"/>
        </w:rPr>
        <w:t>-</w:t>
      </w:r>
      <w:r w:rsidRPr="00305E0F">
        <w:rPr>
          <w:color w:val="auto"/>
          <w:lang w:val="en-GB"/>
        </w:rPr>
        <w:t xml:space="preserve"> a credit exposure arising from a contract or a set of contracts between an obligor and an institution;</w:t>
      </w:r>
    </w:p>
    <w:p w14:paraId="47812183" w14:textId="5CA7730E" w:rsidR="00EB0050" w:rsidRPr="00305E0F" w:rsidRDefault="00B02122">
      <w:pPr>
        <w:pStyle w:val="P68B1DB1-ListParagraph8"/>
        <w:numPr>
          <w:ilvl w:val="1"/>
          <w:numId w:val="2"/>
        </w:numPr>
        <w:tabs>
          <w:tab w:val="left" w:pos="0"/>
        </w:tabs>
        <w:spacing w:after="0" w:line="240" w:lineRule="auto"/>
        <w:jc w:val="both"/>
        <w:rPr>
          <w:color w:val="auto"/>
          <w:sz w:val="18"/>
          <w:szCs w:val="18"/>
          <w:lang w:val="en-GB"/>
        </w:rPr>
      </w:pPr>
      <w:r w:rsidRPr="00305E0F">
        <w:rPr>
          <w:b/>
          <w:color w:val="auto"/>
          <w:lang w:val="en-GB"/>
        </w:rPr>
        <w:t>margin of conservatism</w:t>
      </w:r>
      <w:r w:rsidRPr="00305E0F">
        <w:rPr>
          <w:color w:val="auto"/>
          <w:lang w:val="en-GB"/>
        </w:rPr>
        <w:t xml:space="preserve"> </w:t>
      </w:r>
      <w:r w:rsidRPr="00305E0F">
        <w:rPr>
          <w:b/>
          <w:color w:val="auto"/>
          <w:lang w:val="en-GB"/>
        </w:rPr>
        <w:t>-</w:t>
      </w:r>
      <w:r w:rsidRPr="00305E0F">
        <w:rPr>
          <w:color w:val="auto"/>
          <w:lang w:val="en-GB"/>
        </w:rPr>
        <w:t xml:space="preserve"> </w:t>
      </w:r>
      <w:r w:rsidR="00E1116E" w:rsidRPr="00305E0F">
        <w:rPr>
          <w:color w:val="auto"/>
          <w:lang w:val="en-GB"/>
        </w:rPr>
        <w:t>an add-on incorporated in risk parameter estimates to account for the expected range of estimation errors stemming from identified deficiencies in data, methods, models, and changes to underwriting standards, risk appetite, collection and recovery policies and any other source of additional uncertainty, as well as from general estimation error</w:t>
      </w:r>
      <w:r w:rsidRPr="00305E0F">
        <w:rPr>
          <w:color w:val="auto"/>
          <w:lang w:val="en-GB"/>
        </w:rPr>
        <w:t>;</w:t>
      </w:r>
    </w:p>
    <w:p w14:paraId="26A2B022" w14:textId="1A233A95" w:rsidR="00EB0050" w:rsidRPr="00305E0F" w:rsidRDefault="00B02122">
      <w:pPr>
        <w:pStyle w:val="P68B1DB1-ListParagraph8"/>
        <w:numPr>
          <w:ilvl w:val="1"/>
          <w:numId w:val="2"/>
        </w:numPr>
        <w:tabs>
          <w:tab w:val="left" w:pos="0"/>
        </w:tabs>
        <w:spacing w:after="0" w:line="240" w:lineRule="auto"/>
        <w:jc w:val="both"/>
        <w:rPr>
          <w:color w:val="auto"/>
          <w:sz w:val="18"/>
          <w:szCs w:val="18"/>
          <w:lang w:val="en-GB"/>
        </w:rPr>
      </w:pPr>
      <w:r w:rsidRPr="00305E0F">
        <w:rPr>
          <w:b/>
          <w:color w:val="auto"/>
          <w:lang w:val="en-GB"/>
        </w:rPr>
        <w:t>credit obligation</w:t>
      </w:r>
      <w:r w:rsidRPr="00305E0F">
        <w:rPr>
          <w:color w:val="auto"/>
          <w:lang w:val="en-GB"/>
        </w:rPr>
        <w:t xml:space="preserve"> </w:t>
      </w:r>
      <w:r w:rsidRPr="00305E0F">
        <w:rPr>
          <w:b/>
          <w:color w:val="auto"/>
          <w:lang w:val="en-GB"/>
        </w:rPr>
        <w:t>-</w:t>
      </w:r>
      <w:r w:rsidRPr="00305E0F">
        <w:rPr>
          <w:color w:val="auto"/>
          <w:lang w:val="en-GB"/>
        </w:rPr>
        <w:t xml:space="preserve"> </w:t>
      </w:r>
      <w:r w:rsidR="00427CC1" w:rsidRPr="00305E0F">
        <w:rPr>
          <w:color w:val="auto"/>
          <w:lang w:val="en-GB"/>
        </w:rPr>
        <w:t>any obligation arising from a credit contract, including principal, accrued interest and fees, owed by an obligor</w:t>
      </w:r>
      <w:r w:rsidRPr="00305E0F">
        <w:rPr>
          <w:color w:val="auto"/>
          <w:lang w:val="en-GB"/>
        </w:rPr>
        <w:t>;</w:t>
      </w:r>
    </w:p>
    <w:p w14:paraId="6949BF56" w14:textId="3C87D55A" w:rsidR="00EB0050" w:rsidRPr="00305E0F" w:rsidRDefault="00B02122">
      <w:pPr>
        <w:pStyle w:val="P68B1DB1-ListParagraph8"/>
        <w:numPr>
          <w:ilvl w:val="1"/>
          <w:numId w:val="2"/>
        </w:numPr>
        <w:tabs>
          <w:tab w:val="left" w:pos="0"/>
        </w:tabs>
        <w:spacing w:after="0" w:line="240" w:lineRule="auto"/>
        <w:jc w:val="both"/>
        <w:rPr>
          <w:color w:val="auto"/>
          <w:lang w:val="en-GB"/>
        </w:rPr>
      </w:pPr>
      <w:r w:rsidRPr="00305E0F">
        <w:rPr>
          <w:b/>
          <w:color w:val="auto"/>
          <w:lang w:val="en-GB"/>
        </w:rPr>
        <w:t xml:space="preserve">loss given default </w:t>
      </w:r>
      <w:r w:rsidR="00427CC1" w:rsidRPr="00305E0F">
        <w:rPr>
          <w:b/>
          <w:color w:val="auto"/>
          <w:lang w:val="en-GB"/>
        </w:rPr>
        <w:t xml:space="preserve">or </w:t>
      </w:r>
      <w:r w:rsidRPr="00305E0F">
        <w:rPr>
          <w:b/>
          <w:color w:val="auto"/>
          <w:lang w:val="en-GB"/>
        </w:rPr>
        <w:t xml:space="preserve">LGD </w:t>
      </w:r>
      <w:r w:rsidRPr="00305E0F">
        <w:rPr>
          <w:color w:val="auto"/>
          <w:lang w:val="en-GB"/>
        </w:rPr>
        <w:t xml:space="preserve">- </w:t>
      </w:r>
      <w:r w:rsidR="00427CC1" w:rsidRPr="00305E0F">
        <w:rPr>
          <w:color w:val="auto"/>
          <w:lang w:val="en-GB"/>
        </w:rPr>
        <w:t>the ratio of the loss on an exposure related to a single facility due to the default of an obligor or, where applicable, of a credit facility to the amount outstanding at default or at a given reference date after the date of default, and, in the context of dilution risk, the loss given dilution meaning the ratio of the loss on an exposure related to a purchased receivable due to dilution, to the amount outstanding of the purchased receivable</w:t>
      </w:r>
      <w:r w:rsidRPr="00305E0F">
        <w:rPr>
          <w:color w:val="auto"/>
          <w:lang w:val="en-GB"/>
        </w:rPr>
        <w:t>;</w:t>
      </w:r>
    </w:p>
    <w:p w14:paraId="13526ED1" w14:textId="43A3A399" w:rsidR="00EB0050" w:rsidRPr="00305E0F" w:rsidRDefault="00B02122">
      <w:pPr>
        <w:pStyle w:val="P68B1DB1-ListParagraph8"/>
        <w:numPr>
          <w:ilvl w:val="1"/>
          <w:numId w:val="2"/>
        </w:numPr>
        <w:tabs>
          <w:tab w:val="left" w:pos="0"/>
        </w:tabs>
        <w:spacing w:after="0" w:line="240" w:lineRule="auto"/>
        <w:jc w:val="both"/>
        <w:rPr>
          <w:color w:val="auto"/>
          <w:lang w:val="en-GB"/>
        </w:rPr>
      </w:pPr>
      <w:r w:rsidRPr="00305E0F">
        <w:rPr>
          <w:b/>
          <w:color w:val="auto"/>
          <w:lang w:val="en-GB"/>
        </w:rPr>
        <w:t>probability of default</w:t>
      </w:r>
      <w:r w:rsidRPr="00305E0F">
        <w:rPr>
          <w:color w:val="auto"/>
          <w:lang w:val="en-GB"/>
        </w:rPr>
        <w:t xml:space="preserve"> </w:t>
      </w:r>
      <w:r w:rsidR="00427CC1" w:rsidRPr="00305E0F">
        <w:rPr>
          <w:b/>
          <w:color w:val="auto"/>
          <w:lang w:val="en-GB"/>
        </w:rPr>
        <w:t xml:space="preserve">or </w:t>
      </w:r>
      <w:r w:rsidRPr="00305E0F">
        <w:rPr>
          <w:b/>
          <w:color w:val="auto"/>
          <w:lang w:val="en-GB"/>
        </w:rPr>
        <w:t>PD</w:t>
      </w:r>
      <w:r w:rsidRPr="00305E0F">
        <w:rPr>
          <w:color w:val="auto"/>
          <w:lang w:val="en-GB"/>
        </w:rPr>
        <w:t xml:space="preserve"> - </w:t>
      </w:r>
      <w:r w:rsidR="00427CC1" w:rsidRPr="00305E0F">
        <w:rPr>
          <w:color w:val="auto"/>
          <w:lang w:val="en-GB"/>
        </w:rPr>
        <w:t>the probability of default of an obligor or, where applicable, of a credit facility over a one-year period, and, in the context of dilution risk, the probability of dilution over a one-year period</w:t>
      </w:r>
      <w:r w:rsidRPr="00305E0F">
        <w:rPr>
          <w:color w:val="auto"/>
          <w:lang w:val="en-GB"/>
        </w:rPr>
        <w:t>;</w:t>
      </w:r>
    </w:p>
    <w:p w14:paraId="52258D4E" w14:textId="49B09137" w:rsidR="00EB0050" w:rsidRPr="00305E0F" w:rsidRDefault="00B02122">
      <w:pPr>
        <w:pStyle w:val="P68B1DB1-ListParagraph8"/>
        <w:numPr>
          <w:ilvl w:val="1"/>
          <w:numId w:val="2"/>
        </w:numPr>
        <w:tabs>
          <w:tab w:val="left" w:pos="0"/>
        </w:tabs>
        <w:spacing w:after="0" w:line="240" w:lineRule="auto"/>
        <w:jc w:val="both"/>
        <w:rPr>
          <w:color w:val="auto"/>
          <w:lang w:val="en-GB"/>
        </w:rPr>
      </w:pPr>
      <w:r w:rsidRPr="00305E0F">
        <w:rPr>
          <w:b/>
          <w:color w:val="auto"/>
          <w:lang w:val="en-GB"/>
        </w:rPr>
        <w:t>one-year default rate</w:t>
      </w:r>
      <w:r w:rsidRPr="00305E0F">
        <w:rPr>
          <w:color w:val="auto"/>
          <w:lang w:val="en-GB"/>
        </w:rPr>
        <w:t xml:space="preserve"> - the ratio </w:t>
      </w:r>
      <w:r w:rsidR="00427CC1" w:rsidRPr="00305E0F">
        <w:rPr>
          <w:color w:val="auto"/>
          <w:lang w:val="en-GB"/>
        </w:rPr>
        <w:t xml:space="preserve">between the </w:t>
      </w:r>
      <w:r w:rsidRPr="00305E0F">
        <w:rPr>
          <w:color w:val="auto"/>
          <w:lang w:val="en-GB"/>
        </w:rPr>
        <w:t>number of obligors or, where the definition of default is applied at credit facility level in accordance with paragraph 24 of Regulation No</w:t>
      </w:r>
      <w:r w:rsidR="00427CC1" w:rsidRPr="00305E0F">
        <w:rPr>
          <w:color w:val="auto"/>
          <w:lang w:val="en-GB"/>
        </w:rPr>
        <w:t xml:space="preserve"> </w:t>
      </w:r>
      <w:r w:rsidRPr="00305E0F">
        <w:rPr>
          <w:color w:val="auto"/>
          <w:lang w:val="en-GB"/>
        </w:rPr>
        <w:t xml:space="preserve">111/2018, the number of credit facilities for which a default is </w:t>
      </w:r>
      <w:r w:rsidR="00427CC1" w:rsidRPr="00305E0F">
        <w:rPr>
          <w:color w:val="auto"/>
          <w:lang w:val="en-GB"/>
        </w:rPr>
        <w:t>considered </w:t>
      </w:r>
      <w:r w:rsidRPr="00305E0F">
        <w:rPr>
          <w:color w:val="auto"/>
          <w:lang w:val="en-GB"/>
        </w:rPr>
        <w:t xml:space="preserve">to have occurred during a period </w:t>
      </w:r>
      <w:r w:rsidR="00427CC1" w:rsidRPr="00305E0F">
        <w:rPr>
          <w:color w:val="auto"/>
          <w:lang w:val="en-GB"/>
        </w:rPr>
        <w:t>that starts from one year prior to a date of</w:t>
      </w:r>
      <w:r w:rsidRPr="00305E0F">
        <w:rPr>
          <w:color w:val="auto"/>
          <w:lang w:val="en-GB"/>
        </w:rPr>
        <w:t xml:space="preserve"> observation T, to the number of obligors or, where the definition of default is applied at credit facility level, credit facilities classified in this grade or pool one year </w:t>
      </w:r>
      <w:r w:rsidR="00427CC1" w:rsidRPr="00305E0F">
        <w:rPr>
          <w:color w:val="auto"/>
          <w:lang w:val="en-GB"/>
        </w:rPr>
        <w:t xml:space="preserve">prior to </w:t>
      </w:r>
      <w:r w:rsidRPr="00305E0F">
        <w:rPr>
          <w:color w:val="auto"/>
          <w:lang w:val="en-GB"/>
        </w:rPr>
        <w:t>that</w:t>
      </w:r>
      <w:r w:rsidR="00427CC1" w:rsidRPr="00305E0F">
        <w:rPr>
          <w:color w:val="auto"/>
          <w:lang w:val="en-GB"/>
        </w:rPr>
        <w:t xml:space="preserve"> date of</w:t>
      </w:r>
      <w:r w:rsidRPr="00305E0F">
        <w:rPr>
          <w:color w:val="auto"/>
          <w:lang w:val="en-GB"/>
        </w:rPr>
        <w:t xml:space="preserve"> observation T;</w:t>
      </w:r>
    </w:p>
    <w:p w14:paraId="4615F174" w14:textId="28987782" w:rsidR="00EB0050" w:rsidRPr="00305E0F" w:rsidRDefault="00B02122">
      <w:pPr>
        <w:pStyle w:val="P68B1DB1-ListParagraph8"/>
        <w:numPr>
          <w:ilvl w:val="1"/>
          <w:numId w:val="2"/>
        </w:numPr>
        <w:tabs>
          <w:tab w:val="left" w:pos="0"/>
        </w:tabs>
        <w:spacing w:after="0" w:line="240" w:lineRule="auto"/>
        <w:jc w:val="both"/>
        <w:rPr>
          <w:color w:val="auto"/>
          <w:lang w:val="en-GB"/>
        </w:rPr>
      </w:pPr>
      <w:r w:rsidRPr="00305E0F">
        <w:rPr>
          <w:b/>
          <w:color w:val="auto"/>
          <w:lang w:val="en-GB"/>
        </w:rPr>
        <w:t xml:space="preserve">dilution risk - </w:t>
      </w:r>
      <w:r w:rsidR="00F05FFF" w:rsidRPr="00305E0F">
        <w:rPr>
          <w:bCs/>
          <w:color w:val="auto"/>
          <w:lang w:val="en-GB"/>
        </w:rPr>
        <w:t>the risk that an amount receivable is reduced through cash or non-cash credits to the obligor</w:t>
      </w:r>
      <w:r w:rsidRPr="00305E0F">
        <w:rPr>
          <w:bCs/>
          <w:color w:val="auto"/>
          <w:lang w:val="en-GB"/>
        </w:rPr>
        <w:t>;</w:t>
      </w:r>
    </w:p>
    <w:p w14:paraId="0B8FE82F" w14:textId="54928314" w:rsidR="00EB0050" w:rsidRPr="00305E0F" w:rsidRDefault="00B02122">
      <w:pPr>
        <w:pStyle w:val="P68B1DB1-ListParagraph8"/>
        <w:numPr>
          <w:ilvl w:val="1"/>
          <w:numId w:val="2"/>
        </w:numPr>
        <w:tabs>
          <w:tab w:val="left" w:pos="0"/>
        </w:tabs>
        <w:spacing w:after="0" w:line="240" w:lineRule="auto"/>
        <w:jc w:val="both"/>
        <w:rPr>
          <w:color w:val="auto"/>
          <w:lang w:val="en-GB"/>
        </w:rPr>
      </w:pPr>
      <w:r w:rsidRPr="00305E0F">
        <w:rPr>
          <w:b/>
          <w:color w:val="auto"/>
          <w:lang w:val="en-GB"/>
        </w:rPr>
        <w:t>loss</w:t>
      </w:r>
      <w:r w:rsidRPr="00305E0F">
        <w:rPr>
          <w:color w:val="auto"/>
          <w:lang w:val="en-GB"/>
        </w:rPr>
        <w:t xml:space="preserve"> - </w:t>
      </w:r>
      <w:r w:rsidR="00F05FFF" w:rsidRPr="00305E0F">
        <w:rPr>
          <w:color w:val="auto"/>
          <w:lang w:val="en-GB"/>
        </w:rPr>
        <w:t>economic loss, including material discount effects, and material direct and indirect costs associated with collecting on the instrument</w:t>
      </w:r>
      <w:r w:rsidRPr="00305E0F">
        <w:rPr>
          <w:color w:val="auto"/>
          <w:lang w:val="en-GB"/>
        </w:rPr>
        <w:t>;</w:t>
      </w:r>
    </w:p>
    <w:p w14:paraId="7113A86E" w14:textId="53828556" w:rsidR="00EB0050" w:rsidRPr="00305E0F" w:rsidRDefault="00F05FFF">
      <w:pPr>
        <w:pStyle w:val="P68B1DB1-ListParagraph8"/>
        <w:numPr>
          <w:ilvl w:val="1"/>
          <w:numId w:val="2"/>
        </w:numPr>
        <w:tabs>
          <w:tab w:val="left" w:pos="0"/>
        </w:tabs>
        <w:spacing w:after="0" w:line="240" w:lineRule="auto"/>
        <w:jc w:val="both"/>
        <w:rPr>
          <w:color w:val="auto"/>
          <w:lang w:val="en-GB"/>
        </w:rPr>
      </w:pPr>
      <w:r w:rsidRPr="00305E0F">
        <w:rPr>
          <w:b/>
          <w:color w:val="auto"/>
          <w:lang w:val="en-GB"/>
        </w:rPr>
        <w:t>expected loss or EL</w:t>
      </w:r>
      <w:r w:rsidRPr="00305E0F">
        <w:rPr>
          <w:color w:val="auto"/>
          <w:lang w:val="en-GB"/>
        </w:rPr>
        <w:t xml:space="preserve"> </w:t>
      </w:r>
      <w:r w:rsidRPr="00305E0F">
        <w:rPr>
          <w:b/>
          <w:color w:val="auto"/>
          <w:lang w:val="en-GB"/>
        </w:rPr>
        <w:t>-</w:t>
      </w:r>
      <w:r w:rsidRPr="00305E0F">
        <w:rPr>
          <w:color w:val="auto"/>
          <w:lang w:val="en-GB"/>
        </w:rPr>
        <w:t xml:space="preserve"> the ratio, related to a single facility, of the amount expected to be lost on an exposure from any of the following:</w:t>
      </w:r>
    </w:p>
    <w:p w14:paraId="7710EDFD" w14:textId="10CF7DC1" w:rsidR="00EB0050" w:rsidRPr="00305E0F" w:rsidRDefault="00F05FFF">
      <w:pPr>
        <w:pStyle w:val="P68B1DB1-ListParagraph8"/>
        <w:numPr>
          <w:ilvl w:val="2"/>
          <w:numId w:val="2"/>
        </w:numPr>
        <w:tabs>
          <w:tab w:val="left" w:pos="0"/>
        </w:tabs>
        <w:spacing w:after="0" w:line="240" w:lineRule="auto"/>
        <w:ind w:left="0"/>
        <w:jc w:val="both"/>
        <w:rPr>
          <w:color w:val="auto"/>
          <w:lang w:val="en-GB"/>
        </w:rPr>
      </w:pPr>
      <w:r w:rsidRPr="00305E0F">
        <w:rPr>
          <w:color w:val="auto"/>
          <w:lang w:val="en-GB"/>
        </w:rPr>
        <w:t>a potential default of an obligor over a one-year period to the amount outstanding at default;</w:t>
      </w:r>
    </w:p>
    <w:p w14:paraId="0FF4FCA9" w14:textId="18FE6847" w:rsidR="00EB0050" w:rsidRPr="00305E0F" w:rsidRDefault="00B02122">
      <w:pPr>
        <w:pStyle w:val="P68B1DB1-ListParagraph8"/>
        <w:numPr>
          <w:ilvl w:val="2"/>
          <w:numId w:val="2"/>
        </w:numPr>
        <w:tabs>
          <w:tab w:val="left" w:pos="0"/>
        </w:tabs>
        <w:spacing w:after="0" w:line="240" w:lineRule="auto"/>
        <w:ind w:left="0"/>
        <w:jc w:val="both"/>
        <w:rPr>
          <w:color w:val="auto"/>
          <w:lang w:val="en-GB"/>
        </w:rPr>
      </w:pPr>
      <w:r w:rsidRPr="00305E0F">
        <w:rPr>
          <w:color w:val="auto"/>
          <w:lang w:val="en-GB"/>
        </w:rPr>
        <w:t xml:space="preserve"> </w:t>
      </w:r>
      <w:r w:rsidR="00F05FFF" w:rsidRPr="00305E0F">
        <w:rPr>
          <w:color w:val="auto"/>
          <w:lang w:val="en-GB"/>
        </w:rPr>
        <w:t>a potential dilution event over a one-year period to the amount outstanding at the date of occurrence of the dilution event</w:t>
      </w:r>
      <w:r w:rsidRPr="00305E0F">
        <w:rPr>
          <w:color w:val="auto"/>
          <w:lang w:val="en-GB"/>
        </w:rPr>
        <w:t>;</w:t>
      </w:r>
    </w:p>
    <w:p w14:paraId="00B8D2E5" w14:textId="6B4A577D" w:rsidR="00EB0050" w:rsidRPr="00305E0F" w:rsidRDefault="00F05FFF">
      <w:pPr>
        <w:pStyle w:val="P68B1DB1-ListParagraph8"/>
        <w:numPr>
          <w:ilvl w:val="1"/>
          <w:numId w:val="2"/>
        </w:numPr>
        <w:shd w:val="clear" w:color="auto" w:fill="FFFFFF"/>
        <w:tabs>
          <w:tab w:val="left" w:pos="0"/>
        </w:tabs>
        <w:spacing w:before="60" w:after="0" w:line="240" w:lineRule="auto"/>
        <w:jc w:val="both"/>
        <w:rPr>
          <w:color w:val="auto"/>
          <w:lang w:val="en-GB"/>
        </w:rPr>
      </w:pPr>
      <w:r w:rsidRPr="00305E0F">
        <w:rPr>
          <w:b/>
          <w:color w:val="auto"/>
          <w:lang w:val="en-GB"/>
        </w:rPr>
        <w:t xml:space="preserve">protection-provider-RW-floor - </w:t>
      </w:r>
      <w:r w:rsidRPr="00305E0F">
        <w:rPr>
          <w:bCs/>
          <w:color w:val="auto"/>
          <w:lang w:val="en-GB"/>
        </w:rPr>
        <w:t>the risk weight applicable to a comparable, direct exposure to the protection provider;</w:t>
      </w:r>
    </w:p>
    <w:p w14:paraId="4D7F4620" w14:textId="417EC7A7" w:rsidR="00EB0050" w:rsidRPr="00305E0F" w:rsidRDefault="00B02122">
      <w:pPr>
        <w:pStyle w:val="P68B1DB1-ListParagraph8"/>
        <w:numPr>
          <w:ilvl w:val="1"/>
          <w:numId w:val="2"/>
        </w:numPr>
        <w:shd w:val="clear" w:color="auto" w:fill="FFFFFF"/>
        <w:tabs>
          <w:tab w:val="left" w:pos="0"/>
        </w:tabs>
        <w:spacing w:before="60" w:after="0" w:line="240" w:lineRule="auto"/>
        <w:jc w:val="both"/>
        <w:rPr>
          <w:color w:val="auto"/>
          <w:lang w:val="en-GB"/>
        </w:rPr>
      </w:pPr>
      <w:bookmarkStart w:id="6" w:name="_Ref215506589"/>
      <w:r w:rsidRPr="00305E0F">
        <w:rPr>
          <w:b/>
          <w:color w:val="auto"/>
          <w:lang w:val="en-GB"/>
        </w:rPr>
        <w:t xml:space="preserve">unfunded credit protection </w:t>
      </w:r>
      <w:r w:rsidR="008F3D8B" w:rsidRPr="00305E0F">
        <w:rPr>
          <w:b/>
          <w:color w:val="auto"/>
          <w:lang w:val="en-GB"/>
        </w:rPr>
        <w:t>“</w:t>
      </w:r>
      <w:r w:rsidRPr="00305E0F">
        <w:rPr>
          <w:b/>
          <w:color w:val="auto"/>
          <w:lang w:val="en-GB"/>
        </w:rPr>
        <w:t>recognised</w:t>
      </w:r>
      <w:r w:rsidR="008F3D8B" w:rsidRPr="00305E0F">
        <w:rPr>
          <w:b/>
          <w:color w:val="auto"/>
          <w:lang w:val="en-GB"/>
        </w:rPr>
        <w:t>”</w:t>
      </w:r>
      <w:r w:rsidRPr="00305E0F">
        <w:rPr>
          <w:color w:val="auto"/>
          <w:lang w:val="en-GB"/>
        </w:rPr>
        <w:t xml:space="preserve">, in the case of an exposure for which a bank applies the IRB Approach using its own estimates of LGD in accordance with paragraphs </w:t>
      </w:r>
      <w:r w:rsidRPr="00305E0F">
        <w:rPr>
          <w:color w:val="auto"/>
          <w:lang w:val="en-GB"/>
        </w:rPr>
        <w:fldChar w:fldCharType="begin"/>
      </w:r>
      <w:r w:rsidRPr="00305E0F">
        <w:rPr>
          <w:color w:val="auto"/>
          <w:lang w:val="en-GB"/>
        </w:rPr>
        <w:instrText xml:space="preserve"> REF _Ref215069496 \r \h </w:instrText>
      </w:r>
      <w:r w:rsidRPr="00305E0F">
        <w:rPr>
          <w:color w:val="auto"/>
          <w:lang w:val="en-GB"/>
        </w:rPr>
      </w:r>
      <w:r w:rsidRPr="00305E0F">
        <w:rPr>
          <w:color w:val="auto"/>
          <w:lang w:val="en-GB"/>
        </w:rPr>
        <w:fldChar w:fldCharType="separate"/>
      </w:r>
      <w:r w:rsidR="00594C05" w:rsidRPr="00305E0F">
        <w:rPr>
          <w:color w:val="auto"/>
          <w:lang w:val="en-GB"/>
        </w:rPr>
        <w:t>4</w:t>
      </w:r>
      <w:r w:rsidRPr="00305E0F">
        <w:rPr>
          <w:color w:val="auto"/>
          <w:lang w:val="en-GB"/>
        </w:rPr>
        <w:fldChar w:fldCharType="end"/>
      </w:r>
      <w:r w:rsidRPr="00305E0F">
        <w:rPr>
          <w:color w:val="auto"/>
          <w:lang w:val="en-GB"/>
        </w:rPr>
        <w:t>-</w:t>
      </w:r>
      <w:r w:rsidRPr="00305E0F">
        <w:rPr>
          <w:color w:val="auto"/>
          <w:lang w:val="en-GB"/>
        </w:rPr>
        <w:lastRenderedPageBreak/>
        <w:fldChar w:fldCharType="begin"/>
      </w:r>
      <w:r w:rsidRPr="00305E0F">
        <w:rPr>
          <w:color w:val="auto"/>
          <w:lang w:val="en-GB"/>
        </w:rPr>
        <w:instrText xml:space="preserve"> REF _Ref215069507 \r \h </w:instrText>
      </w:r>
      <w:r w:rsidRPr="00305E0F">
        <w:rPr>
          <w:color w:val="auto"/>
          <w:lang w:val="en-GB"/>
        </w:rPr>
      </w:r>
      <w:r w:rsidRPr="00305E0F">
        <w:rPr>
          <w:color w:val="auto"/>
          <w:lang w:val="en-GB"/>
        </w:rPr>
        <w:fldChar w:fldCharType="separate"/>
      </w:r>
      <w:r w:rsidR="00594C05" w:rsidRPr="00305E0F">
        <w:rPr>
          <w:color w:val="auto"/>
          <w:lang w:val="en-GB"/>
        </w:rPr>
        <w:t>7</w:t>
      </w:r>
      <w:r w:rsidRPr="00305E0F">
        <w:rPr>
          <w:color w:val="auto"/>
          <w:lang w:val="en-GB"/>
        </w:rPr>
        <w:fldChar w:fldCharType="end"/>
      </w:r>
      <w:r w:rsidRPr="00305E0F">
        <w:rPr>
          <w:color w:val="auto"/>
          <w:lang w:val="en-GB"/>
        </w:rPr>
        <w:t>,</w:t>
      </w:r>
      <w:r w:rsidR="008F3D8B" w:rsidRPr="00305E0F">
        <w:rPr>
          <w:color w:val="auto"/>
          <w:lang w:val="en-GB"/>
        </w:rPr>
        <w:t xml:space="preserve"> “recognised”</w:t>
      </w:r>
      <w:r w:rsidRPr="00305E0F">
        <w:rPr>
          <w:color w:val="auto"/>
          <w:lang w:val="en-GB"/>
        </w:rPr>
        <w:t xml:space="preserve"> unfunded credit protection whose effect on the calculation of risk-weighted exposure amounts or expected loss amounts of the underlying exposure is taken into account using one of the following methods, in accordance with the Regulation on credit risk mitigation techniques </w:t>
      </w:r>
      <w:r w:rsidR="008F3D8B" w:rsidRPr="00305E0F">
        <w:rPr>
          <w:color w:val="auto"/>
          <w:lang w:val="en-GB"/>
        </w:rPr>
        <w:t xml:space="preserve">of </w:t>
      </w:r>
      <w:r w:rsidRPr="00305E0F">
        <w:rPr>
          <w:color w:val="auto"/>
          <w:lang w:val="en-GB"/>
        </w:rPr>
        <w:t xml:space="preserve">banks, approved by Decision of the Executive Board of the National Bank of Moldova </w:t>
      </w:r>
      <w:r w:rsidR="00594C05" w:rsidRPr="00305E0F">
        <w:rPr>
          <w:color w:val="auto"/>
          <w:lang w:val="en-GB"/>
        </w:rPr>
        <w:t xml:space="preserve">No </w:t>
      </w:r>
      <w:r w:rsidRPr="00305E0F">
        <w:rPr>
          <w:color w:val="auto"/>
          <w:lang w:val="en-GB"/>
        </w:rPr>
        <w:t xml:space="preserve">112/2018 (hereinafter - Regulation </w:t>
      </w:r>
      <w:r w:rsidR="00594C05" w:rsidRPr="00305E0F">
        <w:rPr>
          <w:color w:val="auto"/>
          <w:lang w:val="en-GB"/>
        </w:rPr>
        <w:t xml:space="preserve">No </w:t>
      </w:r>
      <w:r w:rsidRPr="00305E0F">
        <w:rPr>
          <w:color w:val="auto"/>
          <w:lang w:val="en-GB"/>
        </w:rPr>
        <w:t>112/2018):</w:t>
      </w:r>
      <w:bookmarkEnd w:id="6"/>
    </w:p>
    <w:p w14:paraId="26B2168A" w14:textId="77777777" w:rsidR="00EB0050" w:rsidRPr="00305E0F" w:rsidRDefault="00B02122">
      <w:pPr>
        <w:pStyle w:val="P68B1DB1-ListParagraph8"/>
        <w:numPr>
          <w:ilvl w:val="2"/>
          <w:numId w:val="2"/>
        </w:numPr>
        <w:shd w:val="clear" w:color="auto" w:fill="FFFFFF"/>
        <w:tabs>
          <w:tab w:val="left" w:pos="0"/>
        </w:tabs>
        <w:spacing w:before="60" w:after="0" w:line="240" w:lineRule="auto"/>
        <w:ind w:left="0"/>
        <w:jc w:val="both"/>
        <w:rPr>
          <w:color w:val="auto"/>
          <w:lang w:val="en-GB"/>
        </w:rPr>
      </w:pPr>
      <w:r w:rsidRPr="00305E0F">
        <w:rPr>
          <w:color w:val="auto"/>
          <w:lang w:val="en-GB"/>
        </w:rPr>
        <w:t>the PD/LGD adjustment modelling approach;</w:t>
      </w:r>
    </w:p>
    <w:p w14:paraId="19177411" w14:textId="2EDEAA5D" w:rsidR="00EB0050" w:rsidRPr="00305E0F" w:rsidRDefault="008F3D8B">
      <w:pPr>
        <w:pStyle w:val="P68B1DB1-ListParagraph8"/>
        <w:numPr>
          <w:ilvl w:val="2"/>
          <w:numId w:val="2"/>
        </w:numPr>
        <w:shd w:val="clear" w:color="auto" w:fill="FFFFFF"/>
        <w:tabs>
          <w:tab w:val="left" w:pos="0"/>
        </w:tabs>
        <w:spacing w:before="60" w:after="0" w:line="240" w:lineRule="auto"/>
        <w:ind w:left="0"/>
        <w:jc w:val="both"/>
        <w:rPr>
          <w:color w:val="auto"/>
          <w:lang w:val="en-GB"/>
        </w:rPr>
      </w:pPr>
      <w:r w:rsidRPr="00305E0F">
        <w:rPr>
          <w:color w:val="auto"/>
          <w:lang w:val="en-GB"/>
        </w:rPr>
        <w:t>substitution of risk parameters approach under A-IRB as defined in Regulation No 112/2018;</w:t>
      </w:r>
    </w:p>
    <w:p w14:paraId="1C1CB57A" w14:textId="5B2A0C59" w:rsidR="00EB0050" w:rsidRPr="00305E0F" w:rsidRDefault="00B02122">
      <w:pPr>
        <w:pStyle w:val="P68B1DB1-ListParagraph8"/>
        <w:numPr>
          <w:ilvl w:val="1"/>
          <w:numId w:val="2"/>
        </w:numPr>
        <w:shd w:val="clear" w:color="auto" w:fill="FFFFFF"/>
        <w:tabs>
          <w:tab w:val="left" w:pos="0"/>
        </w:tabs>
        <w:spacing w:before="60" w:after="0" w:line="240" w:lineRule="auto"/>
        <w:jc w:val="both"/>
        <w:rPr>
          <w:color w:val="auto"/>
          <w:lang w:val="en-GB"/>
        </w:rPr>
      </w:pPr>
      <w:r w:rsidRPr="00305E0F">
        <w:rPr>
          <w:b/>
          <w:color w:val="auto"/>
          <w:lang w:val="en-GB"/>
        </w:rPr>
        <w:t xml:space="preserve">large </w:t>
      </w:r>
      <w:r w:rsidR="008F3D8B" w:rsidRPr="00305E0F">
        <w:rPr>
          <w:b/>
          <w:color w:val="auto"/>
          <w:lang w:val="en-GB"/>
        </w:rPr>
        <w:t>corporate</w:t>
      </w:r>
      <w:r w:rsidRPr="00305E0F">
        <w:rPr>
          <w:color w:val="auto"/>
          <w:lang w:val="en-GB"/>
        </w:rPr>
        <w:t xml:space="preserve"> </w:t>
      </w:r>
      <w:r w:rsidR="008F3D8B" w:rsidRPr="00305E0F">
        <w:rPr>
          <w:b/>
          <w:color w:val="auto"/>
          <w:lang w:val="en-GB"/>
        </w:rPr>
        <w:t>-</w:t>
      </w:r>
      <w:r w:rsidRPr="00305E0F">
        <w:rPr>
          <w:color w:val="auto"/>
          <w:lang w:val="en-GB"/>
        </w:rPr>
        <w:t xml:space="preserve"> any </w:t>
      </w:r>
      <w:r w:rsidR="008F3D8B" w:rsidRPr="00305E0F">
        <w:rPr>
          <w:color w:val="auto"/>
          <w:lang w:val="en-GB"/>
        </w:rPr>
        <w:t xml:space="preserve">corporate </w:t>
      </w:r>
      <w:r w:rsidRPr="00305E0F">
        <w:rPr>
          <w:color w:val="auto"/>
          <w:lang w:val="en-GB"/>
        </w:rPr>
        <w:t xml:space="preserve">undertaking with consolidated annual sales </w:t>
      </w:r>
      <w:r w:rsidR="008F3D8B" w:rsidRPr="00305E0F">
        <w:rPr>
          <w:color w:val="auto"/>
          <w:lang w:val="en-GB"/>
        </w:rPr>
        <w:t>of more than</w:t>
      </w:r>
      <w:r w:rsidRPr="00305E0F">
        <w:rPr>
          <w:color w:val="auto"/>
          <w:lang w:val="en-GB"/>
        </w:rPr>
        <w:t xml:space="preserve"> the equivalent in MDL of EUR 500 million or belonging to a group where the total annual sales of the consolidated group </w:t>
      </w:r>
      <w:r w:rsidR="008F3D8B" w:rsidRPr="00305E0F">
        <w:rPr>
          <w:color w:val="auto"/>
          <w:lang w:val="en-GB"/>
        </w:rPr>
        <w:t>is more than</w:t>
      </w:r>
      <w:r w:rsidRPr="00305E0F">
        <w:rPr>
          <w:color w:val="auto"/>
          <w:lang w:val="en-GB"/>
        </w:rPr>
        <w:t xml:space="preserve"> the equivalent in MDL of EUR 500 million.</w:t>
      </w:r>
    </w:p>
    <w:p w14:paraId="146ABB00" w14:textId="2E11C35B" w:rsidR="00EB0050" w:rsidRPr="00305E0F" w:rsidRDefault="00B02122">
      <w:pPr>
        <w:pStyle w:val="P68B1DB1-Normal7"/>
        <w:shd w:val="clear" w:color="auto" w:fill="FFFFFF"/>
        <w:tabs>
          <w:tab w:val="left" w:pos="0"/>
        </w:tabs>
        <w:spacing w:after="0" w:line="240" w:lineRule="auto"/>
        <w:ind w:firstLine="567"/>
        <w:jc w:val="both"/>
        <w:rPr>
          <w:color w:val="auto"/>
          <w:lang w:val="en-GB"/>
        </w:rPr>
      </w:pPr>
      <w:r w:rsidRPr="00305E0F">
        <w:rPr>
          <w:color w:val="auto"/>
          <w:lang w:val="en-GB"/>
        </w:rPr>
        <w:t xml:space="preserve">When assessing the sales threshold, the amounts shall be reported as set out in the audited financial statements of the companies or, in the case of </w:t>
      </w:r>
      <w:r w:rsidR="008F3D8B" w:rsidRPr="00305E0F">
        <w:rPr>
          <w:color w:val="auto"/>
          <w:lang w:val="en-GB"/>
        </w:rPr>
        <w:t>corporates that</w:t>
      </w:r>
      <w:r w:rsidRPr="00305E0F">
        <w:rPr>
          <w:color w:val="auto"/>
          <w:lang w:val="en-GB"/>
        </w:rPr>
        <w:t xml:space="preserve"> are part of consolidated groups, of their consolidated groups, in accordance with the accounting standard applicable to the ultimate parent undertaking of the consolidated group. The figures </w:t>
      </w:r>
      <w:r w:rsidR="008F3D8B" w:rsidRPr="00305E0F">
        <w:rPr>
          <w:color w:val="auto"/>
          <w:lang w:val="en-GB"/>
        </w:rPr>
        <w:t>shall be</w:t>
      </w:r>
      <w:r w:rsidRPr="00305E0F">
        <w:rPr>
          <w:color w:val="auto"/>
          <w:lang w:val="en-GB"/>
        </w:rPr>
        <w:t xml:space="preserve"> based on the average amounts calculated over the </w:t>
      </w:r>
      <w:r w:rsidR="008F3D8B" w:rsidRPr="00305E0F">
        <w:rPr>
          <w:color w:val="auto"/>
          <w:lang w:val="en-GB"/>
        </w:rPr>
        <w:t>prior</w:t>
      </w:r>
      <w:r w:rsidRPr="00305E0F">
        <w:rPr>
          <w:color w:val="auto"/>
          <w:lang w:val="en-GB"/>
        </w:rPr>
        <w:t xml:space="preserve"> three years or on the latest amounts updated every three years by the bank;</w:t>
      </w:r>
    </w:p>
    <w:p w14:paraId="0B0D1E4F" w14:textId="20019C37" w:rsidR="00EB0050" w:rsidRPr="00305E0F" w:rsidRDefault="00B02122">
      <w:pPr>
        <w:pStyle w:val="P68B1DB1-ListParagraph8"/>
        <w:numPr>
          <w:ilvl w:val="1"/>
          <w:numId w:val="2"/>
        </w:numPr>
        <w:tabs>
          <w:tab w:val="left" w:pos="0"/>
        </w:tabs>
        <w:spacing w:after="0" w:line="240" w:lineRule="auto"/>
        <w:jc w:val="both"/>
        <w:rPr>
          <w:color w:val="auto"/>
          <w:sz w:val="18"/>
          <w:szCs w:val="18"/>
          <w:lang w:val="en-GB"/>
        </w:rPr>
      </w:pPr>
      <w:r w:rsidRPr="00305E0F">
        <w:rPr>
          <w:b/>
          <w:color w:val="auto"/>
          <w:lang w:val="en-GB"/>
        </w:rPr>
        <w:t>rating system</w:t>
      </w:r>
      <w:r w:rsidRPr="00305E0F">
        <w:rPr>
          <w:color w:val="auto"/>
          <w:lang w:val="en-GB"/>
        </w:rPr>
        <w:t xml:space="preserve"> </w:t>
      </w:r>
      <w:r w:rsidR="008F3D8B" w:rsidRPr="00305E0F">
        <w:rPr>
          <w:color w:val="auto"/>
          <w:lang w:val="en-GB"/>
        </w:rPr>
        <w:t>-</w:t>
      </w:r>
      <w:r w:rsidRPr="00305E0F">
        <w:rPr>
          <w:color w:val="auto"/>
          <w:lang w:val="en-GB"/>
        </w:rPr>
        <w:t xml:space="preserve"> </w:t>
      </w:r>
      <w:r w:rsidR="008F3D8B" w:rsidRPr="00305E0F">
        <w:rPr>
          <w:color w:val="auto"/>
          <w:lang w:val="en-GB"/>
        </w:rPr>
        <w:t>all of the methods, processes, controls, data collection and IT systems that support the assessment of credit risk, the assignment of exposures to rating grades or pools, and the quantification of default and loss estimates that have been developed for a certain type of exposures</w:t>
      </w:r>
      <w:r w:rsidRPr="00305E0F">
        <w:rPr>
          <w:color w:val="auto"/>
          <w:lang w:val="en-GB"/>
        </w:rPr>
        <w:t xml:space="preserve">; </w:t>
      </w:r>
      <w:bookmarkEnd w:id="3"/>
    </w:p>
    <w:p w14:paraId="3119D6FE" w14:textId="2271C7B5" w:rsidR="00EB0050" w:rsidRPr="00305E0F" w:rsidRDefault="00B02122" w:rsidP="00E7602D">
      <w:pPr>
        <w:pStyle w:val="P68B1DB1-ListParagraph8"/>
        <w:numPr>
          <w:ilvl w:val="1"/>
          <w:numId w:val="2"/>
        </w:numPr>
        <w:shd w:val="clear" w:color="auto" w:fill="FFFFFF"/>
        <w:tabs>
          <w:tab w:val="left" w:pos="0"/>
        </w:tabs>
        <w:spacing w:after="0" w:line="240" w:lineRule="auto"/>
        <w:contextualSpacing w:val="0"/>
        <w:jc w:val="both"/>
        <w:rPr>
          <w:color w:val="auto"/>
          <w:lang w:val="en-GB"/>
        </w:rPr>
      </w:pPr>
      <w:bookmarkStart w:id="7" w:name="_Ref215506677"/>
      <w:r w:rsidRPr="00305E0F">
        <w:rPr>
          <w:b/>
          <w:color w:val="auto"/>
          <w:lang w:val="en-GB"/>
        </w:rPr>
        <w:t>type of exposures</w:t>
      </w:r>
      <w:r w:rsidRPr="00305E0F">
        <w:rPr>
          <w:color w:val="auto"/>
          <w:lang w:val="en-GB"/>
        </w:rPr>
        <w:t xml:space="preserve"> </w:t>
      </w:r>
      <w:r w:rsidRPr="00305E0F">
        <w:rPr>
          <w:b/>
          <w:color w:val="auto"/>
          <w:lang w:val="en-GB"/>
        </w:rPr>
        <w:t>-</w:t>
      </w:r>
      <w:r w:rsidRPr="00305E0F">
        <w:rPr>
          <w:color w:val="auto"/>
          <w:lang w:val="en-GB"/>
        </w:rPr>
        <w:t xml:space="preserve"> </w:t>
      </w:r>
      <w:r w:rsidR="008F3D8B" w:rsidRPr="00305E0F">
        <w:rPr>
          <w:color w:val="auto"/>
          <w:lang w:val="en-GB"/>
        </w:rPr>
        <w:t>a group of homogeneously managed exposures, which may be limited to a single entity or a single sub-set of entities within a group provided that the same type of exposures is managed differently in other entities of the group</w:t>
      </w:r>
      <w:r w:rsidRPr="00305E0F">
        <w:rPr>
          <w:color w:val="auto"/>
          <w:lang w:val="en-GB"/>
        </w:rPr>
        <w:t>;</w:t>
      </w:r>
      <w:bookmarkEnd w:id="7"/>
    </w:p>
    <w:p w14:paraId="30923F24" w14:textId="4EB06DAD" w:rsidR="00EB0050" w:rsidRPr="00305E0F" w:rsidRDefault="00B81C1C">
      <w:pPr>
        <w:pStyle w:val="P68B1DB1-ListParagraph12"/>
        <w:numPr>
          <w:ilvl w:val="1"/>
          <w:numId w:val="2"/>
        </w:numPr>
        <w:shd w:val="clear" w:color="auto" w:fill="FFFFFF"/>
        <w:tabs>
          <w:tab w:val="left" w:pos="0"/>
        </w:tabs>
        <w:spacing w:before="60" w:after="0" w:line="240" w:lineRule="auto"/>
        <w:jc w:val="both"/>
        <w:rPr>
          <w:lang w:val="en-GB"/>
        </w:rPr>
      </w:pPr>
      <w:r w:rsidRPr="00305E0F">
        <w:rPr>
          <w:b/>
          <w:lang w:val="en-GB"/>
        </w:rPr>
        <w:t>business unit</w:t>
      </w:r>
      <w:r w:rsidRPr="00305E0F">
        <w:rPr>
          <w:lang w:val="en-GB"/>
        </w:rPr>
        <w:t xml:space="preserve"> </w:t>
      </w:r>
      <w:r w:rsidRPr="00305E0F">
        <w:rPr>
          <w:b/>
          <w:lang w:val="en-GB"/>
        </w:rPr>
        <w:t>-</w:t>
      </w:r>
      <w:r w:rsidRPr="00305E0F">
        <w:rPr>
          <w:lang w:val="en-GB"/>
        </w:rPr>
        <w:t xml:space="preserve"> any separate organisational or legal entities, business lines, geographical locations.</w:t>
      </w:r>
    </w:p>
    <w:p w14:paraId="584AE09F" w14:textId="2FB08632" w:rsidR="00EB0050" w:rsidRPr="00305E0F" w:rsidRDefault="00B02122" w:rsidP="00136CEA">
      <w:pPr>
        <w:pStyle w:val="P68B1DB1-ListParagraph13"/>
        <w:shd w:val="clear" w:color="auto" w:fill="FFFFFF"/>
        <w:tabs>
          <w:tab w:val="left" w:pos="0"/>
          <w:tab w:val="left" w:pos="567"/>
        </w:tabs>
        <w:spacing w:before="120" w:after="0" w:line="240" w:lineRule="auto"/>
        <w:ind w:left="357"/>
        <w:contextualSpacing w:val="0"/>
        <w:jc w:val="center"/>
        <w:rPr>
          <w:bCs/>
          <w:color w:val="auto"/>
          <w:lang w:val="en-GB"/>
        </w:rPr>
      </w:pPr>
      <w:r w:rsidRPr="00305E0F">
        <w:rPr>
          <w:color w:val="auto"/>
          <w:lang w:val="en-GB"/>
        </w:rPr>
        <w:t>Chapter II</w:t>
      </w:r>
    </w:p>
    <w:p w14:paraId="098A794D" w14:textId="5D78F477" w:rsidR="00EB0050" w:rsidRPr="00305E0F" w:rsidRDefault="00B81C1C">
      <w:pPr>
        <w:pStyle w:val="P68B1DB1-ListParagraph13"/>
        <w:shd w:val="clear" w:color="auto" w:fill="FFFFFF"/>
        <w:tabs>
          <w:tab w:val="left" w:pos="0"/>
          <w:tab w:val="left" w:pos="567"/>
        </w:tabs>
        <w:spacing w:before="60" w:after="0" w:line="240" w:lineRule="auto"/>
        <w:ind w:left="0" w:firstLine="567"/>
        <w:jc w:val="center"/>
        <w:rPr>
          <w:bCs/>
          <w:color w:val="auto"/>
          <w:lang w:val="en-GB"/>
        </w:rPr>
      </w:pPr>
      <w:r w:rsidRPr="00305E0F">
        <w:rPr>
          <w:bCs/>
          <w:color w:val="auto"/>
          <w:lang w:val="en-GB"/>
        </w:rPr>
        <w:t>Permission </w:t>
      </w:r>
      <w:r w:rsidRPr="00305E0F">
        <w:rPr>
          <w:color w:val="auto"/>
          <w:lang w:val="en-GB"/>
        </w:rPr>
        <w:t>granted by the National Bank of Moldova to use the Internal Ratings Based Approach</w:t>
      </w:r>
    </w:p>
    <w:p w14:paraId="1CD63511" w14:textId="77777777" w:rsidR="00EB0050" w:rsidRPr="00305E0F" w:rsidRDefault="00B02122">
      <w:pPr>
        <w:pStyle w:val="P68B1DB1-ListParagraph14"/>
        <w:shd w:val="clear" w:color="auto" w:fill="FFFFFF"/>
        <w:tabs>
          <w:tab w:val="left" w:pos="0"/>
          <w:tab w:val="left" w:pos="567"/>
        </w:tabs>
        <w:spacing w:before="60" w:after="0" w:line="240" w:lineRule="auto"/>
        <w:ind w:left="0" w:firstLine="567"/>
        <w:jc w:val="center"/>
        <w:rPr>
          <w:iCs/>
          <w:lang w:val="en-GB"/>
        </w:rPr>
      </w:pPr>
      <w:r w:rsidRPr="00305E0F">
        <w:rPr>
          <w:rFonts w:ascii="Times New Roman" w:hAnsi="Times New Roman" w:cs="Times New Roman"/>
          <w:b/>
          <w:sz w:val="24"/>
          <w:szCs w:val="24"/>
          <w:lang w:val="en-GB"/>
        </w:rPr>
        <w:t>Section 1</w:t>
      </w:r>
      <w:r w:rsidRPr="00305E0F">
        <w:rPr>
          <w:lang w:val="en-GB"/>
        </w:rPr>
        <w:t xml:space="preserve"> </w:t>
      </w:r>
    </w:p>
    <w:p w14:paraId="2334996F" w14:textId="0FBE913B" w:rsidR="00EB0050" w:rsidRPr="00305E0F" w:rsidRDefault="00B02122">
      <w:pPr>
        <w:pStyle w:val="P68B1DB1-ListParagraph15"/>
        <w:shd w:val="clear" w:color="auto" w:fill="FFFFFF"/>
        <w:tabs>
          <w:tab w:val="left" w:pos="0"/>
          <w:tab w:val="left" w:pos="567"/>
        </w:tabs>
        <w:spacing w:before="60" w:after="0" w:line="240" w:lineRule="auto"/>
        <w:ind w:left="0" w:firstLine="567"/>
        <w:jc w:val="center"/>
        <w:rPr>
          <w:bCs/>
          <w:iCs/>
          <w:color w:val="auto"/>
          <w:lang w:val="en-GB"/>
        </w:rPr>
      </w:pPr>
      <w:r w:rsidRPr="00305E0F">
        <w:rPr>
          <w:color w:val="auto"/>
          <w:lang w:val="en-GB"/>
        </w:rPr>
        <w:t>Approval to use the IRB Approach</w:t>
      </w:r>
    </w:p>
    <w:p w14:paraId="08F55C26" w14:textId="1A481A0A" w:rsidR="00EB0050" w:rsidRPr="00305E0F" w:rsidRDefault="00B02122">
      <w:pPr>
        <w:pStyle w:val="P68B1DB1-ListParagraph8"/>
        <w:numPr>
          <w:ilvl w:val="0"/>
          <w:numId w:val="2"/>
        </w:numPr>
        <w:spacing w:line="240" w:lineRule="auto"/>
        <w:ind w:firstLine="567"/>
        <w:jc w:val="both"/>
        <w:rPr>
          <w:color w:val="auto"/>
          <w:lang w:val="en-GB"/>
        </w:rPr>
      </w:pPr>
      <w:bookmarkStart w:id="8" w:name="_Ref215069496"/>
      <w:r w:rsidRPr="00305E0F">
        <w:rPr>
          <w:color w:val="auto"/>
          <w:lang w:val="en-GB"/>
        </w:rPr>
        <w:t>Where the conditions laid down in this Regulation are met, the National Bank of Moldova shall allow banks to calculate risk-weighted exposure amounts using the Internal Ratings Based Approach (</w:t>
      </w:r>
      <w:r w:rsidR="00B81C1C" w:rsidRPr="00305E0F">
        <w:rPr>
          <w:color w:val="auto"/>
          <w:lang w:val="en-GB"/>
        </w:rPr>
        <w:t>“</w:t>
      </w:r>
      <w:r w:rsidRPr="00305E0F">
        <w:rPr>
          <w:color w:val="auto"/>
          <w:lang w:val="en-GB"/>
        </w:rPr>
        <w:t>IRB Approach</w:t>
      </w:r>
      <w:r w:rsidR="00B81C1C" w:rsidRPr="00305E0F">
        <w:rPr>
          <w:color w:val="auto"/>
          <w:lang w:val="en-GB"/>
        </w:rPr>
        <w:t>”</w:t>
      </w:r>
      <w:r w:rsidRPr="00305E0F">
        <w:rPr>
          <w:color w:val="auto"/>
          <w:lang w:val="en-GB"/>
        </w:rPr>
        <w:t>).</w:t>
      </w:r>
      <w:bookmarkEnd w:id="8"/>
    </w:p>
    <w:p w14:paraId="3814B823" w14:textId="57762F8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Prior permission to use the IRB approach, including own estimates of LGDs and IRB-CCFs, is required for each exposure class, rating system and approach used to estimate LGDs and CCFs.</w:t>
      </w:r>
    </w:p>
    <w:p w14:paraId="19EDC781" w14:textId="71C7F95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In case of changes to rating systems, banks shall obtain the prior approval of the National Bank of Moldova for:</w:t>
      </w:r>
    </w:p>
    <w:p w14:paraId="4946A6A5" w14:textId="6C0ADDCE"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significant changes in the scope of a rating system that the bank has been approved to use;</w:t>
      </w:r>
    </w:p>
    <w:p w14:paraId="6B6CF484" w14:textId="77EC20C4"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significant changes to a rating system that the bank has received permission to use.</w:t>
      </w:r>
    </w:p>
    <w:p w14:paraId="4DA0894D" w14:textId="25B4AACD" w:rsidR="00EB0050" w:rsidRPr="00305E0F" w:rsidRDefault="00B02122">
      <w:pPr>
        <w:pStyle w:val="P68B1DB1-Normal7"/>
        <w:shd w:val="clear" w:color="auto" w:fill="FFFFFF"/>
        <w:tabs>
          <w:tab w:val="left" w:pos="0"/>
          <w:tab w:val="left" w:pos="567"/>
        </w:tabs>
        <w:spacing w:after="0" w:line="240" w:lineRule="auto"/>
        <w:jc w:val="both"/>
        <w:rPr>
          <w:color w:val="auto"/>
          <w:lang w:val="en-GB"/>
        </w:rPr>
      </w:pPr>
      <w:r w:rsidRPr="00305E0F">
        <w:rPr>
          <w:color w:val="auto"/>
          <w:lang w:val="en-GB"/>
        </w:rPr>
        <w:t>The scope of a rating system shall cover all exposures of the relevant type of exposures for which that rating system has been designed.</w:t>
      </w:r>
    </w:p>
    <w:p w14:paraId="60FF8B5A" w14:textId="61889936" w:rsidR="00EB0050" w:rsidRPr="00305E0F" w:rsidRDefault="00B02122">
      <w:pPr>
        <w:pStyle w:val="P68B1DB1-ListParagraph11"/>
        <w:numPr>
          <w:ilvl w:val="0"/>
          <w:numId w:val="2"/>
        </w:numPr>
        <w:shd w:val="clear" w:color="auto" w:fill="FFFFFF"/>
        <w:tabs>
          <w:tab w:val="left" w:pos="0"/>
          <w:tab w:val="left" w:pos="567"/>
        </w:tabs>
        <w:spacing w:after="0" w:line="240" w:lineRule="auto"/>
        <w:ind w:firstLine="567"/>
        <w:jc w:val="both"/>
        <w:rPr>
          <w:color w:val="auto"/>
          <w:sz w:val="24"/>
          <w:szCs w:val="24"/>
          <w:lang w:val="en-GB"/>
        </w:rPr>
      </w:pPr>
      <w:bookmarkStart w:id="9" w:name="_Ref215069507"/>
      <w:r w:rsidRPr="00305E0F">
        <w:rPr>
          <w:color w:val="auto"/>
          <w:sz w:val="24"/>
          <w:szCs w:val="24"/>
          <w:lang w:val="en-GB"/>
        </w:rPr>
        <w:t>Banks shall notify the National Bank of Moldova without delay in writing of any changes to the rating systems.</w:t>
      </w:r>
      <w:r w:rsidRPr="00305E0F">
        <w:rPr>
          <w:color w:val="auto"/>
          <w:sz w:val="18"/>
          <w:szCs w:val="18"/>
          <w:highlight w:val="lightGray"/>
          <w:lang w:val="en-GB"/>
        </w:rPr>
        <w:t xml:space="preserve"> </w:t>
      </w:r>
      <w:bookmarkEnd w:id="9"/>
    </w:p>
    <w:p w14:paraId="45C17372" w14:textId="77777777" w:rsidR="00EB0050" w:rsidRPr="00305E0F" w:rsidRDefault="00B02122">
      <w:pPr>
        <w:pStyle w:val="P68B1DB1-Normal16"/>
        <w:shd w:val="clear" w:color="auto" w:fill="FFFFFF"/>
        <w:tabs>
          <w:tab w:val="left" w:pos="0"/>
          <w:tab w:val="left" w:pos="567"/>
        </w:tabs>
        <w:spacing w:before="120" w:after="0" w:line="240" w:lineRule="auto"/>
        <w:jc w:val="center"/>
        <w:rPr>
          <w:bCs/>
          <w:iCs/>
          <w:color w:val="auto"/>
          <w:lang w:val="en-GB"/>
        </w:rPr>
      </w:pPr>
      <w:r w:rsidRPr="00305E0F">
        <w:rPr>
          <w:color w:val="auto"/>
          <w:lang w:val="en-GB"/>
        </w:rPr>
        <w:t>Section 2</w:t>
      </w:r>
    </w:p>
    <w:p w14:paraId="081EC346" w14:textId="68D62711" w:rsidR="00EB0050" w:rsidRPr="00305E0F" w:rsidRDefault="00B81C1C">
      <w:pPr>
        <w:pStyle w:val="P68B1DB1-Normal16"/>
        <w:shd w:val="clear" w:color="auto" w:fill="FFFFFF"/>
        <w:tabs>
          <w:tab w:val="left" w:pos="0"/>
          <w:tab w:val="left" w:pos="567"/>
        </w:tabs>
        <w:spacing w:after="0" w:line="240" w:lineRule="auto"/>
        <w:jc w:val="center"/>
        <w:rPr>
          <w:bCs/>
          <w:iCs/>
          <w:color w:val="auto"/>
          <w:lang w:val="en-GB"/>
        </w:rPr>
      </w:pPr>
      <w:r w:rsidRPr="00305E0F">
        <w:rPr>
          <w:color w:val="auto"/>
          <w:lang w:val="en-GB"/>
        </w:rPr>
        <w:t>The National Bank of Moldova’s assessment of a</w:t>
      </w:r>
      <w:r w:rsidR="008E0C4C" w:rsidRPr="00305E0F">
        <w:rPr>
          <w:color w:val="auto"/>
          <w:lang w:val="en-GB"/>
        </w:rPr>
        <w:t>n</w:t>
      </w:r>
      <w:r w:rsidRPr="00305E0F">
        <w:rPr>
          <w:color w:val="auto"/>
          <w:lang w:val="en-GB"/>
        </w:rPr>
        <w:t xml:space="preserve"> </w:t>
      </w:r>
      <w:r w:rsidR="008E0C4C" w:rsidRPr="00305E0F">
        <w:rPr>
          <w:color w:val="auto"/>
          <w:lang w:val="en-GB"/>
        </w:rPr>
        <w:t>application</w:t>
      </w:r>
      <w:r w:rsidRPr="00305E0F">
        <w:rPr>
          <w:color w:val="auto"/>
          <w:lang w:val="en-GB"/>
        </w:rPr>
        <w:t xml:space="preserve"> to use </w:t>
      </w:r>
      <w:r w:rsidR="008E0C4C" w:rsidRPr="00305E0F">
        <w:rPr>
          <w:color w:val="auto"/>
          <w:lang w:val="en-GB"/>
        </w:rPr>
        <w:t>an</w:t>
      </w:r>
      <w:r w:rsidRPr="00305E0F">
        <w:rPr>
          <w:color w:val="auto"/>
          <w:lang w:val="en-GB"/>
        </w:rPr>
        <w:t xml:space="preserve"> IRB Approach</w:t>
      </w:r>
    </w:p>
    <w:p w14:paraId="63AD67D1" w14:textId="7CAF7BE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The National Bank of Moldova shall grant permission to a bank to use the IRB Approach, including to use its own estimates of LGD and conversion factors, as set out in Section 1, only if </w:t>
      </w:r>
      <w:r w:rsidRPr="00305E0F">
        <w:rPr>
          <w:color w:val="auto"/>
          <w:lang w:val="en-GB"/>
        </w:rPr>
        <w:lastRenderedPageBreak/>
        <w:t xml:space="preserve">the National Bank of Moldova is satisfied that requirements </w:t>
      </w:r>
      <w:r w:rsidR="008E0C4C" w:rsidRPr="00305E0F">
        <w:rPr>
          <w:color w:val="auto"/>
          <w:lang w:val="en-GB"/>
        </w:rPr>
        <w:t xml:space="preserve">laid down </w:t>
      </w:r>
      <w:r w:rsidRPr="00305E0F">
        <w:rPr>
          <w:color w:val="auto"/>
          <w:lang w:val="en-GB"/>
        </w:rPr>
        <w:t>in this Regulation, in particular those set out in Chapter VI, are met and that the bank’s systems for</w:t>
      </w:r>
      <w:r w:rsidR="008E0C4C" w:rsidRPr="00305E0F">
        <w:rPr>
          <w:color w:val="auto"/>
          <w:lang w:val="en-GB"/>
        </w:rPr>
        <w:t xml:space="preserve"> the</w:t>
      </w:r>
      <w:r w:rsidRPr="00305E0F">
        <w:rPr>
          <w:color w:val="auto"/>
          <w:lang w:val="en-GB"/>
        </w:rPr>
        <w:t xml:space="preserve"> manag</w:t>
      </w:r>
      <w:r w:rsidR="008E0C4C" w:rsidRPr="00305E0F">
        <w:rPr>
          <w:color w:val="auto"/>
          <w:lang w:val="en-GB"/>
        </w:rPr>
        <w:t>ement</w:t>
      </w:r>
      <w:r w:rsidRPr="00305E0F">
        <w:rPr>
          <w:color w:val="auto"/>
          <w:lang w:val="en-GB"/>
        </w:rPr>
        <w:t xml:space="preserve"> and rating </w:t>
      </w:r>
      <w:r w:rsidR="008E0C4C" w:rsidRPr="00305E0F">
        <w:rPr>
          <w:color w:val="auto"/>
          <w:lang w:val="en-GB"/>
        </w:rPr>
        <w:t xml:space="preserve">of </w:t>
      </w:r>
      <w:r w:rsidRPr="00305E0F">
        <w:rPr>
          <w:color w:val="auto"/>
          <w:lang w:val="en-GB"/>
        </w:rPr>
        <w:t>credit risk exposures are sound and implemented with integrity, and in particular that the bank has demonstrated to the satisfaction of the National Bank of Moldova that the following standards are met:</w:t>
      </w:r>
    </w:p>
    <w:p w14:paraId="68FB1AF5" w14:textId="1B94CEB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The rating systems of the bank shall ensure a meaningful assessment of </w:t>
      </w:r>
      <w:r w:rsidR="008E0C4C" w:rsidRPr="00305E0F">
        <w:rPr>
          <w:color w:val="auto"/>
          <w:lang w:val="en-GB"/>
        </w:rPr>
        <w:t>obligor and</w:t>
      </w:r>
      <w:r w:rsidRPr="00305E0F">
        <w:rPr>
          <w:color w:val="auto"/>
          <w:lang w:val="en-GB"/>
        </w:rPr>
        <w:t xml:space="preserve"> </w:t>
      </w:r>
      <w:r w:rsidR="008E0C4C" w:rsidRPr="00305E0F">
        <w:rPr>
          <w:color w:val="auto"/>
          <w:lang w:val="en-GB"/>
        </w:rPr>
        <w:t xml:space="preserve">transaction </w:t>
      </w:r>
      <w:r w:rsidRPr="00305E0F">
        <w:rPr>
          <w:color w:val="auto"/>
          <w:lang w:val="en-GB"/>
        </w:rPr>
        <w:t>characteristics, a meaningful differentiation of risk and accurate and consistent quantitative estimat</w:t>
      </w:r>
      <w:r w:rsidR="008E0C4C" w:rsidRPr="00305E0F">
        <w:rPr>
          <w:color w:val="auto"/>
          <w:lang w:val="en-GB"/>
        </w:rPr>
        <w:t>es</w:t>
      </w:r>
      <w:r w:rsidRPr="00305E0F">
        <w:rPr>
          <w:color w:val="auto"/>
          <w:lang w:val="en-GB"/>
        </w:rPr>
        <w:t xml:space="preserve"> of risk;</w:t>
      </w:r>
    </w:p>
    <w:p w14:paraId="04B12D56" w14:textId="3AF49922"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internal ratings and default and loss estimates used to determine own funds requirements, as well as the associated systems and processes, play a</w:t>
      </w:r>
      <w:r w:rsidR="008E0C4C" w:rsidRPr="00305E0F">
        <w:rPr>
          <w:color w:val="auto"/>
          <w:lang w:val="en-GB"/>
        </w:rPr>
        <w:t xml:space="preserve">n essential </w:t>
      </w:r>
      <w:r w:rsidRPr="00305E0F">
        <w:rPr>
          <w:color w:val="auto"/>
          <w:lang w:val="en-GB"/>
        </w:rPr>
        <w:t xml:space="preserve">role in the risk management and decision-making process, </w:t>
      </w:r>
      <w:r w:rsidR="008E0C4C" w:rsidRPr="00305E0F">
        <w:rPr>
          <w:color w:val="auto"/>
          <w:lang w:val="en-GB"/>
        </w:rPr>
        <w:t>and</w:t>
      </w:r>
      <w:r w:rsidRPr="00305E0F">
        <w:rPr>
          <w:color w:val="auto"/>
          <w:lang w:val="en-GB"/>
        </w:rPr>
        <w:t xml:space="preserve"> in the credit approval, internal capital allocation and corporate governance functions of the bank;</w:t>
      </w:r>
    </w:p>
    <w:p w14:paraId="643F884B" w14:textId="200DBBF7"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The bank shall have a credit risk control unit responsible for its rating systems that is </w:t>
      </w:r>
      <w:r w:rsidR="008E0C4C" w:rsidRPr="00305E0F">
        <w:rPr>
          <w:color w:val="auto"/>
          <w:lang w:val="en-GB"/>
        </w:rPr>
        <w:t>appropriately </w:t>
      </w:r>
      <w:r w:rsidRPr="00305E0F">
        <w:rPr>
          <w:color w:val="auto"/>
          <w:lang w:val="en-GB"/>
        </w:rPr>
        <w:t xml:space="preserve">independent and </w:t>
      </w:r>
      <w:r w:rsidR="008E0C4C" w:rsidRPr="00305E0F">
        <w:rPr>
          <w:color w:val="auto"/>
          <w:lang w:val="en-GB"/>
        </w:rPr>
        <w:t>free from undue influence</w:t>
      </w:r>
      <w:r w:rsidRPr="00305E0F">
        <w:rPr>
          <w:color w:val="auto"/>
          <w:lang w:val="en-GB"/>
        </w:rPr>
        <w:t>;</w:t>
      </w:r>
      <w:r w:rsidR="008E0C4C" w:rsidRPr="00305E0F">
        <w:rPr>
          <w:color w:val="auto"/>
          <w:lang w:val="en-GB"/>
        </w:rPr>
        <w:t xml:space="preserve"> </w:t>
      </w:r>
    </w:p>
    <w:p w14:paraId="2985CAA8" w14:textId="2FC58C1D"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shall collect and store all relevant data to provide effective support to its credit risk measurement and management process;</w:t>
      </w:r>
    </w:p>
    <w:p w14:paraId="6A82065E" w14:textId="056AB28C"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The bank shall document its rating systems and the rationale </w:t>
      </w:r>
      <w:r w:rsidR="008E0C4C" w:rsidRPr="00305E0F">
        <w:rPr>
          <w:color w:val="auto"/>
          <w:lang w:val="en-GB"/>
        </w:rPr>
        <w:t>for</w:t>
      </w:r>
      <w:r w:rsidRPr="00305E0F">
        <w:rPr>
          <w:color w:val="auto"/>
          <w:lang w:val="en-GB"/>
        </w:rPr>
        <w:t xml:space="preserve"> their design and validate </w:t>
      </w:r>
      <w:r w:rsidR="008E0C4C" w:rsidRPr="00305E0F">
        <w:rPr>
          <w:color w:val="auto"/>
          <w:lang w:val="en-GB"/>
        </w:rPr>
        <w:t>the rating</w:t>
      </w:r>
      <w:r w:rsidRPr="00305E0F">
        <w:rPr>
          <w:color w:val="auto"/>
          <w:lang w:val="en-GB"/>
        </w:rPr>
        <w:t xml:space="preserve"> systems;</w:t>
      </w:r>
    </w:p>
    <w:p w14:paraId="643DDDC8" w14:textId="32FF0348"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has validated each rating system for an appropriate period of time before receiving permission to use that rating system, has assessed during that period whether each rating system is appropriate for the scope of that rating system and has made any necessary changes to each rating system as a result of its assessment;</w:t>
      </w:r>
    </w:p>
    <w:p w14:paraId="7F9ACE33" w14:textId="5DE7CB77"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The Bank has calculated, </w:t>
      </w:r>
      <w:r w:rsidR="008E0C4C" w:rsidRPr="00305E0F">
        <w:rPr>
          <w:color w:val="auto"/>
          <w:lang w:val="en-GB"/>
        </w:rPr>
        <w:t>under</w:t>
      </w:r>
      <w:r w:rsidRPr="00305E0F">
        <w:rPr>
          <w:color w:val="auto"/>
          <w:lang w:val="en-GB"/>
        </w:rPr>
        <w:t xml:space="preserve"> the IRB approach, the own funds requirements resulting from its estimates of risk parameters and is able to submit the reports established by the instructions of the National Bank of Moldova on the submission </w:t>
      </w:r>
      <w:r w:rsidR="008E0C4C" w:rsidRPr="00305E0F">
        <w:rPr>
          <w:color w:val="auto"/>
          <w:lang w:val="en-GB"/>
        </w:rPr>
        <w:t xml:space="preserve">by banks </w:t>
      </w:r>
      <w:r w:rsidRPr="00305E0F">
        <w:rPr>
          <w:color w:val="auto"/>
          <w:lang w:val="en-GB"/>
        </w:rPr>
        <w:t>of COREP reports for supervisory purposes;</w:t>
      </w:r>
    </w:p>
    <w:p w14:paraId="6721AE42" w14:textId="7C2D9F6B"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has assigned and continues to assign to each exposure within the scope of a rating system a rating grade or group within that rating system.</w:t>
      </w:r>
    </w:p>
    <w:p w14:paraId="65390139" w14:textId="034200C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The requirements to use the IRB Approach, including own estimates of LGD and conversion factors, shall also apply where a bank has implemented a rating system or model used in a rating system that it has purchased from a third-party </w:t>
      </w:r>
      <w:r w:rsidR="00BF0B16" w:rsidRPr="00305E0F">
        <w:rPr>
          <w:color w:val="auto"/>
          <w:lang w:val="en-GB"/>
        </w:rPr>
        <w:t>vendor</w:t>
      </w:r>
      <w:r w:rsidRPr="00305E0F">
        <w:rPr>
          <w:color w:val="auto"/>
          <w:lang w:val="en-GB"/>
        </w:rPr>
        <w:t>.</w:t>
      </w:r>
    </w:p>
    <w:p w14:paraId="36A8D1F0" w14:textId="12D36A7A" w:rsidR="00EB0050" w:rsidRPr="00305E0F" w:rsidRDefault="00B02122" w:rsidP="00E7602D">
      <w:pPr>
        <w:pStyle w:val="P68B1DB1-ListParagraph12"/>
        <w:numPr>
          <w:ilvl w:val="0"/>
          <w:numId w:val="2"/>
        </w:numPr>
        <w:shd w:val="clear" w:color="auto" w:fill="FFFFFF"/>
        <w:tabs>
          <w:tab w:val="left" w:pos="0"/>
          <w:tab w:val="left" w:pos="567"/>
        </w:tabs>
        <w:spacing w:before="60" w:after="0" w:line="240" w:lineRule="auto"/>
        <w:ind w:firstLine="567"/>
        <w:jc w:val="both"/>
        <w:rPr>
          <w:lang w:val="en-GB"/>
        </w:rPr>
      </w:pPr>
      <w:r w:rsidRPr="00305E0F">
        <w:rPr>
          <w:lang w:val="en-GB"/>
        </w:rPr>
        <w:t>In order to obtain the prior approval referred to in paragraph 8, the bank shall submit to the National Bank of Moldova an application to which shall be attached the documents and information confirming that the bank meets the conditions set out in paragraph 8.</w:t>
      </w:r>
    </w:p>
    <w:p w14:paraId="2D1A68A1" w14:textId="0CE844F5" w:rsidR="00EB0050" w:rsidRPr="00305E0F" w:rsidRDefault="00B02122" w:rsidP="00E7602D">
      <w:pPr>
        <w:pStyle w:val="P68B1DB1-ListParagraph12"/>
        <w:numPr>
          <w:ilvl w:val="0"/>
          <w:numId w:val="2"/>
        </w:numPr>
        <w:shd w:val="clear" w:color="auto" w:fill="FFFFFF"/>
        <w:tabs>
          <w:tab w:val="left" w:pos="0"/>
          <w:tab w:val="left" w:pos="567"/>
        </w:tabs>
        <w:spacing w:before="60" w:after="0" w:line="240" w:lineRule="auto"/>
        <w:ind w:firstLine="567"/>
        <w:jc w:val="both"/>
        <w:rPr>
          <w:lang w:val="en-GB"/>
        </w:rPr>
      </w:pPr>
      <w:r w:rsidRPr="00305E0F">
        <w:rPr>
          <w:lang w:val="en-GB"/>
        </w:rPr>
        <w:t>The National Bank of Moldova shall examine the application referred to in paragraph 10 within 180 working days from the date of its submission to the National Bank of Moldova, accompanied by all documents to be submitted to the National Bank of Moldova. The deadline may be extended by up to 90 working days, with subsequent notification to the bank at least 3 days before the expiry of the deadline for examining the application.</w:t>
      </w:r>
    </w:p>
    <w:p w14:paraId="64BAEB0A" w14:textId="77777777" w:rsidR="00EB0050" w:rsidRPr="00305E0F" w:rsidRDefault="00B02122" w:rsidP="00136CEA">
      <w:pPr>
        <w:pStyle w:val="P68B1DB1-ListParagraph15"/>
        <w:shd w:val="clear" w:color="auto" w:fill="FFFFFF"/>
        <w:tabs>
          <w:tab w:val="left" w:pos="0"/>
          <w:tab w:val="left" w:pos="567"/>
        </w:tabs>
        <w:spacing w:before="120" w:after="0" w:line="240" w:lineRule="auto"/>
        <w:ind w:left="0"/>
        <w:contextualSpacing w:val="0"/>
        <w:jc w:val="center"/>
        <w:rPr>
          <w:color w:val="auto"/>
          <w:lang w:val="en-GB"/>
        </w:rPr>
      </w:pPr>
      <w:r w:rsidRPr="00305E0F">
        <w:rPr>
          <w:color w:val="auto"/>
          <w:lang w:val="en-GB"/>
        </w:rPr>
        <w:t>Section 3</w:t>
      </w:r>
    </w:p>
    <w:p w14:paraId="58F1F983" w14:textId="4B5495F4" w:rsidR="00EB0050" w:rsidRPr="00305E0F" w:rsidRDefault="00BF0B16">
      <w:pPr>
        <w:pStyle w:val="ListParagraph"/>
        <w:shd w:val="clear" w:color="auto" w:fill="FFFFFF"/>
        <w:tabs>
          <w:tab w:val="left" w:pos="0"/>
          <w:tab w:val="left" w:pos="567"/>
        </w:tabs>
        <w:spacing w:after="0" w:line="240" w:lineRule="auto"/>
        <w:ind w:left="0"/>
        <w:jc w:val="center"/>
        <w:rPr>
          <w:rFonts w:ascii="Times New Roman" w:hAnsi="Times New Roman" w:cs="Times New Roman"/>
          <w:b/>
          <w:bCs/>
          <w:i/>
          <w:iCs/>
          <w:sz w:val="24"/>
          <w:szCs w:val="24"/>
          <w:lang w:val="en-GB"/>
        </w:rPr>
      </w:pPr>
      <w:r w:rsidRPr="00305E0F">
        <w:rPr>
          <w:rFonts w:ascii="Times New Roman" w:hAnsi="Times New Roman" w:cs="Times New Roman"/>
          <w:b/>
          <w:i/>
          <w:sz w:val="24"/>
          <w:szCs w:val="24"/>
          <w:lang w:val="en-GB"/>
        </w:rPr>
        <w:t>Prior experience of using IRB approaches</w:t>
      </w:r>
      <w:r w:rsidRPr="00305E0F">
        <w:rPr>
          <w:lang w:val="en-GB"/>
        </w:rPr>
        <w:t xml:space="preserve"> </w:t>
      </w:r>
      <w:r w:rsidRPr="00305E0F">
        <w:rPr>
          <w:rFonts w:ascii="Times New Roman" w:hAnsi="Times New Roman" w:cs="Times New Roman"/>
          <w:b/>
          <w:i/>
          <w:sz w:val="24"/>
          <w:szCs w:val="24"/>
          <w:lang w:val="en-GB"/>
        </w:rPr>
        <w:t xml:space="preserve">and measures </w:t>
      </w:r>
    </w:p>
    <w:p w14:paraId="71D7C6C8" w14:textId="3D02BBAF" w:rsidR="00EB0050" w:rsidRPr="00305E0F" w:rsidRDefault="00B02122">
      <w:pPr>
        <w:pStyle w:val="P68B1DB1-ListParagraph15"/>
        <w:shd w:val="clear" w:color="auto" w:fill="FFFFFF"/>
        <w:tabs>
          <w:tab w:val="left" w:pos="0"/>
          <w:tab w:val="left" w:pos="567"/>
        </w:tabs>
        <w:spacing w:after="120" w:line="240" w:lineRule="auto"/>
        <w:ind w:left="0"/>
        <w:contextualSpacing w:val="0"/>
        <w:jc w:val="center"/>
        <w:rPr>
          <w:bCs/>
          <w:iCs/>
          <w:color w:val="auto"/>
          <w:lang w:val="en-GB"/>
        </w:rPr>
      </w:pPr>
      <w:r w:rsidRPr="00305E0F">
        <w:rPr>
          <w:color w:val="auto"/>
          <w:lang w:val="en-GB"/>
        </w:rPr>
        <w:t xml:space="preserve">to be taken </w:t>
      </w:r>
      <w:r w:rsidR="00BF0B16" w:rsidRPr="00305E0F">
        <w:rPr>
          <w:color w:val="auto"/>
          <w:lang w:val="en-GB"/>
        </w:rPr>
        <w:t>where</w:t>
      </w:r>
      <w:r w:rsidRPr="00305E0F">
        <w:rPr>
          <w:color w:val="auto"/>
          <w:lang w:val="en-GB"/>
        </w:rPr>
        <w:t xml:space="preserve"> the requirements of this Regulation </w:t>
      </w:r>
      <w:r w:rsidR="00BF0B16" w:rsidRPr="00305E0F">
        <w:rPr>
          <w:color w:val="auto"/>
          <w:lang w:val="en-GB"/>
        </w:rPr>
        <w:t>cease to be met</w:t>
      </w:r>
    </w:p>
    <w:p w14:paraId="1C1428EB" w14:textId="53A88FC7" w:rsidR="00EB0050" w:rsidRPr="00305E0F" w:rsidRDefault="00B02122">
      <w:pPr>
        <w:pStyle w:val="P68B1DB1-ListParagraph12"/>
        <w:numPr>
          <w:ilvl w:val="0"/>
          <w:numId w:val="2"/>
        </w:numPr>
        <w:spacing w:before="120" w:after="0" w:line="240" w:lineRule="auto"/>
        <w:ind w:firstLine="567"/>
        <w:contextualSpacing w:val="0"/>
        <w:jc w:val="both"/>
        <w:rPr>
          <w:lang w:val="en-GB"/>
        </w:rPr>
      </w:pPr>
      <w:bookmarkStart w:id="10" w:name="_Ref214966232"/>
      <w:r w:rsidRPr="00305E0F">
        <w:rPr>
          <w:lang w:val="en-GB"/>
        </w:rPr>
        <w:t>A bank applying for permission to use the IRB Approach shall have the experience of using, for the exposure classes concerned, rating systems that have been substantially compliant with the requirements set out in Chapter VI for the purposes of internal risk measurement and management for at least three years prior to qualifying for the use of the IRB Approach.</w:t>
      </w:r>
      <w:bookmarkEnd w:id="10"/>
    </w:p>
    <w:p w14:paraId="4C728B33" w14:textId="40EEB481" w:rsidR="00EB0050" w:rsidRPr="00305E0F" w:rsidRDefault="00B02122">
      <w:pPr>
        <w:pStyle w:val="P68B1DB1-ListParagraph12"/>
        <w:numPr>
          <w:ilvl w:val="0"/>
          <w:numId w:val="2"/>
        </w:numPr>
        <w:spacing w:before="120" w:after="120" w:line="240" w:lineRule="auto"/>
        <w:ind w:firstLine="567"/>
        <w:jc w:val="both"/>
        <w:rPr>
          <w:lang w:val="en-GB"/>
        </w:rPr>
      </w:pPr>
      <w:bookmarkStart w:id="11" w:name="_Ref214966241"/>
      <w:r w:rsidRPr="00305E0F">
        <w:rPr>
          <w:lang w:val="en-GB"/>
        </w:rPr>
        <w:t xml:space="preserve">A bank applying for </w:t>
      </w:r>
      <w:r w:rsidR="00BF0B16" w:rsidRPr="00305E0F">
        <w:rPr>
          <w:lang w:val="en-GB"/>
        </w:rPr>
        <w:t>the</w:t>
      </w:r>
      <w:r w:rsidRPr="00305E0F">
        <w:rPr>
          <w:lang w:val="en-GB"/>
        </w:rPr>
        <w:t xml:space="preserve"> use </w:t>
      </w:r>
      <w:r w:rsidR="00BF0B16" w:rsidRPr="00305E0F">
        <w:rPr>
          <w:lang w:val="en-GB"/>
        </w:rPr>
        <w:t xml:space="preserve">of </w:t>
      </w:r>
      <w:r w:rsidRPr="00305E0F">
        <w:rPr>
          <w:lang w:val="en-GB"/>
        </w:rPr>
        <w:t xml:space="preserve">own estimates of LGDs and conversion factors shall demonstrate to the satisfaction of the National Bank of Moldova that it has </w:t>
      </w:r>
      <w:r w:rsidR="00BF0B16" w:rsidRPr="00305E0F">
        <w:rPr>
          <w:lang w:val="en-GB"/>
        </w:rPr>
        <w:t xml:space="preserve">been </w:t>
      </w:r>
      <w:r w:rsidRPr="00305E0F">
        <w:rPr>
          <w:lang w:val="en-GB"/>
        </w:rPr>
        <w:t>estimat</w:t>
      </w:r>
      <w:r w:rsidR="00BF0B16" w:rsidRPr="00305E0F">
        <w:rPr>
          <w:lang w:val="en-GB"/>
        </w:rPr>
        <w:t>ing</w:t>
      </w:r>
      <w:r w:rsidRPr="00305E0F">
        <w:rPr>
          <w:lang w:val="en-GB"/>
        </w:rPr>
        <w:t xml:space="preserve"> and </w:t>
      </w:r>
      <w:r w:rsidR="00BF0B16" w:rsidRPr="00305E0F">
        <w:rPr>
          <w:lang w:val="en-GB"/>
        </w:rPr>
        <w:t xml:space="preserve">employing  </w:t>
      </w:r>
      <w:r w:rsidRPr="00305E0F">
        <w:rPr>
          <w:lang w:val="en-GB"/>
        </w:rPr>
        <w:t xml:space="preserve">own estimates of LGDs and conversion factors in a manner that was largely consistent with the requirements for the use of own estimates of those parameters set out in Chapter VI for at least three years </w:t>
      </w:r>
      <w:r w:rsidR="00BF0B16" w:rsidRPr="00305E0F">
        <w:rPr>
          <w:lang w:val="en-GB"/>
        </w:rPr>
        <w:t>prior</w:t>
      </w:r>
      <w:r w:rsidRPr="00305E0F">
        <w:rPr>
          <w:lang w:val="en-GB"/>
        </w:rPr>
        <w:t xml:space="preserve"> </w:t>
      </w:r>
      <w:r w:rsidR="00BF0B16" w:rsidRPr="00305E0F">
        <w:rPr>
          <w:lang w:val="en-GB"/>
        </w:rPr>
        <w:t>to</w:t>
      </w:r>
      <w:r w:rsidRPr="00305E0F">
        <w:rPr>
          <w:lang w:val="en-GB"/>
        </w:rPr>
        <w:t xml:space="preserve"> qualifi</w:t>
      </w:r>
      <w:r w:rsidR="00BF0B16" w:rsidRPr="00305E0F">
        <w:rPr>
          <w:lang w:val="en-GB"/>
        </w:rPr>
        <w:t>cation</w:t>
      </w:r>
      <w:r w:rsidRPr="00305E0F">
        <w:rPr>
          <w:lang w:val="en-GB"/>
        </w:rPr>
        <w:t xml:space="preserve"> to use own estimates of LGDs and conversion factors.</w:t>
      </w:r>
      <w:bookmarkEnd w:id="11"/>
    </w:p>
    <w:p w14:paraId="6152F679" w14:textId="0A55BA2F" w:rsidR="00EB0050" w:rsidRPr="00305E0F" w:rsidRDefault="00B02122">
      <w:pPr>
        <w:pStyle w:val="P68B1DB1-ListParagraph12"/>
        <w:numPr>
          <w:ilvl w:val="0"/>
          <w:numId w:val="2"/>
        </w:numPr>
        <w:spacing w:before="120" w:after="120" w:line="240" w:lineRule="auto"/>
        <w:ind w:firstLine="567"/>
        <w:jc w:val="both"/>
        <w:rPr>
          <w:lang w:val="en-GB"/>
        </w:rPr>
      </w:pPr>
      <w:bookmarkStart w:id="12" w:name="_Ref214966451"/>
      <w:r w:rsidRPr="00305E0F">
        <w:rPr>
          <w:lang w:val="en-GB"/>
        </w:rPr>
        <w:lastRenderedPageBreak/>
        <w:t xml:space="preserve">If the bank extends the use of the IRB Approach after having obtained initial prior approval, the bank’s experience shall be sufficient to meet the requirements </w:t>
      </w:r>
      <w:r w:rsidR="00ED6F28" w:rsidRPr="00305E0F">
        <w:rPr>
          <w:lang w:val="en-GB"/>
        </w:rPr>
        <w:t>in paragraphs</w:t>
      </w:r>
      <w:r w:rsidR="00E71645" w:rsidRPr="00305E0F">
        <w:rPr>
          <w:lang w:val="en-GB"/>
        </w:rPr>
        <w:t xml:space="preserve"> </w:t>
      </w:r>
      <w:r w:rsidR="00ED6F28" w:rsidRPr="00305E0F">
        <w:rPr>
          <w:lang w:val="en-GB"/>
        </w:rPr>
        <w:fldChar w:fldCharType="begin"/>
      </w:r>
      <w:r w:rsidR="00ED6F28" w:rsidRPr="00305E0F">
        <w:rPr>
          <w:lang w:val="en-GB"/>
        </w:rPr>
        <w:instrText xml:space="preserve"> REF _Ref214966232 \r \h </w:instrText>
      </w:r>
      <w:r w:rsidR="00ED6F28" w:rsidRPr="00305E0F">
        <w:rPr>
          <w:lang w:val="en-GB"/>
        </w:rPr>
      </w:r>
      <w:r w:rsidR="00ED6F28" w:rsidRPr="00305E0F">
        <w:rPr>
          <w:lang w:val="en-GB"/>
        </w:rPr>
        <w:fldChar w:fldCharType="separate"/>
      </w:r>
      <w:r w:rsidR="00ED6F28" w:rsidRPr="00305E0F">
        <w:rPr>
          <w:lang w:val="en-GB"/>
        </w:rPr>
        <w:t>12</w:t>
      </w:r>
      <w:r w:rsidR="00ED6F28" w:rsidRPr="00305E0F">
        <w:rPr>
          <w:lang w:val="en-GB"/>
        </w:rPr>
        <w:fldChar w:fldCharType="end"/>
      </w:r>
      <w:r w:rsidR="00ED6F28" w:rsidRPr="00305E0F">
        <w:rPr>
          <w:lang w:val="en-GB"/>
        </w:rPr>
        <w:t xml:space="preserve"> and </w:t>
      </w:r>
      <w:r w:rsidRPr="00305E0F">
        <w:rPr>
          <w:lang w:val="en-GB"/>
        </w:rPr>
        <w:fldChar w:fldCharType="begin"/>
      </w:r>
      <w:r w:rsidRPr="00305E0F">
        <w:rPr>
          <w:lang w:val="en-GB"/>
        </w:rPr>
        <w:instrText xml:space="preserve"> REF _Ref214966241 \r \h </w:instrText>
      </w:r>
      <w:r w:rsidRPr="00305E0F">
        <w:rPr>
          <w:lang w:val="en-GB"/>
        </w:rPr>
      </w:r>
      <w:r w:rsidRPr="00305E0F">
        <w:rPr>
          <w:lang w:val="en-GB"/>
        </w:rPr>
        <w:fldChar w:fldCharType="separate"/>
      </w:r>
      <w:r w:rsidR="00594C05" w:rsidRPr="00305E0F">
        <w:rPr>
          <w:lang w:val="en-GB"/>
        </w:rPr>
        <w:t>13</w:t>
      </w:r>
      <w:r w:rsidRPr="00305E0F">
        <w:rPr>
          <w:lang w:val="en-GB"/>
        </w:rPr>
        <w:fldChar w:fldCharType="end"/>
      </w:r>
      <w:r w:rsidR="00ED6F28" w:rsidRPr="00305E0F">
        <w:rPr>
          <w:lang w:val="en-GB"/>
        </w:rPr>
        <w:t xml:space="preserve"> </w:t>
      </w:r>
      <w:r w:rsidRPr="00305E0F">
        <w:rPr>
          <w:lang w:val="en-GB"/>
        </w:rPr>
        <w:t xml:space="preserve">with respect to the additional exposures covered. </w:t>
      </w:r>
      <w:r w:rsidR="00ED6F28" w:rsidRPr="00305E0F">
        <w:rPr>
          <w:lang w:val="en-GB"/>
        </w:rPr>
        <w:t>If</w:t>
      </w:r>
      <w:r w:rsidRPr="00305E0F">
        <w:rPr>
          <w:lang w:val="en-GB"/>
        </w:rPr>
        <w:t xml:space="preserve"> the use of rating systems is extended to exposures that differ significantly from the original scope, so that the experience gained cannot be considered sufficient to comply with these provisions in relation to additional exposures, the requirements in </w:t>
      </w:r>
      <w:r w:rsidR="00ED6F28" w:rsidRPr="00305E0F">
        <w:rPr>
          <w:lang w:val="en-GB"/>
        </w:rPr>
        <w:t>paragraphs</w:t>
      </w:r>
      <w:r w:rsidRPr="00305E0F">
        <w:rPr>
          <w:lang w:val="en-GB"/>
        </w:rPr>
        <w:t xml:space="preserve"> </w:t>
      </w:r>
      <w:r w:rsidRPr="00305E0F">
        <w:rPr>
          <w:lang w:val="en-GB"/>
        </w:rPr>
        <w:fldChar w:fldCharType="begin"/>
      </w:r>
      <w:r w:rsidRPr="00305E0F">
        <w:rPr>
          <w:lang w:val="en-GB"/>
        </w:rPr>
        <w:instrText xml:space="preserve"> REF _Ref214966232 \r \h </w:instrText>
      </w:r>
      <w:r w:rsidRPr="00305E0F">
        <w:rPr>
          <w:lang w:val="en-GB"/>
        </w:rPr>
      </w:r>
      <w:r w:rsidRPr="00305E0F">
        <w:rPr>
          <w:lang w:val="en-GB"/>
        </w:rPr>
        <w:fldChar w:fldCharType="separate"/>
      </w:r>
      <w:r w:rsidR="00594C05" w:rsidRPr="00305E0F">
        <w:rPr>
          <w:lang w:val="en-GB"/>
        </w:rPr>
        <w:t>12</w:t>
      </w:r>
      <w:r w:rsidRPr="00305E0F">
        <w:rPr>
          <w:lang w:val="en-GB"/>
        </w:rPr>
        <w:fldChar w:fldCharType="end"/>
      </w:r>
      <w:r w:rsidRPr="00305E0F">
        <w:rPr>
          <w:lang w:val="en-GB"/>
        </w:rPr>
        <w:t xml:space="preserve"> and </w:t>
      </w:r>
      <w:r w:rsidRPr="00305E0F">
        <w:rPr>
          <w:lang w:val="en-GB"/>
        </w:rPr>
        <w:fldChar w:fldCharType="begin"/>
      </w:r>
      <w:r w:rsidRPr="00305E0F">
        <w:rPr>
          <w:lang w:val="en-GB"/>
        </w:rPr>
        <w:instrText xml:space="preserve"> REF _Ref214966241 \r \h </w:instrText>
      </w:r>
      <w:r w:rsidRPr="00305E0F">
        <w:rPr>
          <w:lang w:val="en-GB"/>
        </w:rPr>
      </w:r>
      <w:r w:rsidRPr="00305E0F">
        <w:rPr>
          <w:lang w:val="en-GB"/>
        </w:rPr>
        <w:fldChar w:fldCharType="separate"/>
      </w:r>
      <w:r w:rsidR="00594C05" w:rsidRPr="00305E0F">
        <w:rPr>
          <w:lang w:val="en-GB"/>
        </w:rPr>
        <w:t>13</w:t>
      </w:r>
      <w:r w:rsidRPr="00305E0F">
        <w:rPr>
          <w:lang w:val="en-GB"/>
        </w:rPr>
        <w:fldChar w:fldCharType="end"/>
      </w:r>
      <w:r w:rsidRPr="00305E0F">
        <w:rPr>
          <w:lang w:val="en-GB"/>
        </w:rPr>
        <w:t xml:space="preserve"> shall be applied separately for additional exposures.</w:t>
      </w:r>
      <w:bookmarkEnd w:id="12"/>
    </w:p>
    <w:p w14:paraId="46C65CB8" w14:textId="735750D6" w:rsidR="00EB0050" w:rsidRPr="00305E0F" w:rsidRDefault="00B02122">
      <w:pPr>
        <w:pStyle w:val="P68B1DB1-ListParagraph12"/>
        <w:numPr>
          <w:ilvl w:val="0"/>
          <w:numId w:val="2"/>
        </w:numPr>
        <w:spacing w:before="120" w:after="120" w:line="240" w:lineRule="auto"/>
        <w:ind w:firstLine="567"/>
        <w:jc w:val="both"/>
        <w:rPr>
          <w:lang w:val="en-GB"/>
        </w:rPr>
      </w:pPr>
      <w:bookmarkStart w:id="13" w:name="_Ref214967804"/>
      <w:r w:rsidRPr="00305E0F">
        <w:rPr>
          <w:lang w:val="en-GB"/>
        </w:rPr>
        <w:t>For the purposes of p</w:t>
      </w:r>
      <w:r w:rsidR="00ED6F28" w:rsidRPr="00305E0F">
        <w:rPr>
          <w:lang w:val="en-GB"/>
        </w:rPr>
        <w:t xml:space="preserve">aragraph </w:t>
      </w:r>
      <w:r w:rsidRPr="00305E0F">
        <w:rPr>
          <w:lang w:val="en-GB"/>
        </w:rPr>
        <w:fldChar w:fldCharType="begin"/>
      </w:r>
      <w:r w:rsidRPr="00305E0F">
        <w:rPr>
          <w:lang w:val="en-GB"/>
        </w:rPr>
        <w:instrText xml:space="preserve"> REF _Ref214966232 \r \h </w:instrText>
      </w:r>
      <w:r w:rsidRPr="00305E0F">
        <w:rPr>
          <w:lang w:val="en-GB"/>
        </w:rPr>
      </w:r>
      <w:r w:rsidRPr="00305E0F">
        <w:rPr>
          <w:lang w:val="en-GB"/>
        </w:rPr>
        <w:fldChar w:fldCharType="separate"/>
      </w:r>
      <w:r w:rsidR="00594C05" w:rsidRPr="00305E0F">
        <w:rPr>
          <w:lang w:val="en-GB"/>
        </w:rPr>
        <w:t>12</w:t>
      </w:r>
      <w:r w:rsidRPr="00305E0F">
        <w:rPr>
          <w:lang w:val="en-GB"/>
        </w:rPr>
        <w:fldChar w:fldCharType="end"/>
      </w:r>
      <w:r w:rsidRPr="00305E0F">
        <w:rPr>
          <w:lang w:val="en-GB"/>
        </w:rPr>
        <w:t xml:space="preserve">, rating systems that are broadly in line with the requirements set out in Chapter VI shall be deemed to have been applied by the bank at least three years </w:t>
      </w:r>
      <w:r w:rsidR="00FC514C" w:rsidRPr="00305E0F">
        <w:rPr>
          <w:lang w:val="en-GB"/>
        </w:rPr>
        <w:t>prior</w:t>
      </w:r>
      <w:r w:rsidRPr="00305E0F">
        <w:rPr>
          <w:lang w:val="en-GB"/>
        </w:rPr>
        <w:t xml:space="preserve"> the use of the IRB Approach for the purposes of calculating own funds requirements, where:</w:t>
      </w:r>
      <w:bookmarkEnd w:id="13"/>
    </w:p>
    <w:p w14:paraId="42DFD3BD" w14:textId="36AFEF5F" w:rsidR="00EB0050" w:rsidRPr="00305E0F" w:rsidRDefault="00B02122">
      <w:pPr>
        <w:pStyle w:val="P68B1DB1-ListParagraph12"/>
        <w:numPr>
          <w:ilvl w:val="1"/>
          <w:numId w:val="2"/>
        </w:numPr>
        <w:spacing w:before="120" w:after="120" w:line="240" w:lineRule="auto"/>
        <w:jc w:val="both"/>
        <w:rPr>
          <w:lang w:val="en-GB"/>
        </w:rPr>
      </w:pPr>
      <w:r w:rsidRPr="00305E0F">
        <w:rPr>
          <w:lang w:val="en-GB"/>
        </w:rPr>
        <w:t>these rating systems have been used in the bank’s risk management and decision-making processes as well as credit approval processes;</w:t>
      </w:r>
    </w:p>
    <w:p w14:paraId="1FCACBC9" w14:textId="716E413F" w:rsidR="00EB0050" w:rsidRPr="00305E0F" w:rsidRDefault="00B02122">
      <w:pPr>
        <w:pStyle w:val="P68B1DB1-ListParagraph12"/>
        <w:numPr>
          <w:ilvl w:val="1"/>
          <w:numId w:val="2"/>
        </w:numPr>
        <w:spacing w:before="120" w:after="120" w:line="240" w:lineRule="auto"/>
        <w:jc w:val="both"/>
        <w:rPr>
          <w:lang w:val="en-GB"/>
        </w:rPr>
      </w:pPr>
      <w:r w:rsidRPr="00305E0F">
        <w:rPr>
          <w:lang w:val="en-GB"/>
        </w:rPr>
        <w:t>there is adequate documentation on the effective functioning of the rating systems over the three years, in particular as regards the respective monitoring, validation and audit reports.</w:t>
      </w:r>
    </w:p>
    <w:p w14:paraId="41F8947E" w14:textId="2A8D78FD" w:rsidR="00EB0050" w:rsidRPr="00305E0F" w:rsidRDefault="00B02122">
      <w:pPr>
        <w:pStyle w:val="P68B1DB1-ListParagraph12"/>
        <w:numPr>
          <w:ilvl w:val="0"/>
          <w:numId w:val="2"/>
        </w:numPr>
        <w:spacing w:line="240" w:lineRule="auto"/>
        <w:ind w:firstLine="567"/>
        <w:jc w:val="both"/>
        <w:rPr>
          <w:kern w:val="2"/>
          <w:lang w:val="en-GB"/>
          <w14:ligatures w14:val="standardContextual"/>
        </w:rPr>
      </w:pPr>
      <w:r w:rsidRPr="00305E0F">
        <w:rPr>
          <w:kern w:val="2"/>
          <w:lang w:val="en-GB"/>
          <w14:ligatures w14:val="standardContextual"/>
        </w:rPr>
        <w:t xml:space="preserve">For the purposes of assessing an application for approval of the extension of the IRB Approach in accordance with the sequential implementation plan, paragraph </w:t>
      </w:r>
      <w:r w:rsidRPr="00305E0F">
        <w:rPr>
          <w:kern w:val="2"/>
          <w:lang w:val="en-GB"/>
          <w14:ligatures w14:val="standardContextual"/>
        </w:rPr>
        <w:fldChar w:fldCharType="begin"/>
      </w:r>
      <w:r w:rsidRPr="00305E0F">
        <w:rPr>
          <w:kern w:val="2"/>
          <w:lang w:val="en-GB"/>
          <w14:ligatures w14:val="standardContextual"/>
        </w:rPr>
        <w:instrText xml:space="preserve"> REF _Ref214967804 \r \h </w:instrText>
      </w:r>
      <w:r w:rsidRPr="00305E0F">
        <w:rPr>
          <w:kern w:val="2"/>
          <w:lang w:val="en-GB"/>
          <w14:ligatures w14:val="standardContextual"/>
        </w:rPr>
      </w:r>
      <w:r w:rsidRPr="00305E0F">
        <w:rPr>
          <w:kern w:val="2"/>
          <w:lang w:val="en-GB"/>
          <w14:ligatures w14:val="standardContextual"/>
        </w:rPr>
        <w:fldChar w:fldCharType="separate"/>
      </w:r>
      <w:r w:rsidR="00594C05" w:rsidRPr="00305E0F">
        <w:rPr>
          <w:kern w:val="2"/>
          <w:lang w:val="en-GB"/>
          <w14:ligatures w14:val="standardContextual"/>
        </w:rPr>
        <w:t>15</w:t>
      </w:r>
      <w:r w:rsidRPr="00305E0F">
        <w:rPr>
          <w:kern w:val="2"/>
          <w:lang w:val="en-GB"/>
          <w14:ligatures w14:val="standardContextual"/>
        </w:rPr>
        <w:fldChar w:fldCharType="end"/>
      </w:r>
      <w:r w:rsidRPr="00305E0F">
        <w:rPr>
          <w:kern w:val="2"/>
          <w:lang w:val="en-GB"/>
          <w14:ligatures w14:val="standardContextual"/>
        </w:rPr>
        <w:t xml:space="preserve"> </w:t>
      </w:r>
      <w:r w:rsidR="00FC514C" w:rsidRPr="00305E0F">
        <w:rPr>
          <w:kern w:val="2"/>
          <w:lang w:val="en-GB"/>
          <w14:ligatures w14:val="standardContextual"/>
        </w:rPr>
        <w:t xml:space="preserve">shall also </w:t>
      </w:r>
      <w:r w:rsidRPr="00305E0F">
        <w:rPr>
          <w:kern w:val="2"/>
          <w:lang w:val="en-GB"/>
          <w14:ligatures w14:val="standardContextual"/>
        </w:rPr>
        <w:t xml:space="preserve">apply where the extension concerns exposures that differ significantly from the scope of the existing coverage, so that it cannot be reasonably assumed that the existing experience is sufficient to meet the requirements of </w:t>
      </w:r>
      <w:r w:rsidRPr="00305E0F">
        <w:rPr>
          <w:lang w:val="en-GB"/>
        </w:rPr>
        <w:t xml:space="preserve">the paragraphs </w:t>
      </w:r>
      <w:r w:rsidRPr="00305E0F">
        <w:rPr>
          <w:lang w:val="en-GB"/>
        </w:rPr>
        <w:fldChar w:fldCharType="begin"/>
      </w:r>
      <w:r w:rsidRPr="00305E0F">
        <w:rPr>
          <w:lang w:val="en-GB"/>
        </w:rPr>
        <w:instrText xml:space="preserve"> REF _Ref214966232 \r \h  \* MERGEFORMAT </w:instrText>
      </w:r>
      <w:r w:rsidRPr="00305E0F">
        <w:rPr>
          <w:lang w:val="en-GB"/>
        </w:rPr>
      </w:r>
      <w:r w:rsidRPr="00305E0F">
        <w:rPr>
          <w:lang w:val="en-GB"/>
        </w:rPr>
        <w:fldChar w:fldCharType="separate"/>
      </w:r>
      <w:r w:rsidR="00594C05" w:rsidRPr="00305E0F">
        <w:rPr>
          <w:lang w:val="en-GB"/>
        </w:rPr>
        <w:t>12</w:t>
      </w:r>
      <w:r w:rsidRPr="00305E0F">
        <w:rPr>
          <w:lang w:val="en-GB"/>
        </w:rPr>
        <w:fldChar w:fldCharType="end"/>
      </w:r>
      <w:r w:rsidRPr="00305E0F">
        <w:rPr>
          <w:lang w:val="en-GB"/>
        </w:rPr>
        <w:t xml:space="preserve"> </w:t>
      </w:r>
      <w:r w:rsidR="00FC514C" w:rsidRPr="00305E0F">
        <w:rPr>
          <w:lang w:val="en-GB"/>
        </w:rPr>
        <w:t>and</w:t>
      </w:r>
      <w:r w:rsidRPr="00305E0F">
        <w:rPr>
          <w:lang w:val="en-GB"/>
        </w:rPr>
        <w:t xml:space="preserve"> </w:t>
      </w:r>
      <w:r w:rsidRPr="00305E0F">
        <w:rPr>
          <w:lang w:val="en-GB"/>
        </w:rPr>
        <w:fldChar w:fldCharType="begin"/>
      </w:r>
      <w:r w:rsidRPr="00305E0F">
        <w:rPr>
          <w:lang w:val="en-GB"/>
        </w:rPr>
        <w:instrText xml:space="preserve"> REF _Ref214966241 \r \h  \* MERGEFORMAT </w:instrText>
      </w:r>
      <w:r w:rsidRPr="00305E0F">
        <w:rPr>
          <w:lang w:val="en-GB"/>
        </w:rPr>
      </w:r>
      <w:r w:rsidRPr="00305E0F">
        <w:rPr>
          <w:lang w:val="en-GB"/>
        </w:rPr>
        <w:fldChar w:fldCharType="separate"/>
      </w:r>
      <w:r w:rsidR="00594C05" w:rsidRPr="00305E0F">
        <w:rPr>
          <w:lang w:val="en-GB"/>
        </w:rPr>
        <w:t>13</w:t>
      </w:r>
      <w:r w:rsidRPr="00305E0F">
        <w:rPr>
          <w:lang w:val="en-GB"/>
        </w:rPr>
        <w:fldChar w:fldCharType="end"/>
      </w:r>
      <w:r w:rsidRPr="00305E0F">
        <w:rPr>
          <w:lang w:val="en-GB"/>
        </w:rPr>
        <w:t xml:space="preserve"> </w:t>
      </w:r>
      <w:r w:rsidRPr="00305E0F">
        <w:rPr>
          <w:kern w:val="2"/>
          <w:lang w:val="en-GB"/>
          <w14:ligatures w14:val="standardContextual"/>
        </w:rPr>
        <w:t>in respect of additional exposures as set out in paragraph</w:t>
      </w:r>
      <w:r w:rsidR="00FC514C" w:rsidRPr="00305E0F">
        <w:rPr>
          <w:kern w:val="2"/>
          <w:lang w:val="en-GB"/>
          <w14:ligatures w14:val="standardContextual"/>
        </w:rPr>
        <w:t xml:space="preserve"> </w:t>
      </w:r>
      <w:r w:rsidRPr="00305E0F">
        <w:rPr>
          <w:kern w:val="2"/>
          <w:lang w:val="en-GB"/>
          <w14:ligatures w14:val="standardContextual"/>
        </w:rPr>
        <w:fldChar w:fldCharType="begin"/>
      </w:r>
      <w:r w:rsidRPr="00305E0F">
        <w:rPr>
          <w:kern w:val="2"/>
          <w:lang w:val="en-GB"/>
          <w14:ligatures w14:val="standardContextual"/>
        </w:rPr>
        <w:instrText xml:space="preserve"> REF _Ref214966451 \r \h </w:instrText>
      </w:r>
      <w:r w:rsidRPr="00305E0F">
        <w:rPr>
          <w:lang w:val="en-GB"/>
        </w:rPr>
        <w:instrText xml:space="preserve"> \* MERGEFORMAT </w:instrText>
      </w:r>
      <w:r w:rsidRPr="00305E0F">
        <w:rPr>
          <w:kern w:val="2"/>
          <w:lang w:val="en-GB"/>
          <w14:ligatures w14:val="standardContextual"/>
        </w:rPr>
      </w:r>
      <w:r w:rsidRPr="00305E0F">
        <w:rPr>
          <w:kern w:val="2"/>
          <w:lang w:val="en-GB"/>
          <w14:ligatures w14:val="standardContextual"/>
        </w:rPr>
        <w:fldChar w:fldCharType="separate"/>
      </w:r>
      <w:r w:rsidR="00594C05" w:rsidRPr="00305E0F">
        <w:rPr>
          <w:kern w:val="2"/>
          <w:lang w:val="en-GB"/>
          <w14:ligatures w14:val="standardContextual"/>
        </w:rPr>
        <w:t>14</w:t>
      </w:r>
      <w:r w:rsidRPr="00305E0F">
        <w:rPr>
          <w:kern w:val="2"/>
          <w:lang w:val="en-GB"/>
          <w14:ligatures w14:val="standardContextual"/>
        </w:rPr>
        <w:fldChar w:fldCharType="end"/>
      </w:r>
      <w:r w:rsidRPr="00305E0F">
        <w:rPr>
          <w:kern w:val="2"/>
          <w:lang w:val="en-GB"/>
          <w14:ligatures w14:val="standardContextual"/>
        </w:rPr>
        <w:t>.</w:t>
      </w:r>
      <w:r w:rsidR="00FC514C" w:rsidRPr="00305E0F">
        <w:rPr>
          <w:kern w:val="2"/>
          <w:lang w:val="en-GB"/>
          <w14:ligatures w14:val="standardContextual"/>
        </w:rPr>
        <w:t xml:space="preserve"> </w:t>
      </w:r>
    </w:p>
    <w:p w14:paraId="0FF43456" w14:textId="146D9369" w:rsidR="00EB0050" w:rsidRPr="00305E0F" w:rsidRDefault="00B02122">
      <w:pPr>
        <w:pStyle w:val="P68B1DB1-ListParagraph12"/>
        <w:numPr>
          <w:ilvl w:val="0"/>
          <w:numId w:val="2"/>
        </w:numPr>
        <w:spacing w:after="120" w:line="240" w:lineRule="auto"/>
        <w:ind w:firstLine="567"/>
        <w:contextualSpacing w:val="0"/>
        <w:jc w:val="both"/>
        <w:rPr>
          <w:lang w:val="en-GB"/>
        </w:rPr>
      </w:pPr>
      <w:r w:rsidRPr="00305E0F">
        <w:rPr>
          <w:lang w:val="en-GB"/>
        </w:rPr>
        <w:t>If a bank no longer meets the requirements laid down in this Regulation, it shall notify the National Bank of Moldova without delay, in writing, of the measures taken in accordance with the provisions of Article 66</w:t>
      </w:r>
      <w:r w:rsidR="00FC514C" w:rsidRPr="00305E0F">
        <w:rPr>
          <w:lang w:val="en-GB"/>
        </w:rPr>
        <w:t xml:space="preserve"> paragraph </w:t>
      </w:r>
      <w:r w:rsidRPr="00305E0F">
        <w:rPr>
          <w:lang w:val="en-GB"/>
        </w:rPr>
        <w:t xml:space="preserve">(3) of Law </w:t>
      </w:r>
      <w:r w:rsidR="00594C05" w:rsidRPr="00305E0F">
        <w:rPr>
          <w:lang w:val="en-GB"/>
        </w:rPr>
        <w:t xml:space="preserve">No </w:t>
      </w:r>
      <w:r w:rsidRPr="00305E0F">
        <w:rPr>
          <w:lang w:val="en-GB"/>
        </w:rPr>
        <w:t>202/2017.</w:t>
      </w:r>
    </w:p>
    <w:p w14:paraId="69C04B77" w14:textId="11D2D751"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color w:val="auto"/>
          <w:lang w:val="en-GB"/>
        </w:rPr>
      </w:pPr>
      <w:bookmarkStart w:id="14" w:name="_Hlk214983950"/>
      <w:r w:rsidRPr="00305E0F">
        <w:rPr>
          <w:color w:val="auto"/>
          <w:lang w:val="en-GB"/>
        </w:rPr>
        <w:t>Section 4</w:t>
      </w:r>
    </w:p>
    <w:p w14:paraId="4CB22849" w14:textId="3AC73B3C" w:rsidR="00EB0050" w:rsidRPr="00305E0F" w:rsidRDefault="00B02122">
      <w:pPr>
        <w:pStyle w:val="P68B1DB1-ListParagraph15"/>
        <w:spacing w:after="120" w:line="240" w:lineRule="auto"/>
        <w:ind w:left="0"/>
        <w:contextualSpacing w:val="0"/>
        <w:jc w:val="center"/>
        <w:rPr>
          <w:color w:val="auto"/>
          <w:lang w:val="en-GB"/>
        </w:rPr>
      </w:pPr>
      <w:r w:rsidRPr="00305E0F">
        <w:rPr>
          <w:color w:val="auto"/>
          <w:lang w:val="en-GB"/>
        </w:rPr>
        <w:t xml:space="preserve">Methodology </w:t>
      </w:r>
      <w:r w:rsidR="00FC514C" w:rsidRPr="00305E0F">
        <w:rPr>
          <w:color w:val="auto"/>
          <w:lang w:val="en-GB"/>
        </w:rPr>
        <w:t>to</w:t>
      </w:r>
      <w:r w:rsidRPr="00305E0F">
        <w:rPr>
          <w:color w:val="auto"/>
          <w:lang w:val="en-GB"/>
        </w:rPr>
        <w:t xml:space="preserve"> assign exposures to exposure classes</w:t>
      </w:r>
    </w:p>
    <w:p w14:paraId="4C191042" w14:textId="148CFA94" w:rsidR="00EB0050" w:rsidRPr="00305E0F" w:rsidRDefault="00B02122">
      <w:pPr>
        <w:pStyle w:val="P68B1DB1-ListParagraph12"/>
        <w:numPr>
          <w:ilvl w:val="0"/>
          <w:numId w:val="2"/>
        </w:numPr>
        <w:spacing w:before="160" w:after="120" w:line="240" w:lineRule="auto"/>
        <w:ind w:firstLine="567"/>
        <w:jc w:val="both"/>
        <w:rPr>
          <w:lang w:val="en-GB"/>
        </w:rPr>
      </w:pPr>
      <w:r w:rsidRPr="00305E0F">
        <w:rPr>
          <w:lang w:val="en-GB"/>
        </w:rPr>
        <w:t>The methodology used by the bank for assigning exposures to different exposure classes shall be appropriate and consistent over time.</w:t>
      </w:r>
    </w:p>
    <w:p w14:paraId="78917F80" w14:textId="77777777" w:rsidR="00EB0050" w:rsidRPr="00305E0F" w:rsidRDefault="00B02122">
      <w:pPr>
        <w:pStyle w:val="P68B1DB1-ListParagraph12"/>
        <w:numPr>
          <w:ilvl w:val="0"/>
          <w:numId w:val="2"/>
        </w:numPr>
        <w:spacing w:before="120" w:after="120" w:line="240" w:lineRule="auto"/>
        <w:ind w:firstLine="567"/>
        <w:jc w:val="both"/>
        <w:rPr>
          <w:lang w:val="en-GB"/>
        </w:rPr>
      </w:pPr>
      <w:bookmarkStart w:id="15" w:name="_Ref214974472"/>
      <w:r w:rsidRPr="00305E0F">
        <w:rPr>
          <w:lang w:val="en-GB"/>
        </w:rPr>
        <w:t>Each exposure shall be assigned to one of the following exposure classes:</w:t>
      </w:r>
      <w:bookmarkEnd w:id="15"/>
    </w:p>
    <w:p w14:paraId="00D5554E" w14:textId="0BF0161C" w:rsidR="00EB0050" w:rsidRPr="00305E0F" w:rsidRDefault="00B02122">
      <w:pPr>
        <w:pStyle w:val="P68B1DB1-ListParagraph12"/>
        <w:numPr>
          <w:ilvl w:val="1"/>
          <w:numId w:val="2"/>
        </w:numPr>
        <w:spacing w:before="120" w:after="120" w:line="240" w:lineRule="auto"/>
        <w:jc w:val="both"/>
        <w:rPr>
          <w:lang w:val="en-GB"/>
        </w:rPr>
      </w:pPr>
      <w:bookmarkStart w:id="16" w:name="_Ref214973612"/>
      <w:r w:rsidRPr="00305E0F">
        <w:rPr>
          <w:lang w:val="en-GB"/>
        </w:rPr>
        <w:t>Exposures to central governments and central banks;</w:t>
      </w:r>
      <w:bookmarkEnd w:id="16"/>
    </w:p>
    <w:p w14:paraId="133631EF" w14:textId="03848FF9" w:rsidR="00EB0050" w:rsidRPr="00305E0F" w:rsidRDefault="00B02122">
      <w:pPr>
        <w:pStyle w:val="P68B1DB1-ListParagraph12"/>
        <w:numPr>
          <w:ilvl w:val="1"/>
          <w:numId w:val="2"/>
        </w:numPr>
        <w:spacing w:before="120" w:after="120" w:line="240" w:lineRule="auto"/>
        <w:jc w:val="both"/>
        <w:rPr>
          <w:lang w:val="en-GB"/>
        </w:rPr>
      </w:pPr>
      <w:bookmarkStart w:id="17" w:name="_Ref214974754"/>
      <w:r w:rsidRPr="00305E0F">
        <w:rPr>
          <w:lang w:val="en-GB"/>
        </w:rPr>
        <w:t>Exposures to regional governments, local authorities and public sector entities</w:t>
      </w:r>
      <w:r w:rsidR="00FC514C" w:rsidRPr="00305E0F">
        <w:rPr>
          <w:lang w:val="en-GB"/>
        </w:rPr>
        <w:t>,</w:t>
      </w:r>
      <w:r w:rsidRPr="00305E0F">
        <w:rPr>
          <w:lang w:val="en-GB"/>
        </w:rPr>
        <w:t xml:space="preserve"> </w:t>
      </w:r>
      <w:r w:rsidR="00FC514C" w:rsidRPr="00305E0F">
        <w:rPr>
          <w:lang w:val="en-GB"/>
        </w:rPr>
        <w:t>to be assigned to the following exposure classes</w:t>
      </w:r>
      <w:r w:rsidRPr="00305E0F">
        <w:rPr>
          <w:lang w:val="en-GB"/>
        </w:rPr>
        <w:t>:</w:t>
      </w:r>
      <w:bookmarkEnd w:id="17"/>
    </w:p>
    <w:p w14:paraId="212651D4" w14:textId="7F75C166" w:rsidR="00EB0050" w:rsidRPr="00305E0F" w:rsidRDefault="00B02122">
      <w:pPr>
        <w:pStyle w:val="P68B1DB1-ListParagraph12"/>
        <w:numPr>
          <w:ilvl w:val="2"/>
          <w:numId w:val="2"/>
        </w:numPr>
        <w:spacing w:before="120" w:after="120" w:line="240" w:lineRule="auto"/>
        <w:ind w:left="0"/>
        <w:jc w:val="both"/>
        <w:rPr>
          <w:lang w:val="en-GB"/>
        </w:rPr>
      </w:pPr>
      <w:r w:rsidRPr="00305E0F">
        <w:rPr>
          <w:lang w:val="en-GB"/>
        </w:rPr>
        <w:t>Exposures to regional governments and local authorities;</w:t>
      </w:r>
    </w:p>
    <w:p w14:paraId="561DF33D" w14:textId="07DB2BFB" w:rsidR="00EB0050" w:rsidRPr="00305E0F" w:rsidRDefault="00B02122">
      <w:pPr>
        <w:pStyle w:val="P68B1DB1-ListParagraph12"/>
        <w:numPr>
          <w:ilvl w:val="2"/>
          <w:numId w:val="2"/>
        </w:numPr>
        <w:spacing w:before="120" w:after="120" w:line="240" w:lineRule="auto"/>
        <w:ind w:left="0"/>
        <w:jc w:val="both"/>
        <w:rPr>
          <w:lang w:val="en-GB"/>
        </w:rPr>
      </w:pPr>
      <w:r w:rsidRPr="00305E0F">
        <w:rPr>
          <w:lang w:val="en-GB"/>
        </w:rPr>
        <w:t>Exposures to public sector entities;</w:t>
      </w:r>
    </w:p>
    <w:p w14:paraId="56095CB7" w14:textId="00E211F0" w:rsidR="00EB0050" w:rsidRPr="00305E0F" w:rsidRDefault="00B02122">
      <w:pPr>
        <w:pStyle w:val="P68B1DB1-ListParagraph17"/>
        <w:numPr>
          <w:ilvl w:val="1"/>
          <w:numId w:val="2"/>
        </w:numPr>
        <w:spacing w:before="120" w:after="120" w:line="240" w:lineRule="auto"/>
        <w:jc w:val="both"/>
        <w:rPr>
          <w:sz w:val="24"/>
          <w:szCs w:val="24"/>
          <w:lang w:val="en-GB"/>
        </w:rPr>
      </w:pPr>
      <w:bookmarkStart w:id="18" w:name="_Ref215071482"/>
      <w:r w:rsidRPr="00305E0F">
        <w:rPr>
          <w:sz w:val="24"/>
          <w:szCs w:val="24"/>
          <w:lang w:val="en-GB"/>
        </w:rPr>
        <w:t>Exposures to banks;</w:t>
      </w:r>
      <w:r w:rsidRPr="00305E0F">
        <w:rPr>
          <w:sz w:val="18"/>
          <w:szCs w:val="18"/>
          <w:highlight w:val="lightGray"/>
          <w:lang w:val="en-GB"/>
        </w:rPr>
        <w:t xml:space="preserve"> </w:t>
      </w:r>
      <w:bookmarkEnd w:id="18"/>
    </w:p>
    <w:p w14:paraId="4036A9B4" w14:textId="151A3A48" w:rsidR="00EB0050" w:rsidRPr="00305E0F" w:rsidRDefault="00B02122">
      <w:pPr>
        <w:pStyle w:val="P68B1DB1-ListParagraph12"/>
        <w:numPr>
          <w:ilvl w:val="1"/>
          <w:numId w:val="2"/>
        </w:numPr>
        <w:spacing w:before="120" w:after="120" w:line="240" w:lineRule="auto"/>
        <w:jc w:val="both"/>
        <w:rPr>
          <w:lang w:val="en-GB"/>
        </w:rPr>
      </w:pPr>
      <w:bookmarkStart w:id="19" w:name="_Ref214978989"/>
      <w:r w:rsidRPr="00305E0F">
        <w:rPr>
          <w:lang w:val="en-GB"/>
        </w:rPr>
        <w:t xml:space="preserve">Exposures to corporates, </w:t>
      </w:r>
      <w:r w:rsidR="00FC514C" w:rsidRPr="00305E0F">
        <w:rPr>
          <w:lang w:val="en-GB"/>
        </w:rPr>
        <w:t>to be assigned to the following exposure classes</w:t>
      </w:r>
      <w:r w:rsidRPr="00305E0F">
        <w:rPr>
          <w:lang w:val="en-GB"/>
        </w:rPr>
        <w:t>:</w:t>
      </w:r>
      <w:bookmarkEnd w:id="19"/>
    </w:p>
    <w:p w14:paraId="0C193456" w14:textId="1B1D491C" w:rsidR="00EB0050" w:rsidRPr="00305E0F" w:rsidRDefault="00FC514C">
      <w:pPr>
        <w:pStyle w:val="P68B1DB1-ListParagraph17"/>
        <w:numPr>
          <w:ilvl w:val="2"/>
          <w:numId w:val="2"/>
        </w:numPr>
        <w:spacing w:before="120" w:after="120" w:line="240" w:lineRule="auto"/>
        <w:ind w:left="0"/>
        <w:jc w:val="both"/>
        <w:rPr>
          <w:sz w:val="24"/>
          <w:szCs w:val="24"/>
          <w:lang w:val="en-GB"/>
        </w:rPr>
      </w:pPr>
      <w:bookmarkStart w:id="20" w:name="_Ref214979086"/>
      <w:r w:rsidRPr="00305E0F">
        <w:rPr>
          <w:sz w:val="24"/>
          <w:szCs w:val="24"/>
          <w:lang w:val="en-GB"/>
        </w:rPr>
        <w:t>General corporates;</w:t>
      </w:r>
      <w:r w:rsidRPr="00305E0F">
        <w:rPr>
          <w:sz w:val="18"/>
          <w:szCs w:val="18"/>
          <w:highlight w:val="lightGray"/>
          <w:lang w:val="en-GB"/>
        </w:rPr>
        <w:t xml:space="preserve"> </w:t>
      </w:r>
      <w:bookmarkEnd w:id="20"/>
    </w:p>
    <w:p w14:paraId="3DF987D5" w14:textId="34029C84" w:rsidR="00EB0050" w:rsidRPr="00305E0F" w:rsidRDefault="00B02122">
      <w:pPr>
        <w:pStyle w:val="P68B1DB1-ListParagraph17"/>
        <w:numPr>
          <w:ilvl w:val="2"/>
          <w:numId w:val="2"/>
        </w:numPr>
        <w:spacing w:before="120" w:after="120" w:line="240" w:lineRule="auto"/>
        <w:ind w:left="0"/>
        <w:jc w:val="both"/>
        <w:rPr>
          <w:sz w:val="24"/>
          <w:szCs w:val="24"/>
          <w:lang w:val="en-GB"/>
        </w:rPr>
      </w:pPr>
      <w:r w:rsidRPr="00305E0F">
        <w:rPr>
          <w:sz w:val="24"/>
          <w:szCs w:val="24"/>
          <w:lang w:val="en-GB"/>
        </w:rPr>
        <w:t xml:space="preserve"> Specialised lending </w:t>
      </w:r>
      <w:bookmarkStart w:id="21" w:name="_Ref214979076"/>
      <w:r w:rsidRPr="00305E0F">
        <w:rPr>
          <w:sz w:val="24"/>
          <w:szCs w:val="24"/>
          <w:lang w:val="en-GB"/>
        </w:rPr>
        <w:t>exposures;</w:t>
      </w:r>
      <w:r w:rsidRPr="00305E0F">
        <w:rPr>
          <w:sz w:val="18"/>
          <w:szCs w:val="18"/>
          <w:highlight w:val="lightGray"/>
          <w:lang w:val="en-GB"/>
        </w:rPr>
        <w:t xml:space="preserve"> </w:t>
      </w:r>
      <w:bookmarkEnd w:id="21"/>
    </w:p>
    <w:p w14:paraId="28DCBFE3" w14:textId="589F850C" w:rsidR="00EB0050" w:rsidRPr="00305E0F" w:rsidRDefault="00FC514C">
      <w:pPr>
        <w:pStyle w:val="P68B1DB1-ListParagraph17"/>
        <w:numPr>
          <w:ilvl w:val="2"/>
          <w:numId w:val="2"/>
        </w:numPr>
        <w:spacing w:before="120" w:after="120" w:line="240" w:lineRule="auto"/>
        <w:ind w:left="0"/>
        <w:jc w:val="both"/>
        <w:rPr>
          <w:sz w:val="24"/>
          <w:szCs w:val="24"/>
          <w:lang w:val="en-GB"/>
        </w:rPr>
      </w:pPr>
      <w:bookmarkStart w:id="22" w:name="_Ref214979065"/>
      <w:r w:rsidRPr="00305E0F">
        <w:rPr>
          <w:sz w:val="24"/>
          <w:szCs w:val="24"/>
          <w:lang w:val="en-GB"/>
        </w:rPr>
        <w:t>Corporate purchased receivables;</w:t>
      </w:r>
      <w:r w:rsidRPr="00305E0F">
        <w:rPr>
          <w:sz w:val="18"/>
          <w:szCs w:val="18"/>
          <w:highlight w:val="lightGray"/>
          <w:lang w:val="en-GB"/>
        </w:rPr>
        <w:t xml:space="preserve"> </w:t>
      </w:r>
      <w:bookmarkEnd w:id="22"/>
    </w:p>
    <w:p w14:paraId="37BA2236" w14:textId="56A7502B" w:rsidR="00EB0050" w:rsidRPr="00305E0F" w:rsidRDefault="00B02122">
      <w:pPr>
        <w:pStyle w:val="P68B1DB1-ListParagraph12"/>
        <w:numPr>
          <w:ilvl w:val="1"/>
          <w:numId w:val="2"/>
        </w:numPr>
        <w:spacing w:before="120" w:after="120" w:line="240" w:lineRule="auto"/>
        <w:jc w:val="both"/>
        <w:rPr>
          <w:lang w:val="en-GB"/>
        </w:rPr>
      </w:pPr>
      <w:bookmarkStart w:id="23" w:name="_Ref214975112"/>
      <w:r w:rsidRPr="00305E0F">
        <w:rPr>
          <w:lang w:val="en-GB"/>
        </w:rPr>
        <w:t xml:space="preserve">Retail exposures, </w:t>
      </w:r>
      <w:r w:rsidR="00FC514C" w:rsidRPr="00305E0F">
        <w:rPr>
          <w:lang w:val="en-GB"/>
        </w:rPr>
        <w:t>to be assigned to the following exposure classes</w:t>
      </w:r>
      <w:r w:rsidRPr="00305E0F">
        <w:rPr>
          <w:lang w:val="en-GB"/>
        </w:rPr>
        <w:t>;</w:t>
      </w:r>
      <w:bookmarkEnd w:id="23"/>
    </w:p>
    <w:p w14:paraId="7ABF34AD" w14:textId="79FA2B22" w:rsidR="00EB0050" w:rsidRPr="00305E0F" w:rsidRDefault="00FC514C">
      <w:pPr>
        <w:pStyle w:val="P68B1DB1-ListParagraph17"/>
        <w:numPr>
          <w:ilvl w:val="2"/>
          <w:numId w:val="2"/>
        </w:numPr>
        <w:spacing w:before="120" w:after="120" w:line="240" w:lineRule="auto"/>
        <w:ind w:left="0"/>
        <w:jc w:val="both"/>
        <w:rPr>
          <w:sz w:val="24"/>
          <w:szCs w:val="24"/>
          <w:lang w:val="en-GB"/>
        </w:rPr>
      </w:pPr>
      <w:bookmarkStart w:id="24" w:name="_Ref214980878"/>
      <w:r w:rsidRPr="00305E0F">
        <w:rPr>
          <w:sz w:val="24"/>
          <w:szCs w:val="24"/>
          <w:lang w:val="en-GB"/>
        </w:rPr>
        <w:t>qualifying revolving retail exposures (“QRRE”);</w:t>
      </w:r>
      <w:r w:rsidRPr="00305E0F">
        <w:rPr>
          <w:sz w:val="18"/>
          <w:szCs w:val="18"/>
          <w:highlight w:val="lightGray"/>
          <w:lang w:val="en-GB"/>
        </w:rPr>
        <w:t xml:space="preserve"> </w:t>
      </w:r>
      <w:bookmarkEnd w:id="24"/>
    </w:p>
    <w:p w14:paraId="1454C07E" w14:textId="77524629" w:rsidR="00EB0050" w:rsidRPr="00305E0F" w:rsidRDefault="00FC514C">
      <w:pPr>
        <w:pStyle w:val="P68B1DB1-ListParagraph17"/>
        <w:numPr>
          <w:ilvl w:val="2"/>
          <w:numId w:val="2"/>
        </w:numPr>
        <w:spacing w:before="120" w:after="120" w:line="240" w:lineRule="auto"/>
        <w:ind w:left="0"/>
        <w:jc w:val="both"/>
        <w:rPr>
          <w:sz w:val="24"/>
          <w:szCs w:val="24"/>
          <w:lang w:val="en-GB"/>
        </w:rPr>
      </w:pPr>
      <w:bookmarkStart w:id="25" w:name="_Ref214979998"/>
      <w:r w:rsidRPr="00305E0F">
        <w:rPr>
          <w:sz w:val="24"/>
          <w:szCs w:val="24"/>
          <w:lang w:val="en-GB"/>
        </w:rPr>
        <w:t>retail exposures secured by residential property;</w:t>
      </w:r>
      <w:r w:rsidRPr="00305E0F">
        <w:rPr>
          <w:sz w:val="18"/>
          <w:szCs w:val="18"/>
          <w:highlight w:val="lightGray"/>
          <w:lang w:val="en-GB"/>
        </w:rPr>
        <w:t xml:space="preserve"> </w:t>
      </w:r>
      <w:bookmarkEnd w:id="25"/>
    </w:p>
    <w:p w14:paraId="12696E21" w14:textId="732C7CF1" w:rsidR="00EB0050" w:rsidRPr="00305E0F" w:rsidRDefault="00FC514C">
      <w:pPr>
        <w:pStyle w:val="P68B1DB1-ListParagraph17"/>
        <w:numPr>
          <w:ilvl w:val="2"/>
          <w:numId w:val="2"/>
        </w:numPr>
        <w:spacing w:before="120" w:after="120" w:line="240" w:lineRule="auto"/>
        <w:ind w:left="0"/>
        <w:jc w:val="both"/>
        <w:rPr>
          <w:sz w:val="24"/>
          <w:szCs w:val="24"/>
          <w:lang w:val="en-GB"/>
        </w:rPr>
      </w:pPr>
      <w:r w:rsidRPr="00305E0F">
        <w:rPr>
          <w:sz w:val="24"/>
          <w:szCs w:val="24"/>
          <w:lang w:val="en-GB"/>
        </w:rPr>
        <w:t>retail purchased receivables;</w:t>
      </w:r>
      <w:r w:rsidRPr="00305E0F">
        <w:rPr>
          <w:sz w:val="18"/>
          <w:szCs w:val="18"/>
          <w:highlight w:val="lightGray"/>
          <w:lang w:val="en-GB"/>
        </w:rPr>
        <w:t xml:space="preserve"> </w:t>
      </w:r>
    </w:p>
    <w:p w14:paraId="71B29EFC" w14:textId="0E0DF6C8" w:rsidR="00EB0050" w:rsidRPr="00305E0F" w:rsidRDefault="00B02122">
      <w:pPr>
        <w:pStyle w:val="P68B1DB1-ListParagraph17"/>
        <w:numPr>
          <w:ilvl w:val="2"/>
          <w:numId w:val="2"/>
        </w:numPr>
        <w:spacing w:before="120" w:after="120" w:line="240" w:lineRule="auto"/>
        <w:ind w:left="0"/>
        <w:jc w:val="both"/>
        <w:rPr>
          <w:sz w:val="24"/>
          <w:szCs w:val="24"/>
          <w:lang w:val="en-GB"/>
        </w:rPr>
      </w:pPr>
      <w:r w:rsidRPr="00305E0F">
        <w:rPr>
          <w:sz w:val="24"/>
          <w:szCs w:val="24"/>
          <w:lang w:val="en-GB"/>
        </w:rPr>
        <w:t>other retail exposures;</w:t>
      </w:r>
      <w:r w:rsidRPr="00305E0F">
        <w:rPr>
          <w:sz w:val="18"/>
          <w:szCs w:val="18"/>
          <w:highlight w:val="lightGray"/>
          <w:lang w:val="en-GB"/>
        </w:rPr>
        <w:t xml:space="preserve"> </w:t>
      </w:r>
      <w:r w:rsidR="00FC514C" w:rsidRPr="00305E0F">
        <w:rPr>
          <w:sz w:val="18"/>
          <w:szCs w:val="18"/>
          <w:lang w:val="en-GB"/>
        </w:rPr>
        <w:t xml:space="preserve"> </w:t>
      </w:r>
    </w:p>
    <w:p w14:paraId="6C8A0FD2" w14:textId="48E37B11" w:rsidR="00EB0050" w:rsidRPr="00305E0F" w:rsidRDefault="00B02122">
      <w:pPr>
        <w:pStyle w:val="P68B1DB1-ListParagraph17"/>
        <w:numPr>
          <w:ilvl w:val="1"/>
          <w:numId w:val="2"/>
        </w:numPr>
        <w:spacing w:before="120" w:after="0" w:line="240" w:lineRule="auto"/>
        <w:jc w:val="both"/>
        <w:rPr>
          <w:sz w:val="24"/>
          <w:szCs w:val="24"/>
          <w:lang w:val="en-GB"/>
        </w:rPr>
      </w:pPr>
      <w:bookmarkStart w:id="26" w:name="_Ref214984449"/>
      <w:r w:rsidRPr="00305E0F">
        <w:rPr>
          <w:sz w:val="24"/>
          <w:szCs w:val="24"/>
          <w:lang w:val="en-GB"/>
        </w:rPr>
        <w:t>Equity exposures;</w:t>
      </w:r>
      <w:r w:rsidRPr="00305E0F">
        <w:rPr>
          <w:sz w:val="18"/>
          <w:szCs w:val="18"/>
          <w:highlight w:val="lightGray"/>
          <w:lang w:val="en-GB"/>
        </w:rPr>
        <w:t xml:space="preserve"> </w:t>
      </w:r>
      <w:bookmarkEnd w:id="26"/>
    </w:p>
    <w:p w14:paraId="078DE93F" w14:textId="33F77263" w:rsidR="00EB0050" w:rsidRPr="00305E0F" w:rsidRDefault="00B02122">
      <w:pPr>
        <w:pStyle w:val="P68B1DB1-ListParagraph17"/>
        <w:numPr>
          <w:ilvl w:val="1"/>
          <w:numId w:val="2"/>
        </w:numPr>
        <w:spacing w:after="0" w:line="240" w:lineRule="auto"/>
        <w:jc w:val="both"/>
        <w:rPr>
          <w:sz w:val="24"/>
          <w:szCs w:val="24"/>
          <w:lang w:val="en-GB"/>
        </w:rPr>
      </w:pPr>
      <w:bookmarkStart w:id="27" w:name="_Ref214984959"/>
      <w:r w:rsidRPr="00305E0F">
        <w:rPr>
          <w:sz w:val="24"/>
          <w:szCs w:val="24"/>
          <w:lang w:val="en-GB"/>
        </w:rPr>
        <w:t>Exposures in the form of units or shares in a collective investment undertaking (CIU);</w:t>
      </w:r>
      <w:r w:rsidRPr="00305E0F">
        <w:rPr>
          <w:sz w:val="18"/>
          <w:szCs w:val="18"/>
          <w:highlight w:val="lightGray"/>
          <w:lang w:val="en-GB"/>
        </w:rPr>
        <w:t xml:space="preserve"> </w:t>
      </w:r>
      <w:bookmarkEnd w:id="27"/>
    </w:p>
    <w:p w14:paraId="6A39D666" w14:textId="16E156E3" w:rsidR="00EB0050" w:rsidRPr="00305E0F" w:rsidRDefault="00B02122">
      <w:pPr>
        <w:pStyle w:val="P68B1DB1-ListParagraph17"/>
        <w:numPr>
          <w:ilvl w:val="1"/>
          <w:numId w:val="2"/>
        </w:numPr>
        <w:spacing w:after="120" w:line="240" w:lineRule="auto"/>
        <w:jc w:val="both"/>
        <w:rPr>
          <w:sz w:val="24"/>
          <w:szCs w:val="24"/>
          <w:lang w:val="en-GB"/>
        </w:rPr>
      </w:pPr>
      <w:bookmarkStart w:id="28" w:name="_Ref214984969"/>
      <w:r w:rsidRPr="00305E0F">
        <w:rPr>
          <w:sz w:val="24"/>
          <w:szCs w:val="24"/>
          <w:lang w:val="en-GB"/>
        </w:rPr>
        <w:t>Items representing securitisation positions;</w:t>
      </w:r>
      <w:r w:rsidRPr="00305E0F">
        <w:rPr>
          <w:sz w:val="18"/>
          <w:szCs w:val="18"/>
          <w:highlight w:val="lightGray"/>
          <w:lang w:val="en-GB"/>
        </w:rPr>
        <w:t xml:space="preserve"> </w:t>
      </w:r>
      <w:bookmarkEnd w:id="28"/>
    </w:p>
    <w:p w14:paraId="47E2EFF4" w14:textId="02E3F5CB" w:rsidR="00EB0050" w:rsidRPr="00305E0F" w:rsidRDefault="00E64DA7">
      <w:pPr>
        <w:pStyle w:val="P68B1DB1-ListParagraph17"/>
        <w:numPr>
          <w:ilvl w:val="1"/>
          <w:numId w:val="2"/>
        </w:numPr>
        <w:spacing w:before="120" w:after="120" w:line="240" w:lineRule="auto"/>
        <w:jc w:val="both"/>
        <w:rPr>
          <w:sz w:val="24"/>
          <w:szCs w:val="24"/>
          <w:lang w:val="en-GB"/>
        </w:rPr>
      </w:pPr>
      <w:bookmarkStart w:id="29" w:name="_Ref214986145"/>
      <w:r w:rsidRPr="00305E0F">
        <w:rPr>
          <w:sz w:val="24"/>
          <w:szCs w:val="24"/>
          <w:lang w:val="en-GB"/>
        </w:rPr>
        <w:t>Other non credit-obligation assets.</w:t>
      </w:r>
      <w:r w:rsidRPr="00305E0F">
        <w:rPr>
          <w:sz w:val="18"/>
          <w:szCs w:val="18"/>
          <w:highlight w:val="lightGray"/>
          <w:lang w:val="en-GB"/>
        </w:rPr>
        <w:t xml:space="preserve"> </w:t>
      </w:r>
      <w:bookmarkEnd w:id="29"/>
    </w:p>
    <w:p w14:paraId="681C48DE" w14:textId="5208219C" w:rsidR="00EB0050" w:rsidRPr="00305E0F" w:rsidRDefault="00B02122">
      <w:pPr>
        <w:pStyle w:val="P68B1DB1-ListParagraph12"/>
        <w:numPr>
          <w:ilvl w:val="0"/>
          <w:numId w:val="2"/>
        </w:numPr>
        <w:spacing w:line="240" w:lineRule="auto"/>
        <w:ind w:firstLine="567"/>
        <w:jc w:val="both"/>
        <w:rPr>
          <w:lang w:val="en-GB"/>
        </w:rPr>
      </w:pPr>
      <w:r w:rsidRPr="00305E0F">
        <w:rPr>
          <w:lang w:val="en-GB"/>
        </w:rPr>
        <w:lastRenderedPageBreak/>
        <w:t>The following exposures shall be assigned to the exposure class for central governments and central banks set out in p</w:t>
      </w:r>
      <w:r w:rsidR="00E64DA7" w:rsidRPr="00305E0F">
        <w:rPr>
          <w:lang w:val="en-GB"/>
        </w:rPr>
        <w:t xml:space="preserve">aragraph </w:t>
      </w:r>
      <w:r w:rsidRPr="00305E0F">
        <w:rPr>
          <w:lang w:val="en-GB"/>
        </w:rPr>
        <w:fldChar w:fldCharType="begin"/>
      </w:r>
      <w:r w:rsidRPr="00305E0F">
        <w:rPr>
          <w:lang w:val="en-GB"/>
        </w:rPr>
        <w:instrText xml:space="preserve"> REF _Ref214973612 \r \h </w:instrText>
      </w:r>
      <w:r w:rsidRPr="00305E0F">
        <w:rPr>
          <w:lang w:val="en-GB"/>
        </w:rPr>
      </w:r>
      <w:r w:rsidRPr="00305E0F">
        <w:rPr>
          <w:lang w:val="en-GB"/>
        </w:rPr>
        <w:fldChar w:fldCharType="separate"/>
      </w:r>
      <w:r w:rsidR="00594C05" w:rsidRPr="00305E0F">
        <w:rPr>
          <w:lang w:val="en-GB"/>
        </w:rPr>
        <w:t>19.1</w:t>
      </w:r>
      <w:r w:rsidRPr="00305E0F">
        <w:rPr>
          <w:lang w:val="en-GB"/>
        </w:rPr>
        <w:fldChar w:fldCharType="end"/>
      </w:r>
      <w:r w:rsidRPr="00305E0F">
        <w:rPr>
          <w:lang w:val="en-GB"/>
        </w:rPr>
        <w:t>:</w:t>
      </w:r>
    </w:p>
    <w:p w14:paraId="202455B3" w14:textId="2FE54A7A" w:rsidR="00EB0050" w:rsidRPr="00305E0F" w:rsidRDefault="00B02122">
      <w:pPr>
        <w:pStyle w:val="P68B1DB1-ListParagraph12"/>
        <w:numPr>
          <w:ilvl w:val="1"/>
          <w:numId w:val="2"/>
        </w:numPr>
        <w:spacing w:line="240" w:lineRule="auto"/>
        <w:jc w:val="both"/>
        <w:rPr>
          <w:lang w:val="en-GB"/>
        </w:rPr>
      </w:pPr>
      <w:r w:rsidRPr="00305E0F">
        <w:rPr>
          <w:lang w:val="en-GB"/>
        </w:rPr>
        <w:t xml:space="preserve">Exposures to </w:t>
      </w:r>
      <w:bookmarkEnd w:id="14"/>
      <w:r w:rsidRPr="00305E0F">
        <w:rPr>
          <w:lang w:val="en-GB"/>
        </w:rPr>
        <w:t xml:space="preserve">multilateral development banks referred to in paragraph 46 </w:t>
      </w:r>
      <w:r w:rsidR="00E64DA7" w:rsidRPr="00305E0F">
        <w:rPr>
          <w:lang w:val="en-GB"/>
        </w:rPr>
        <w:t>of Regulation</w:t>
      </w:r>
      <w:r w:rsidRPr="00305E0F">
        <w:rPr>
          <w:lang w:val="en-GB"/>
        </w:rPr>
        <w:t xml:space="preserve"> </w:t>
      </w:r>
      <w:r w:rsidR="00E64DA7" w:rsidRPr="00305E0F">
        <w:rPr>
          <w:lang w:val="en-GB"/>
        </w:rPr>
        <w:t>No 111/2018</w:t>
      </w:r>
      <w:r w:rsidRPr="00305E0F">
        <w:rPr>
          <w:lang w:val="en-GB"/>
        </w:rPr>
        <w:t>;</w:t>
      </w:r>
    </w:p>
    <w:p w14:paraId="2CF880D5" w14:textId="3719A84A" w:rsidR="00EB0050" w:rsidRPr="00305E0F" w:rsidRDefault="00E64DA7">
      <w:pPr>
        <w:pStyle w:val="P68B1DB1-ListParagraph12"/>
        <w:numPr>
          <w:ilvl w:val="1"/>
          <w:numId w:val="2"/>
        </w:numPr>
        <w:spacing w:after="0" w:line="240" w:lineRule="auto"/>
        <w:jc w:val="both"/>
        <w:rPr>
          <w:lang w:val="en-GB"/>
        </w:rPr>
      </w:pPr>
      <w:r w:rsidRPr="00305E0F">
        <w:rPr>
          <w:lang w:val="en-GB"/>
        </w:rPr>
        <w:t>Exposures to International Organisations which attract a risk weight of 0 % under paragraph 47 of Regulation No 111/2018.</w:t>
      </w:r>
    </w:p>
    <w:p w14:paraId="547325D2" w14:textId="4E7BDFE7" w:rsidR="00EB0050" w:rsidRPr="00305E0F" w:rsidRDefault="00B02122">
      <w:pPr>
        <w:pStyle w:val="oj-normal"/>
        <w:numPr>
          <w:ilvl w:val="0"/>
          <w:numId w:val="2"/>
        </w:numPr>
        <w:spacing w:before="0" w:beforeAutospacing="0" w:after="0" w:afterAutospacing="0"/>
        <w:ind w:firstLine="567"/>
        <w:jc w:val="both"/>
        <w:rPr>
          <w:lang w:val="en-GB"/>
        </w:rPr>
      </w:pPr>
      <w:r w:rsidRPr="00305E0F">
        <w:rPr>
          <w:lang w:val="en-GB"/>
        </w:rPr>
        <w:t>By way of derogation from p</w:t>
      </w:r>
      <w:r w:rsidR="00E64DA7" w:rsidRPr="00305E0F">
        <w:rPr>
          <w:lang w:val="en-GB"/>
        </w:rPr>
        <w:t xml:space="preserve">aragraph </w:t>
      </w:r>
      <w:r w:rsidRPr="00305E0F">
        <w:rPr>
          <w:lang w:val="en-GB"/>
        </w:rPr>
        <w:fldChar w:fldCharType="begin"/>
      </w:r>
      <w:r w:rsidRPr="00305E0F">
        <w:rPr>
          <w:lang w:val="en-GB"/>
        </w:rPr>
        <w:instrText xml:space="preserve"> REF _Ref214974472 \r \h </w:instrText>
      </w:r>
      <w:r w:rsidRPr="00305E0F">
        <w:rPr>
          <w:lang w:val="en-GB"/>
        </w:rPr>
      </w:r>
      <w:r w:rsidRPr="00305E0F">
        <w:rPr>
          <w:lang w:val="en-GB"/>
        </w:rPr>
        <w:fldChar w:fldCharType="separate"/>
      </w:r>
      <w:r w:rsidR="00594C05" w:rsidRPr="00305E0F">
        <w:rPr>
          <w:lang w:val="en-GB"/>
        </w:rPr>
        <w:t>19</w:t>
      </w:r>
      <w:r w:rsidRPr="00305E0F">
        <w:rPr>
          <w:lang w:val="en-GB"/>
        </w:rPr>
        <w:fldChar w:fldCharType="end"/>
      </w:r>
      <w:r w:rsidRPr="00305E0F">
        <w:rPr>
          <w:lang w:val="en-GB"/>
        </w:rPr>
        <w:t>, exposures to regional governments, local authorities and public sector entities shall be assigned to the exposure class referred to in p</w:t>
      </w:r>
      <w:r w:rsidR="00E64DA7" w:rsidRPr="00305E0F">
        <w:rPr>
          <w:lang w:val="en-GB"/>
        </w:rPr>
        <w:t xml:space="preserve">aragraph </w:t>
      </w:r>
      <w:r w:rsidRPr="00305E0F">
        <w:rPr>
          <w:lang w:val="en-GB"/>
        </w:rPr>
        <w:fldChar w:fldCharType="begin"/>
      </w:r>
      <w:r w:rsidRPr="00305E0F">
        <w:rPr>
          <w:lang w:val="en-GB"/>
        </w:rPr>
        <w:instrText xml:space="preserve"> REF _Ref214973612 \r \h </w:instrText>
      </w:r>
      <w:r w:rsidRPr="00305E0F">
        <w:rPr>
          <w:lang w:val="en-GB"/>
        </w:rPr>
      </w:r>
      <w:r w:rsidRPr="00305E0F">
        <w:rPr>
          <w:lang w:val="en-GB"/>
        </w:rPr>
        <w:fldChar w:fldCharType="separate"/>
      </w:r>
      <w:r w:rsidR="00594C05" w:rsidRPr="00305E0F">
        <w:rPr>
          <w:lang w:val="en-GB"/>
        </w:rPr>
        <w:t>19.1</w:t>
      </w:r>
      <w:r w:rsidRPr="00305E0F">
        <w:rPr>
          <w:lang w:val="en-GB"/>
        </w:rPr>
        <w:fldChar w:fldCharType="end"/>
      </w:r>
      <w:r w:rsidRPr="00305E0F">
        <w:rPr>
          <w:lang w:val="en-GB"/>
        </w:rPr>
        <w:t>, where those exposures are treated as exposures to central governments in accordance with Regulation No</w:t>
      </w:r>
      <w:r w:rsidR="00E64DA7" w:rsidRPr="00305E0F">
        <w:rPr>
          <w:lang w:val="en-GB"/>
        </w:rPr>
        <w:t xml:space="preserve"> </w:t>
      </w:r>
      <w:r w:rsidRPr="00305E0F">
        <w:rPr>
          <w:lang w:val="en-GB"/>
        </w:rPr>
        <w:t>111/2018.</w:t>
      </w:r>
    </w:p>
    <w:p w14:paraId="607EDD34" w14:textId="2FEA35D7" w:rsidR="00EB0050" w:rsidRPr="00305E0F" w:rsidRDefault="00B02122">
      <w:pPr>
        <w:pStyle w:val="P68B1DB1-ListParagraph12"/>
        <w:numPr>
          <w:ilvl w:val="0"/>
          <w:numId w:val="2"/>
        </w:numPr>
        <w:spacing w:line="240" w:lineRule="auto"/>
        <w:ind w:firstLine="567"/>
        <w:jc w:val="both"/>
        <w:rPr>
          <w:lang w:val="en-GB"/>
        </w:rPr>
      </w:pPr>
      <w:bookmarkStart w:id="30" w:name="_Ref214979399"/>
      <w:r w:rsidRPr="00305E0F">
        <w:rPr>
          <w:lang w:val="en-GB"/>
        </w:rPr>
        <w:t>The following exposures shall be assigned to the class set out in p</w:t>
      </w:r>
      <w:r w:rsidR="00E64DA7" w:rsidRPr="00305E0F">
        <w:rPr>
          <w:lang w:val="en-GB"/>
        </w:rPr>
        <w:t xml:space="preserve">aragraph </w:t>
      </w:r>
      <w:r w:rsidRPr="00305E0F">
        <w:rPr>
          <w:lang w:val="en-GB"/>
        </w:rPr>
        <w:fldChar w:fldCharType="begin"/>
      </w:r>
      <w:r w:rsidRPr="00305E0F">
        <w:rPr>
          <w:lang w:val="en-GB"/>
        </w:rPr>
        <w:instrText xml:space="preserve"> REF _Ref214974754 \r \h </w:instrText>
      </w:r>
      <w:r w:rsidRPr="00305E0F">
        <w:rPr>
          <w:lang w:val="en-GB"/>
        </w:rPr>
      </w:r>
      <w:r w:rsidRPr="00305E0F">
        <w:rPr>
          <w:lang w:val="en-GB"/>
        </w:rPr>
        <w:fldChar w:fldCharType="separate"/>
      </w:r>
      <w:r w:rsidR="00594C05" w:rsidRPr="00305E0F">
        <w:rPr>
          <w:lang w:val="en-GB"/>
        </w:rPr>
        <w:t>19.2</w:t>
      </w:r>
      <w:r w:rsidRPr="00305E0F">
        <w:rPr>
          <w:lang w:val="en-GB"/>
        </w:rPr>
        <w:fldChar w:fldCharType="end"/>
      </w:r>
      <w:r w:rsidRPr="00305E0F">
        <w:rPr>
          <w:lang w:val="en-GB"/>
        </w:rPr>
        <w:t>:</w:t>
      </w:r>
      <w:bookmarkEnd w:id="30"/>
    </w:p>
    <w:p w14:paraId="7DF8EDA7" w14:textId="15D45400" w:rsidR="00EB0050" w:rsidRPr="00305E0F" w:rsidRDefault="00B02122">
      <w:pPr>
        <w:pStyle w:val="P68B1DB1-ListParagraph12"/>
        <w:numPr>
          <w:ilvl w:val="1"/>
          <w:numId w:val="2"/>
        </w:numPr>
        <w:spacing w:line="240" w:lineRule="auto"/>
        <w:jc w:val="both"/>
        <w:rPr>
          <w:lang w:val="en-GB"/>
        </w:rPr>
      </w:pPr>
      <w:r w:rsidRPr="00305E0F">
        <w:rPr>
          <w:lang w:val="en-GB"/>
        </w:rPr>
        <w:t>Exposures to multilateral development banks that are not assigned a 0% risk weight in accordance with Regulation 111</w:t>
      </w:r>
      <w:r w:rsidR="00E64DA7" w:rsidRPr="00305E0F">
        <w:rPr>
          <w:lang w:val="en-GB"/>
        </w:rPr>
        <w:t>/2018</w:t>
      </w:r>
      <w:r w:rsidRPr="00305E0F">
        <w:rPr>
          <w:lang w:val="en-GB"/>
        </w:rPr>
        <w:t>; and</w:t>
      </w:r>
    </w:p>
    <w:p w14:paraId="51C210BC" w14:textId="7AEB2C44" w:rsidR="00EB0050" w:rsidRPr="00305E0F" w:rsidRDefault="00B02122">
      <w:pPr>
        <w:pStyle w:val="P68B1DB1-ListParagraph12"/>
        <w:numPr>
          <w:ilvl w:val="1"/>
          <w:numId w:val="2"/>
        </w:numPr>
        <w:spacing w:line="240" w:lineRule="auto"/>
        <w:jc w:val="both"/>
        <w:rPr>
          <w:lang w:val="en-GB"/>
        </w:rPr>
      </w:pPr>
      <w:r w:rsidRPr="00305E0F">
        <w:rPr>
          <w:lang w:val="en-GB"/>
        </w:rPr>
        <w:t>Exposures treated as exposures to banks in accordance with paragraph 51 of Regulation No</w:t>
      </w:r>
      <w:r w:rsidR="00E64DA7" w:rsidRPr="00305E0F">
        <w:rPr>
          <w:lang w:val="en-GB"/>
        </w:rPr>
        <w:t xml:space="preserve"> </w:t>
      </w:r>
      <w:r w:rsidRPr="00305E0F">
        <w:rPr>
          <w:lang w:val="en-GB"/>
        </w:rPr>
        <w:t>111/2018.</w:t>
      </w:r>
    </w:p>
    <w:p w14:paraId="1D08D9E3" w14:textId="35F710F7" w:rsidR="00EB0050" w:rsidRPr="00305E0F" w:rsidRDefault="00E64DA7">
      <w:pPr>
        <w:pStyle w:val="P68B1DB1-ListParagraph12"/>
        <w:numPr>
          <w:ilvl w:val="0"/>
          <w:numId w:val="2"/>
        </w:numPr>
        <w:spacing w:line="240" w:lineRule="auto"/>
        <w:ind w:firstLine="567"/>
        <w:jc w:val="both"/>
        <w:rPr>
          <w:lang w:val="en-GB"/>
        </w:rPr>
      </w:pPr>
      <w:bookmarkStart w:id="31" w:name="_Ref214979628"/>
      <w:r w:rsidRPr="00305E0F">
        <w:rPr>
          <w:lang w:val="en-GB"/>
        </w:rPr>
        <w:t xml:space="preserve">To be eligible for the retail exposure class set out in paragraph </w:t>
      </w:r>
      <w:r w:rsidRPr="00305E0F">
        <w:rPr>
          <w:lang w:val="en-GB"/>
        </w:rPr>
        <w:fldChar w:fldCharType="begin"/>
      </w:r>
      <w:r w:rsidRPr="00305E0F">
        <w:rPr>
          <w:lang w:val="en-GB"/>
        </w:rPr>
        <w:instrText xml:space="preserve"> REF _Ref214975112 \r \h </w:instrText>
      </w:r>
      <w:r w:rsidRPr="00305E0F">
        <w:rPr>
          <w:lang w:val="en-GB"/>
        </w:rPr>
      </w:r>
      <w:r w:rsidRPr="00305E0F">
        <w:rPr>
          <w:lang w:val="en-GB"/>
        </w:rPr>
        <w:fldChar w:fldCharType="separate"/>
      </w:r>
      <w:r w:rsidR="00594C05" w:rsidRPr="00305E0F">
        <w:rPr>
          <w:lang w:val="en-GB"/>
        </w:rPr>
        <w:t>19.5</w:t>
      </w:r>
      <w:r w:rsidRPr="00305E0F">
        <w:rPr>
          <w:lang w:val="en-GB"/>
        </w:rPr>
        <w:fldChar w:fldCharType="end"/>
      </w:r>
      <w:r w:rsidRPr="00305E0F">
        <w:rPr>
          <w:lang w:val="en-GB"/>
        </w:rPr>
        <w:t>, exposures shall comply with the following criteria:</w:t>
      </w:r>
      <w:bookmarkEnd w:id="31"/>
    </w:p>
    <w:p w14:paraId="779B87EB" w14:textId="29D13BF7" w:rsidR="00EB0050" w:rsidRPr="00305E0F" w:rsidRDefault="00B02122">
      <w:pPr>
        <w:pStyle w:val="P68B1DB1-ListParagraph12"/>
        <w:numPr>
          <w:ilvl w:val="1"/>
          <w:numId w:val="2"/>
        </w:numPr>
        <w:spacing w:line="240" w:lineRule="auto"/>
        <w:jc w:val="both"/>
        <w:rPr>
          <w:lang w:val="en-GB"/>
        </w:rPr>
      </w:pPr>
      <w:r w:rsidRPr="00305E0F">
        <w:rPr>
          <w:lang w:val="en-GB"/>
        </w:rPr>
        <w:t>Exposures to:</w:t>
      </w:r>
    </w:p>
    <w:p w14:paraId="24BA33E4" w14:textId="5AF64201" w:rsidR="00EB0050" w:rsidRPr="00305E0F" w:rsidRDefault="00B02122">
      <w:pPr>
        <w:pStyle w:val="P68B1DB1-ListParagraph12"/>
        <w:numPr>
          <w:ilvl w:val="2"/>
          <w:numId w:val="2"/>
        </w:numPr>
        <w:spacing w:line="240" w:lineRule="auto"/>
        <w:ind w:left="0"/>
        <w:jc w:val="both"/>
        <w:rPr>
          <w:lang w:val="en-GB"/>
        </w:rPr>
      </w:pPr>
      <w:r w:rsidRPr="00305E0F">
        <w:rPr>
          <w:lang w:val="en-GB"/>
        </w:rPr>
        <w:t>One or more natural persons;</w:t>
      </w:r>
    </w:p>
    <w:p w14:paraId="16656C80" w14:textId="2F2A7340" w:rsidR="00EB0050" w:rsidRPr="00305E0F" w:rsidRDefault="00B02122">
      <w:pPr>
        <w:pStyle w:val="P68B1DB1-ListParagraph12"/>
        <w:numPr>
          <w:ilvl w:val="2"/>
          <w:numId w:val="2"/>
        </w:numPr>
        <w:spacing w:line="240" w:lineRule="auto"/>
        <w:ind w:left="0"/>
        <w:jc w:val="both"/>
        <w:rPr>
          <w:lang w:val="en-GB"/>
        </w:rPr>
      </w:pPr>
      <w:bookmarkStart w:id="32" w:name="_Ref232159185"/>
      <w:r w:rsidRPr="00305E0F">
        <w:rPr>
          <w:lang w:val="en-GB"/>
        </w:rPr>
        <w:t xml:space="preserve">A small or medium-sized enterprise (SME), provided that the total amount owed to the bank and its parent undertakings and subsidiaries, including any exposure in default, by the obligor client or group of connected clients, but excluding exposures secured by residential property, up to the </w:t>
      </w:r>
      <w:r w:rsidR="00E64DA7" w:rsidRPr="00305E0F">
        <w:rPr>
          <w:lang w:val="en-GB"/>
        </w:rPr>
        <w:t xml:space="preserve">property </w:t>
      </w:r>
      <w:r w:rsidRPr="00305E0F">
        <w:rPr>
          <w:lang w:val="en-GB"/>
        </w:rPr>
        <w:t xml:space="preserve">value does not, to the knowledge of the bank </w:t>
      </w:r>
      <w:r w:rsidR="00E64DA7" w:rsidRPr="00305E0F">
        <w:rPr>
          <w:lang w:val="en-GB"/>
        </w:rPr>
        <w:t xml:space="preserve">which shall take reasonable </w:t>
      </w:r>
      <w:r w:rsidRPr="00305E0F">
        <w:rPr>
          <w:lang w:val="en-GB"/>
        </w:rPr>
        <w:t>steps to verify the amount of that exposure, exceed the amount of the equivalent in MDL of EUR 1 million;</w:t>
      </w:r>
      <w:bookmarkEnd w:id="32"/>
      <w:r w:rsidR="00E64DA7" w:rsidRPr="00305E0F">
        <w:rPr>
          <w:lang w:val="en-GB"/>
        </w:rPr>
        <w:t xml:space="preserve"> </w:t>
      </w:r>
    </w:p>
    <w:p w14:paraId="4C002698" w14:textId="2523453A" w:rsidR="00EB0050" w:rsidRPr="00305E0F" w:rsidRDefault="00B02122">
      <w:pPr>
        <w:pStyle w:val="P68B1DB1-ListParagraph12"/>
        <w:numPr>
          <w:ilvl w:val="2"/>
          <w:numId w:val="2"/>
        </w:numPr>
        <w:spacing w:line="240" w:lineRule="auto"/>
        <w:ind w:left="0"/>
        <w:jc w:val="both"/>
        <w:rPr>
          <w:lang w:val="en-GB"/>
        </w:rPr>
      </w:pPr>
      <w:bookmarkStart w:id="33" w:name="_Ref214979660"/>
      <w:r w:rsidRPr="00305E0F">
        <w:rPr>
          <w:lang w:val="en-GB"/>
        </w:rPr>
        <w:t>Exposures secured by residential property, including first and successive liens, term loans, revolving personal lines of credit secured by immovable property and exposures as referred to in Regulation 112/2018 on credit risk mitigation techniques, irrespective of the size of the exposure, provided that the exposure is any of the following:</w:t>
      </w:r>
      <w:bookmarkEnd w:id="33"/>
    </w:p>
    <w:p w14:paraId="3CD5629F" w14:textId="113DBBE9" w:rsidR="00EB0050" w:rsidRPr="00305E0F" w:rsidRDefault="00B02122">
      <w:pPr>
        <w:pStyle w:val="P68B1DB1-ListParagraph12"/>
        <w:numPr>
          <w:ilvl w:val="3"/>
          <w:numId w:val="2"/>
        </w:numPr>
        <w:spacing w:line="240" w:lineRule="auto"/>
        <w:ind w:left="0"/>
        <w:jc w:val="both"/>
        <w:rPr>
          <w:lang w:val="en-GB"/>
        </w:rPr>
      </w:pPr>
      <w:r w:rsidRPr="00305E0F">
        <w:rPr>
          <w:lang w:val="en-GB"/>
        </w:rPr>
        <w:t>Exposure to a natural person;</w:t>
      </w:r>
    </w:p>
    <w:p w14:paraId="61353996" w14:textId="309B3150" w:rsidR="00EB0050" w:rsidRPr="00305E0F" w:rsidRDefault="00B02122">
      <w:pPr>
        <w:pStyle w:val="P68B1DB1-ListParagraph12"/>
        <w:numPr>
          <w:ilvl w:val="3"/>
          <w:numId w:val="2"/>
        </w:numPr>
        <w:spacing w:line="240" w:lineRule="auto"/>
        <w:ind w:left="0"/>
        <w:jc w:val="both"/>
        <w:rPr>
          <w:lang w:val="en-GB"/>
        </w:rPr>
      </w:pPr>
      <w:r w:rsidRPr="00305E0F">
        <w:rPr>
          <w:lang w:val="en-GB"/>
        </w:rPr>
        <w:t>An exposure to associations or cooperatives of natural persons which are governed by national law and whose sole purpose is to grant their members the right to use a principal residence in the property securing the credit;</w:t>
      </w:r>
    </w:p>
    <w:p w14:paraId="51EF28CD" w14:textId="55238AC0" w:rsidR="00EB0050" w:rsidRPr="00305E0F" w:rsidRDefault="00B02122" w:rsidP="00E71645">
      <w:pPr>
        <w:pStyle w:val="P68B1DB1-ListParagraph12"/>
        <w:numPr>
          <w:ilvl w:val="1"/>
          <w:numId w:val="2"/>
        </w:numPr>
        <w:spacing w:after="0" w:line="240" w:lineRule="auto"/>
        <w:contextualSpacing w:val="0"/>
        <w:jc w:val="both"/>
        <w:rPr>
          <w:lang w:val="en-GB"/>
        </w:rPr>
      </w:pPr>
      <w:bookmarkStart w:id="34" w:name="_Ref214979685"/>
      <w:r w:rsidRPr="00305E0F">
        <w:rPr>
          <w:lang w:val="en-GB"/>
        </w:rPr>
        <w:t>They are treated by the bank in the risk management process consistently over time and in a similar manner;</w:t>
      </w:r>
      <w:bookmarkEnd w:id="34"/>
    </w:p>
    <w:p w14:paraId="5EFD1D3B" w14:textId="0FE820DF" w:rsidR="00EB0050" w:rsidRPr="00305E0F" w:rsidRDefault="00B02122">
      <w:pPr>
        <w:pStyle w:val="ListParagraph"/>
        <w:numPr>
          <w:ilvl w:val="1"/>
          <w:numId w:val="2"/>
        </w:numPr>
        <w:spacing w:after="0" w:line="240" w:lineRule="auto"/>
        <w:contextualSpacing w:val="0"/>
        <w:jc w:val="both"/>
        <w:rPr>
          <w:rFonts w:ascii="Times New Roman" w:hAnsi="Times New Roman" w:cs="Times New Roman"/>
          <w:sz w:val="24"/>
          <w:szCs w:val="24"/>
          <w:lang w:val="en-GB"/>
        </w:rPr>
      </w:pPr>
      <w:bookmarkStart w:id="35" w:name="_Ref214979694"/>
      <w:r w:rsidRPr="00305E0F">
        <w:rPr>
          <w:rFonts w:ascii="Times New Roman" w:hAnsi="Times New Roman" w:cs="Times New Roman"/>
          <w:sz w:val="24"/>
          <w:szCs w:val="24"/>
          <w:lang w:val="en-GB"/>
        </w:rPr>
        <w:t xml:space="preserve">They shall not be managed solely on an individual basis as exposures assigned to the corporate exposure classes referred to in </w:t>
      </w:r>
      <w:r w:rsidR="00E64DA7" w:rsidRPr="00305E0F">
        <w:rPr>
          <w:rFonts w:ascii="Times New Roman" w:hAnsi="Times New Roman" w:cs="Times New Roman"/>
          <w:sz w:val="24"/>
          <w:szCs w:val="24"/>
          <w:lang w:val="en-GB"/>
        </w:rPr>
        <w:t xml:space="preserve">sub-paragraphs </w:t>
      </w:r>
      <w:r w:rsidRPr="00305E0F">
        <w:rPr>
          <w:rFonts w:ascii="Times New Roman" w:hAnsi="Times New Roman" w:cs="Times New Roman"/>
          <w:sz w:val="24"/>
          <w:szCs w:val="24"/>
          <w:lang w:val="en-GB"/>
        </w:rPr>
        <w:fldChar w:fldCharType="begin"/>
      </w:r>
      <w:r w:rsidRPr="00305E0F">
        <w:rPr>
          <w:rFonts w:ascii="Times New Roman" w:hAnsi="Times New Roman" w:cs="Times New Roman"/>
          <w:sz w:val="24"/>
          <w:szCs w:val="24"/>
          <w:lang w:val="en-GB"/>
        </w:rPr>
        <w:instrText xml:space="preserve"> REF _Ref214979086 \r \h </w:instrText>
      </w:r>
      <w:r w:rsidRPr="00305E0F">
        <w:rPr>
          <w:rFonts w:ascii="Times New Roman" w:hAnsi="Times New Roman" w:cs="Times New Roman"/>
          <w:sz w:val="24"/>
          <w:szCs w:val="24"/>
          <w:lang w:val="en-GB"/>
        </w:rPr>
      </w:r>
      <w:r w:rsidRPr="00305E0F">
        <w:rPr>
          <w:rFonts w:ascii="Times New Roman" w:hAnsi="Times New Roman" w:cs="Times New Roman"/>
          <w:sz w:val="24"/>
          <w:szCs w:val="24"/>
          <w:lang w:val="en-GB"/>
        </w:rPr>
        <w:fldChar w:fldCharType="separate"/>
      </w:r>
      <w:r w:rsidR="00594C05" w:rsidRPr="00305E0F">
        <w:rPr>
          <w:rFonts w:ascii="Times New Roman" w:hAnsi="Times New Roman" w:cs="Times New Roman"/>
          <w:sz w:val="24"/>
          <w:szCs w:val="24"/>
          <w:lang w:val="en-GB"/>
        </w:rPr>
        <w:t>19.4.1</w:t>
      </w:r>
      <w:r w:rsidRPr="00305E0F">
        <w:rPr>
          <w:rFonts w:ascii="Times New Roman" w:hAnsi="Times New Roman" w:cs="Times New Roman"/>
          <w:sz w:val="24"/>
          <w:szCs w:val="24"/>
          <w:lang w:val="en-GB"/>
        </w:rPr>
        <w:fldChar w:fldCharType="end"/>
      </w:r>
      <w:r w:rsidRPr="00305E0F">
        <w:rPr>
          <w:rFonts w:ascii="Times New Roman" w:hAnsi="Times New Roman" w:cs="Times New Roman"/>
          <w:sz w:val="24"/>
          <w:szCs w:val="24"/>
          <w:lang w:val="en-GB"/>
        </w:rPr>
        <w:t xml:space="preserve">, </w:t>
      </w:r>
      <w:r w:rsidRPr="00305E0F">
        <w:rPr>
          <w:rFonts w:ascii="Times New Roman" w:hAnsi="Times New Roman" w:cs="Times New Roman"/>
          <w:sz w:val="24"/>
          <w:szCs w:val="24"/>
          <w:lang w:val="en-GB"/>
        </w:rPr>
        <w:fldChar w:fldCharType="begin"/>
      </w:r>
      <w:r w:rsidRPr="00305E0F">
        <w:rPr>
          <w:rFonts w:ascii="Times New Roman" w:hAnsi="Times New Roman" w:cs="Times New Roman"/>
          <w:sz w:val="24"/>
          <w:szCs w:val="24"/>
          <w:lang w:val="en-GB"/>
        </w:rPr>
        <w:instrText xml:space="preserve"> REF _Ref214979076 \r \h </w:instrText>
      </w:r>
      <w:r w:rsidRPr="00305E0F">
        <w:rPr>
          <w:rFonts w:ascii="Times New Roman" w:hAnsi="Times New Roman" w:cs="Times New Roman"/>
          <w:sz w:val="24"/>
          <w:szCs w:val="24"/>
          <w:lang w:val="en-GB"/>
        </w:rPr>
      </w:r>
      <w:r w:rsidRPr="00305E0F">
        <w:rPr>
          <w:rFonts w:ascii="Times New Roman" w:hAnsi="Times New Roman" w:cs="Times New Roman"/>
          <w:sz w:val="24"/>
          <w:szCs w:val="24"/>
          <w:lang w:val="en-GB"/>
        </w:rPr>
        <w:fldChar w:fldCharType="separate"/>
      </w:r>
      <w:r w:rsidR="00594C05" w:rsidRPr="00305E0F">
        <w:rPr>
          <w:rFonts w:ascii="Times New Roman" w:hAnsi="Times New Roman" w:cs="Times New Roman"/>
          <w:sz w:val="24"/>
          <w:szCs w:val="24"/>
          <w:lang w:val="en-GB"/>
        </w:rPr>
        <w:t>19.4.2</w:t>
      </w:r>
      <w:r w:rsidRPr="00305E0F">
        <w:rPr>
          <w:rFonts w:ascii="Times New Roman" w:hAnsi="Times New Roman" w:cs="Times New Roman"/>
          <w:sz w:val="24"/>
          <w:szCs w:val="24"/>
          <w:lang w:val="en-GB"/>
        </w:rPr>
        <w:fldChar w:fldCharType="end"/>
      </w:r>
      <w:r w:rsidRPr="00305E0F">
        <w:rPr>
          <w:rFonts w:ascii="Times New Roman" w:hAnsi="Times New Roman" w:cs="Times New Roman"/>
          <w:sz w:val="24"/>
          <w:szCs w:val="24"/>
          <w:lang w:val="en-GB"/>
        </w:rPr>
        <w:t xml:space="preserve"> or</w:t>
      </w:r>
      <w:r w:rsidR="00E64DA7" w:rsidRPr="00305E0F">
        <w:rPr>
          <w:rFonts w:ascii="Times New Roman" w:hAnsi="Times New Roman" w:cs="Times New Roman"/>
          <w:sz w:val="24"/>
          <w:szCs w:val="24"/>
          <w:lang w:val="en-GB"/>
        </w:rPr>
        <w:t xml:space="preserve"> </w:t>
      </w:r>
      <w:r w:rsidRPr="00305E0F">
        <w:rPr>
          <w:rFonts w:ascii="Times New Roman" w:hAnsi="Times New Roman" w:cs="Times New Roman"/>
          <w:sz w:val="24"/>
          <w:szCs w:val="24"/>
          <w:lang w:val="en-GB"/>
        </w:rPr>
        <w:fldChar w:fldCharType="begin"/>
      </w:r>
      <w:r w:rsidRPr="00305E0F">
        <w:rPr>
          <w:rFonts w:ascii="Times New Roman" w:hAnsi="Times New Roman" w:cs="Times New Roman"/>
          <w:sz w:val="24"/>
          <w:szCs w:val="24"/>
          <w:lang w:val="en-GB"/>
        </w:rPr>
        <w:instrText xml:space="preserve"> REF _Ref214979065 \r \h </w:instrText>
      </w:r>
      <w:r w:rsidRPr="00305E0F">
        <w:rPr>
          <w:rFonts w:ascii="Times New Roman" w:hAnsi="Times New Roman" w:cs="Times New Roman"/>
          <w:sz w:val="24"/>
          <w:szCs w:val="24"/>
          <w:lang w:val="en-GB"/>
        </w:rPr>
      </w:r>
      <w:r w:rsidRPr="00305E0F">
        <w:rPr>
          <w:rFonts w:ascii="Times New Roman" w:hAnsi="Times New Roman" w:cs="Times New Roman"/>
          <w:sz w:val="24"/>
          <w:szCs w:val="24"/>
          <w:lang w:val="en-GB"/>
        </w:rPr>
        <w:fldChar w:fldCharType="separate"/>
      </w:r>
      <w:r w:rsidR="00594C05" w:rsidRPr="00305E0F">
        <w:rPr>
          <w:rFonts w:ascii="Times New Roman" w:hAnsi="Times New Roman" w:cs="Times New Roman"/>
          <w:sz w:val="24"/>
          <w:szCs w:val="24"/>
          <w:lang w:val="en-GB"/>
        </w:rPr>
        <w:t>19.4.3</w:t>
      </w:r>
      <w:r w:rsidRPr="00305E0F">
        <w:rPr>
          <w:rFonts w:ascii="Times New Roman" w:hAnsi="Times New Roman" w:cs="Times New Roman"/>
          <w:sz w:val="24"/>
          <w:szCs w:val="24"/>
          <w:lang w:val="en-GB"/>
        </w:rPr>
        <w:fldChar w:fldCharType="end"/>
      </w:r>
      <w:r w:rsidRPr="00305E0F">
        <w:rPr>
          <w:rFonts w:ascii="Times New Roman" w:hAnsi="Times New Roman" w:cs="Times New Roman"/>
          <w:sz w:val="24"/>
          <w:szCs w:val="24"/>
          <w:lang w:val="en-GB"/>
        </w:rPr>
        <w:t>;</w:t>
      </w:r>
      <w:bookmarkEnd w:id="35"/>
    </w:p>
    <w:p w14:paraId="2F575BB1" w14:textId="35787F0A" w:rsidR="00EB0050" w:rsidRPr="00305E0F" w:rsidRDefault="00B02122">
      <w:pPr>
        <w:pStyle w:val="P68B1DB1-ListParagraph12"/>
        <w:numPr>
          <w:ilvl w:val="1"/>
          <w:numId w:val="2"/>
        </w:numPr>
        <w:spacing w:after="0" w:line="240" w:lineRule="auto"/>
        <w:contextualSpacing w:val="0"/>
        <w:jc w:val="both"/>
        <w:rPr>
          <w:lang w:val="en-GB"/>
        </w:rPr>
      </w:pPr>
      <w:bookmarkStart w:id="36" w:name="_Ref214979704"/>
      <w:r w:rsidRPr="00305E0F">
        <w:rPr>
          <w:lang w:val="en-GB"/>
        </w:rPr>
        <w:t>Each of them represents one of a significant number of exposures that are managed in a similar way.</w:t>
      </w:r>
      <w:bookmarkEnd w:id="36"/>
    </w:p>
    <w:p w14:paraId="12CB5043" w14:textId="5741C9BA" w:rsidR="00EB0050" w:rsidRPr="00305E0F" w:rsidRDefault="00B02122">
      <w:pPr>
        <w:pStyle w:val="P68B1DB1-ListParagraph12"/>
        <w:numPr>
          <w:ilvl w:val="0"/>
          <w:numId w:val="2"/>
        </w:numPr>
        <w:spacing w:line="240" w:lineRule="auto"/>
        <w:ind w:firstLine="567"/>
        <w:jc w:val="both"/>
        <w:rPr>
          <w:lang w:val="en-GB"/>
        </w:rPr>
      </w:pPr>
      <w:r w:rsidRPr="00305E0F">
        <w:rPr>
          <w:lang w:val="en-GB"/>
        </w:rPr>
        <w:t>In addition to the exposures listed in paragraph</w:t>
      </w:r>
      <w:r w:rsidR="00E64DA7" w:rsidRPr="00305E0F">
        <w:rPr>
          <w:lang w:val="en-GB"/>
        </w:rPr>
        <w:t xml:space="preserve"> </w:t>
      </w:r>
      <w:r w:rsidRPr="00305E0F">
        <w:rPr>
          <w:lang w:val="en-GB"/>
        </w:rPr>
        <w:fldChar w:fldCharType="begin"/>
      </w:r>
      <w:r w:rsidRPr="00305E0F">
        <w:rPr>
          <w:lang w:val="en-GB"/>
        </w:rPr>
        <w:instrText xml:space="preserve"> REF _Ref214979628 \r \h </w:instrText>
      </w:r>
      <w:r w:rsidRPr="00305E0F">
        <w:rPr>
          <w:lang w:val="en-GB"/>
        </w:rPr>
      </w:r>
      <w:r w:rsidRPr="00305E0F">
        <w:rPr>
          <w:lang w:val="en-GB"/>
        </w:rPr>
        <w:fldChar w:fldCharType="separate"/>
      </w:r>
      <w:r w:rsidR="00594C05" w:rsidRPr="00305E0F">
        <w:rPr>
          <w:lang w:val="en-GB"/>
        </w:rPr>
        <w:t>23</w:t>
      </w:r>
      <w:r w:rsidRPr="00305E0F">
        <w:rPr>
          <w:lang w:val="en-GB"/>
        </w:rPr>
        <w:fldChar w:fldCharType="end"/>
      </w:r>
      <w:r w:rsidRPr="00305E0F">
        <w:rPr>
          <w:lang w:val="en-GB"/>
        </w:rPr>
        <w:t>, the present value of minimum retail lease payments shall be included in the retail exposure class.</w:t>
      </w:r>
    </w:p>
    <w:p w14:paraId="3155FB9C" w14:textId="23E8D433" w:rsidR="00EB0050" w:rsidRPr="00305E0F" w:rsidRDefault="00B02122">
      <w:pPr>
        <w:pStyle w:val="P68B1DB1-ListParagraph12"/>
        <w:numPr>
          <w:ilvl w:val="0"/>
          <w:numId w:val="2"/>
        </w:numPr>
        <w:spacing w:after="0" w:line="240" w:lineRule="auto"/>
        <w:ind w:firstLine="567"/>
        <w:contextualSpacing w:val="0"/>
        <w:jc w:val="both"/>
        <w:rPr>
          <w:lang w:val="en-GB"/>
        </w:rPr>
      </w:pPr>
      <w:bookmarkStart w:id="37" w:name="_Ref214980287"/>
      <w:r w:rsidRPr="00305E0F">
        <w:rPr>
          <w:lang w:val="en-GB"/>
        </w:rPr>
        <w:t xml:space="preserve">Exposures that meet all the conditions set out in </w:t>
      </w:r>
      <w:r w:rsidR="00E64DA7" w:rsidRPr="00305E0F">
        <w:rPr>
          <w:lang w:val="en-GB"/>
        </w:rPr>
        <w:t>sub-paragraphs</w:t>
      </w:r>
      <w:r w:rsidRPr="00305E0F">
        <w:rPr>
          <w:lang w:val="en-GB"/>
        </w:rPr>
        <w:t xml:space="preserve"> </w:t>
      </w:r>
      <w:r w:rsidRPr="00305E0F">
        <w:rPr>
          <w:lang w:val="en-GB"/>
        </w:rPr>
        <w:fldChar w:fldCharType="begin"/>
      </w:r>
      <w:r w:rsidRPr="00305E0F">
        <w:rPr>
          <w:lang w:val="en-GB"/>
        </w:rPr>
        <w:instrText xml:space="preserve"> REF _Ref214979660 \r \h </w:instrText>
      </w:r>
      <w:r w:rsidRPr="00305E0F">
        <w:rPr>
          <w:lang w:val="en-GB"/>
        </w:rPr>
      </w:r>
      <w:r w:rsidRPr="00305E0F">
        <w:rPr>
          <w:lang w:val="en-GB"/>
        </w:rPr>
        <w:fldChar w:fldCharType="separate"/>
      </w:r>
      <w:r w:rsidR="00594C05" w:rsidRPr="00305E0F">
        <w:rPr>
          <w:lang w:val="en-GB"/>
        </w:rPr>
        <w:t>23.1.3</w:t>
      </w:r>
      <w:r w:rsidRPr="00305E0F">
        <w:rPr>
          <w:lang w:val="en-GB"/>
        </w:rPr>
        <w:fldChar w:fldCharType="end"/>
      </w:r>
      <w:r w:rsidRPr="00305E0F">
        <w:rPr>
          <w:lang w:val="en-GB"/>
        </w:rPr>
        <w:t xml:space="preserve"> and</w:t>
      </w:r>
      <w:r w:rsidR="00E64DA7" w:rsidRPr="00305E0F">
        <w:rPr>
          <w:lang w:val="en-GB"/>
        </w:rPr>
        <w:t xml:space="preserve"> </w:t>
      </w:r>
      <w:r w:rsidRPr="00305E0F">
        <w:rPr>
          <w:lang w:val="en-GB"/>
        </w:rPr>
        <w:fldChar w:fldCharType="begin"/>
      </w:r>
      <w:r w:rsidRPr="00305E0F">
        <w:rPr>
          <w:lang w:val="en-GB"/>
        </w:rPr>
        <w:instrText xml:space="preserve"> REF _Ref214979685 \r \h </w:instrText>
      </w:r>
      <w:r w:rsidRPr="00305E0F">
        <w:rPr>
          <w:lang w:val="en-GB"/>
        </w:rPr>
      </w:r>
      <w:r w:rsidRPr="00305E0F">
        <w:rPr>
          <w:lang w:val="en-GB"/>
        </w:rPr>
        <w:fldChar w:fldCharType="separate"/>
      </w:r>
      <w:r w:rsidR="00594C05" w:rsidRPr="00305E0F">
        <w:rPr>
          <w:lang w:val="en-GB"/>
        </w:rPr>
        <w:t>23.2</w:t>
      </w:r>
      <w:r w:rsidRPr="00305E0F">
        <w:rPr>
          <w:lang w:val="en-GB"/>
        </w:rPr>
        <w:fldChar w:fldCharType="end"/>
      </w:r>
      <w:r w:rsidRPr="00305E0F">
        <w:rPr>
          <w:lang w:val="en-GB"/>
        </w:rPr>
        <w:t xml:space="preserve">, </w:t>
      </w:r>
      <w:r w:rsidRPr="00305E0F">
        <w:rPr>
          <w:lang w:val="en-GB"/>
        </w:rPr>
        <w:fldChar w:fldCharType="begin"/>
      </w:r>
      <w:r w:rsidRPr="00305E0F">
        <w:rPr>
          <w:lang w:val="en-GB"/>
        </w:rPr>
        <w:instrText xml:space="preserve"> REF _Ref214979694 \r \h </w:instrText>
      </w:r>
      <w:r w:rsidRPr="00305E0F">
        <w:rPr>
          <w:lang w:val="en-GB"/>
        </w:rPr>
      </w:r>
      <w:r w:rsidRPr="00305E0F">
        <w:rPr>
          <w:lang w:val="en-GB"/>
        </w:rPr>
        <w:fldChar w:fldCharType="separate"/>
      </w:r>
      <w:r w:rsidR="00594C05" w:rsidRPr="00305E0F">
        <w:rPr>
          <w:lang w:val="en-GB"/>
        </w:rPr>
        <w:t>23.3</w:t>
      </w:r>
      <w:r w:rsidRPr="00305E0F">
        <w:rPr>
          <w:lang w:val="en-GB"/>
        </w:rPr>
        <w:fldChar w:fldCharType="end"/>
      </w:r>
      <w:r w:rsidRPr="00305E0F">
        <w:rPr>
          <w:lang w:val="en-GB"/>
        </w:rPr>
        <w:t xml:space="preserve"> and </w:t>
      </w:r>
      <w:r w:rsidRPr="00305E0F">
        <w:rPr>
          <w:lang w:val="en-GB"/>
        </w:rPr>
        <w:fldChar w:fldCharType="begin"/>
      </w:r>
      <w:r w:rsidRPr="00305E0F">
        <w:rPr>
          <w:lang w:val="en-GB"/>
        </w:rPr>
        <w:instrText xml:space="preserve"> REF _Ref214979704 \r \h </w:instrText>
      </w:r>
      <w:r w:rsidRPr="00305E0F">
        <w:rPr>
          <w:lang w:val="en-GB"/>
        </w:rPr>
      </w:r>
      <w:r w:rsidRPr="00305E0F">
        <w:rPr>
          <w:lang w:val="en-GB"/>
        </w:rPr>
        <w:fldChar w:fldCharType="separate"/>
      </w:r>
      <w:r w:rsidR="00594C05" w:rsidRPr="00305E0F">
        <w:rPr>
          <w:lang w:val="en-GB"/>
        </w:rPr>
        <w:t>23.4</w:t>
      </w:r>
      <w:r w:rsidRPr="00305E0F">
        <w:rPr>
          <w:lang w:val="en-GB"/>
        </w:rPr>
        <w:fldChar w:fldCharType="end"/>
      </w:r>
      <w:r w:rsidRPr="00305E0F">
        <w:rPr>
          <w:lang w:val="en-GB"/>
        </w:rPr>
        <w:t xml:space="preserve"> fall within the retail exposure class secured by residential property referred to in </w:t>
      </w:r>
      <w:r w:rsidR="00E64DA7" w:rsidRPr="00305E0F">
        <w:rPr>
          <w:lang w:val="en-GB"/>
        </w:rPr>
        <w:t xml:space="preserve">sub-paragraph </w:t>
      </w:r>
      <w:r w:rsidRPr="00305E0F">
        <w:rPr>
          <w:lang w:val="en-GB"/>
        </w:rPr>
        <w:fldChar w:fldCharType="begin"/>
      </w:r>
      <w:r w:rsidRPr="00305E0F">
        <w:rPr>
          <w:lang w:val="en-GB"/>
        </w:rPr>
        <w:instrText xml:space="preserve"> REF _Ref214979998 \r \h </w:instrText>
      </w:r>
      <w:r w:rsidRPr="00305E0F">
        <w:rPr>
          <w:lang w:val="en-GB"/>
        </w:rPr>
      </w:r>
      <w:r w:rsidRPr="00305E0F">
        <w:rPr>
          <w:lang w:val="en-GB"/>
        </w:rPr>
        <w:fldChar w:fldCharType="separate"/>
      </w:r>
      <w:r w:rsidR="00594C05" w:rsidRPr="00305E0F">
        <w:rPr>
          <w:lang w:val="en-GB"/>
        </w:rPr>
        <w:t>19.5.2</w:t>
      </w:r>
      <w:r w:rsidRPr="00305E0F">
        <w:rPr>
          <w:lang w:val="en-GB"/>
        </w:rPr>
        <w:fldChar w:fldCharType="end"/>
      </w:r>
      <w:r w:rsidRPr="00305E0F">
        <w:rPr>
          <w:lang w:val="en-GB"/>
        </w:rPr>
        <w:t>.</w:t>
      </w:r>
      <w:bookmarkEnd w:id="37"/>
    </w:p>
    <w:p w14:paraId="770DC966" w14:textId="6ED1A6A4" w:rsidR="00EB0050" w:rsidRPr="00305E0F" w:rsidRDefault="00B02122">
      <w:pPr>
        <w:pStyle w:val="P68B1DB1-ListParagraph12"/>
        <w:numPr>
          <w:ilvl w:val="0"/>
          <w:numId w:val="2"/>
        </w:numPr>
        <w:spacing w:after="0" w:line="240" w:lineRule="auto"/>
        <w:ind w:firstLine="567"/>
        <w:contextualSpacing w:val="0"/>
        <w:jc w:val="both"/>
        <w:rPr>
          <w:lang w:val="en-GB"/>
        </w:rPr>
      </w:pPr>
      <w:r w:rsidRPr="00305E0F">
        <w:rPr>
          <w:lang w:val="en-GB"/>
        </w:rPr>
        <w:t>By way of derogation from paragraph</w:t>
      </w:r>
      <w:r w:rsidR="00E64DA7" w:rsidRPr="00305E0F">
        <w:rPr>
          <w:lang w:val="en-GB"/>
        </w:rPr>
        <w:t xml:space="preserve"> </w:t>
      </w:r>
      <w:r w:rsidRPr="00305E0F">
        <w:rPr>
          <w:lang w:val="en-GB"/>
        </w:rPr>
        <w:fldChar w:fldCharType="begin"/>
      </w:r>
      <w:r w:rsidRPr="00305E0F">
        <w:rPr>
          <w:lang w:val="en-GB"/>
        </w:rPr>
        <w:instrText xml:space="preserve"> REF _Ref214980287 \r \h </w:instrText>
      </w:r>
      <w:r w:rsidRPr="00305E0F">
        <w:rPr>
          <w:lang w:val="en-GB"/>
        </w:rPr>
      </w:r>
      <w:r w:rsidRPr="00305E0F">
        <w:rPr>
          <w:lang w:val="en-GB"/>
        </w:rPr>
        <w:fldChar w:fldCharType="separate"/>
      </w:r>
      <w:r w:rsidR="00594C05" w:rsidRPr="00305E0F">
        <w:rPr>
          <w:lang w:val="en-GB"/>
        </w:rPr>
        <w:t>25</w:t>
      </w:r>
      <w:r w:rsidRPr="00305E0F">
        <w:rPr>
          <w:lang w:val="en-GB"/>
        </w:rPr>
        <w:fldChar w:fldCharType="end"/>
      </w:r>
      <w:r w:rsidRPr="00305E0F">
        <w:rPr>
          <w:lang w:val="en-GB"/>
        </w:rPr>
        <w:t xml:space="preserve">, the National Bank of Moldova may exclude from the retail exposure class secured by residential property referred to in </w:t>
      </w:r>
      <w:r w:rsidR="00E64DA7" w:rsidRPr="00305E0F">
        <w:rPr>
          <w:lang w:val="en-GB"/>
        </w:rPr>
        <w:t>sub-</w:t>
      </w:r>
      <w:r w:rsidRPr="00305E0F">
        <w:rPr>
          <w:lang w:val="en-GB"/>
        </w:rPr>
        <w:t xml:space="preserve">paragraph </w:t>
      </w:r>
      <w:r w:rsidRPr="00305E0F">
        <w:rPr>
          <w:lang w:val="en-GB"/>
        </w:rPr>
        <w:fldChar w:fldCharType="begin"/>
      </w:r>
      <w:r w:rsidRPr="00305E0F">
        <w:rPr>
          <w:lang w:val="en-GB"/>
        </w:rPr>
        <w:instrText xml:space="preserve"> REF _Ref214979998 \r \h </w:instrText>
      </w:r>
      <w:r w:rsidRPr="00305E0F">
        <w:rPr>
          <w:lang w:val="en-GB"/>
        </w:rPr>
      </w:r>
      <w:r w:rsidRPr="00305E0F">
        <w:rPr>
          <w:lang w:val="en-GB"/>
        </w:rPr>
        <w:fldChar w:fldCharType="separate"/>
      </w:r>
      <w:r w:rsidR="00594C05" w:rsidRPr="00305E0F">
        <w:rPr>
          <w:lang w:val="en-GB"/>
        </w:rPr>
        <w:t>19.5.2</w:t>
      </w:r>
      <w:r w:rsidRPr="00305E0F">
        <w:rPr>
          <w:lang w:val="en-GB"/>
        </w:rPr>
        <w:fldChar w:fldCharType="end"/>
      </w:r>
      <w:r w:rsidRPr="00305E0F">
        <w:rPr>
          <w:lang w:val="en-GB"/>
        </w:rPr>
        <w:t xml:space="preserve"> loans granted to natural persons who have mortgaged more than four immovable property or residential units, including loans granted to natural persons referred to in</w:t>
      </w:r>
      <w:bookmarkStart w:id="38" w:name="_Hlk205800529"/>
      <w:r w:rsidRPr="00305E0F">
        <w:rPr>
          <w:lang w:val="en-GB"/>
        </w:rPr>
        <w:t xml:space="preserve"> Regulation No 112/2018</w:t>
      </w:r>
      <w:bookmarkEnd w:id="38"/>
      <w:r w:rsidRPr="00305E0F">
        <w:rPr>
          <w:lang w:val="en-GB"/>
        </w:rPr>
        <w:t xml:space="preserve">, and assign such loans to one of the exposure classes referred to in </w:t>
      </w:r>
      <w:r w:rsidR="00E64DA7" w:rsidRPr="00305E0F">
        <w:rPr>
          <w:lang w:val="en-GB"/>
        </w:rPr>
        <w:t>sub-</w:t>
      </w:r>
      <w:r w:rsidRPr="00305E0F">
        <w:rPr>
          <w:lang w:val="en-GB"/>
        </w:rPr>
        <w:t>paragraphs</w:t>
      </w:r>
      <w:r w:rsidR="00E64DA7" w:rsidRPr="00305E0F">
        <w:rPr>
          <w:lang w:val="en-GB"/>
        </w:rPr>
        <w:t xml:space="preserve"> </w:t>
      </w:r>
      <w:r w:rsidRPr="00305E0F">
        <w:rPr>
          <w:lang w:val="en-GB"/>
        </w:rPr>
        <w:fldChar w:fldCharType="begin"/>
      </w:r>
      <w:r w:rsidRPr="00305E0F">
        <w:rPr>
          <w:lang w:val="en-GB"/>
        </w:rPr>
        <w:instrText xml:space="preserve"> REF _Ref214979086 \r \h </w:instrText>
      </w:r>
      <w:r w:rsidRPr="00305E0F">
        <w:rPr>
          <w:lang w:val="en-GB"/>
        </w:rPr>
      </w:r>
      <w:r w:rsidRPr="00305E0F">
        <w:rPr>
          <w:lang w:val="en-GB"/>
        </w:rPr>
        <w:fldChar w:fldCharType="separate"/>
      </w:r>
      <w:r w:rsidR="00594C05" w:rsidRPr="00305E0F">
        <w:rPr>
          <w:lang w:val="en-GB"/>
        </w:rPr>
        <w:t>19.4.1</w:t>
      </w:r>
      <w:r w:rsidRPr="00305E0F">
        <w:rPr>
          <w:lang w:val="en-GB"/>
        </w:rPr>
        <w:fldChar w:fldCharType="end"/>
      </w:r>
      <w:r w:rsidRPr="00305E0F">
        <w:rPr>
          <w:lang w:val="en-GB"/>
        </w:rPr>
        <w:t xml:space="preserve">, </w:t>
      </w:r>
      <w:r w:rsidRPr="00305E0F">
        <w:rPr>
          <w:lang w:val="en-GB"/>
        </w:rPr>
        <w:fldChar w:fldCharType="begin"/>
      </w:r>
      <w:r w:rsidRPr="00305E0F">
        <w:rPr>
          <w:lang w:val="en-GB"/>
        </w:rPr>
        <w:instrText xml:space="preserve"> REF _Ref214979076 \r \h </w:instrText>
      </w:r>
      <w:r w:rsidRPr="00305E0F">
        <w:rPr>
          <w:lang w:val="en-GB"/>
        </w:rPr>
      </w:r>
      <w:r w:rsidRPr="00305E0F">
        <w:rPr>
          <w:lang w:val="en-GB"/>
        </w:rPr>
        <w:fldChar w:fldCharType="separate"/>
      </w:r>
      <w:r w:rsidR="00594C05" w:rsidRPr="00305E0F">
        <w:rPr>
          <w:lang w:val="en-GB"/>
        </w:rPr>
        <w:t>19.4.2</w:t>
      </w:r>
      <w:r w:rsidRPr="00305E0F">
        <w:rPr>
          <w:lang w:val="en-GB"/>
        </w:rPr>
        <w:fldChar w:fldCharType="end"/>
      </w:r>
      <w:r w:rsidRPr="00305E0F">
        <w:rPr>
          <w:lang w:val="en-GB"/>
        </w:rPr>
        <w:t xml:space="preserve"> or</w:t>
      </w:r>
      <w:r w:rsidR="00E64DA7" w:rsidRPr="00305E0F">
        <w:rPr>
          <w:lang w:val="en-GB"/>
        </w:rPr>
        <w:t xml:space="preserve"> </w:t>
      </w:r>
      <w:r w:rsidRPr="00305E0F">
        <w:rPr>
          <w:lang w:val="en-GB"/>
        </w:rPr>
        <w:fldChar w:fldCharType="begin"/>
      </w:r>
      <w:r w:rsidRPr="00305E0F">
        <w:rPr>
          <w:lang w:val="en-GB"/>
        </w:rPr>
        <w:instrText xml:space="preserve"> REF _Ref214979065 \r \h </w:instrText>
      </w:r>
      <w:r w:rsidRPr="00305E0F">
        <w:rPr>
          <w:lang w:val="en-GB"/>
        </w:rPr>
      </w:r>
      <w:r w:rsidRPr="00305E0F">
        <w:rPr>
          <w:lang w:val="en-GB"/>
        </w:rPr>
        <w:fldChar w:fldCharType="separate"/>
      </w:r>
      <w:r w:rsidR="00594C05" w:rsidRPr="00305E0F">
        <w:rPr>
          <w:lang w:val="en-GB"/>
        </w:rPr>
        <w:t>19.4.3</w:t>
      </w:r>
      <w:r w:rsidRPr="00305E0F">
        <w:rPr>
          <w:lang w:val="en-GB"/>
        </w:rPr>
        <w:fldChar w:fldCharType="end"/>
      </w:r>
      <w:r w:rsidRPr="00305E0F">
        <w:rPr>
          <w:lang w:val="en-GB"/>
        </w:rPr>
        <w:t>.</w:t>
      </w:r>
    </w:p>
    <w:p w14:paraId="66F4426B" w14:textId="28078609" w:rsidR="00EB0050" w:rsidRPr="00305E0F" w:rsidRDefault="00B02122">
      <w:pPr>
        <w:pStyle w:val="oj-normal"/>
        <w:numPr>
          <w:ilvl w:val="0"/>
          <w:numId w:val="2"/>
        </w:numPr>
        <w:spacing w:before="0" w:beforeAutospacing="0" w:after="0" w:afterAutospacing="0"/>
        <w:ind w:firstLine="567"/>
        <w:jc w:val="both"/>
        <w:rPr>
          <w:lang w:val="en-GB"/>
        </w:rPr>
      </w:pPr>
      <w:r w:rsidRPr="00305E0F">
        <w:rPr>
          <w:lang w:val="en-GB"/>
        </w:rPr>
        <w:t>Retail exposures belonging to a type of exposures that meet all of the following conditions shall be assigned to the QRRE exposure class referred to in p</w:t>
      </w:r>
      <w:r w:rsidR="00E73018" w:rsidRPr="00305E0F">
        <w:rPr>
          <w:lang w:val="en-GB"/>
        </w:rPr>
        <w:t xml:space="preserve">aragraph </w:t>
      </w:r>
      <w:r w:rsidRPr="00305E0F">
        <w:rPr>
          <w:lang w:val="en-GB"/>
        </w:rPr>
        <w:fldChar w:fldCharType="begin"/>
      </w:r>
      <w:r w:rsidRPr="00305E0F">
        <w:rPr>
          <w:lang w:val="en-GB"/>
        </w:rPr>
        <w:instrText xml:space="preserve"> REF _Ref214980878 \r \h </w:instrText>
      </w:r>
      <w:r w:rsidRPr="00305E0F">
        <w:rPr>
          <w:lang w:val="en-GB"/>
        </w:rPr>
      </w:r>
      <w:r w:rsidRPr="00305E0F">
        <w:rPr>
          <w:lang w:val="en-GB"/>
        </w:rPr>
        <w:fldChar w:fldCharType="separate"/>
      </w:r>
      <w:r w:rsidR="00594C05" w:rsidRPr="00305E0F">
        <w:rPr>
          <w:lang w:val="en-GB"/>
        </w:rPr>
        <w:t>19.5.1</w:t>
      </w:r>
      <w:r w:rsidRPr="00305E0F">
        <w:rPr>
          <w:lang w:val="en-GB"/>
        </w:rPr>
        <w:fldChar w:fldCharType="end"/>
      </w:r>
      <w:r w:rsidRPr="00305E0F">
        <w:rPr>
          <w:lang w:val="en-GB"/>
        </w:rPr>
        <w:t>:</w:t>
      </w:r>
    </w:p>
    <w:p w14:paraId="43A4E028" w14:textId="6497884A" w:rsidR="00EB0050" w:rsidRPr="00305E0F" w:rsidRDefault="00B02122">
      <w:pPr>
        <w:pStyle w:val="P68B1DB1-ListParagraph12"/>
        <w:numPr>
          <w:ilvl w:val="1"/>
          <w:numId w:val="2"/>
        </w:numPr>
        <w:spacing w:line="240" w:lineRule="auto"/>
        <w:jc w:val="both"/>
        <w:rPr>
          <w:lang w:val="en-GB"/>
        </w:rPr>
      </w:pPr>
      <w:r w:rsidRPr="00305E0F">
        <w:rPr>
          <w:lang w:val="en-GB"/>
        </w:rPr>
        <w:lastRenderedPageBreak/>
        <w:t>Such exposures shall be to one or more natural persons;</w:t>
      </w:r>
    </w:p>
    <w:p w14:paraId="27383DD8" w14:textId="5389C57F" w:rsidR="00EB0050" w:rsidRPr="00305E0F" w:rsidRDefault="00B02122">
      <w:pPr>
        <w:pStyle w:val="P68B1DB1-ListParagraph12"/>
        <w:numPr>
          <w:ilvl w:val="1"/>
          <w:numId w:val="2"/>
        </w:numPr>
        <w:spacing w:line="240" w:lineRule="auto"/>
        <w:jc w:val="both"/>
        <w:rPr>
          <w:lang w:val="en-GB"/>
        </w:rPr>
      </w:pPr>
      <w:bookmarkStart w:id="39" w:name="_Ref214982320"/>
      <w:r w:rsidRPr="00305E0F">
        <w:rPr>
          <w:lang w:val="en-GB"/>
        </w:rPr>
        <w:t xml:space="preserve">Such exposures shall be revolving, unsecured and, to the extent that they are not </w:t>
      </w:r>
      <w:r w:rsidR="00E73018" w:rsidRPr="00305E0F">
        <w:rPr>
          <w:lang w:val="en-GB"/>
        </w:rPr>
        <w:t>drawn immediately</w:t>
      </w:r>
      <w:r w:rsidRPr="00305E0F">
        <w:rPr>
          <w:lang w:val="en-GB"/>
        </w:rPr>
        <w:t xml:space="preserve"> and unconditionally, may be cancelled by the bank;</w:t>
      </w:r>
      <w:bookmarkEnd w:id="39"/>
      <w:r w:rsidR="00E73018" w:rsidRPr="00305E0F">
        <w:rPr>
          <w:lang w:val="en-GB"/>
        </w:rPr>
        <w:t xml:space="preserve"> </w:t>
      </w:r>
    </w:p>
    <w:p w14:paraId="33A93CBE" w14:textId="1FE6D39D" w:rsidR="00EB0050" w:rsidRPr="00305E0F" w:rsidRDefault="00B02122">
      <w:pPr>
        <w:pStyle w:val="P68B1DB1-ListParagraph12"/>
        <w:numPr>
          <w:ilvl w:val="1"/>
          <w:numId w:val="2"/>
        </w:numPr>
        <w:spacing w:line="240" w:lineRule="auto"/>
        <w:jc w:val="both"/>
        <w:rPr>
          <w:lang w:val="en-GB"/>
        </w:rPr>
      </w:pPr>
      <w:bookmarkStart w:id="40" w:name="_Ref232159315"/>
      <w:r w:rsidRPr="00305E0F">
        <w:rPr>
          <w:lang w:val="en-GB"/>
        </w:rPr>
        <w:t>The maximum exposure in this type of exposure to a single natural person shall be the equivalent in MDL of EUR 100</w:t>
      </w:r>
      <w:r w:rsidR="00E73018" w:rsidRPr="00305E0F">
        <w:rPr>
          <w:lang w:val="en-GB"/>
        </w:rPr>
        <w:t xml:space="preserve"> </w:t>
      </w:r>
      <w:r w:rsidRPr="00305E0F">
        <w:rPr>
          <w:lang w:val="en-GB"/>
        </w:rPr>
        <w:t>000 or less;</w:t>
      </w:r>
      <w:bookmarkEnd w:id="40"/>
    </w:p>
    <w:p w14:paraId="7E8C247B" w14:textId="66E0D9BB" w:rsidR="00EB0050" w:rsidRPr="00305E0F" w:rsidRDefault="00B02122">
      <w:pPr>
        <w:pStyle w:val="P68B1DB1-ListParagraph12"/>
        <w:numPr>
          <w:ilvl w:val="1"/>
          <w:numId w:val="2"/>
        </w:numPr>
        <w:spacing w:line="240" w:lineRule="auto"/>
        <w:jc w:val="both"/>
        <w:rPr>
          <w:lang w:val="en-GB"/>
        </w:rPr>
      </w:pPr>
      <w:r w:rsidRPr="00305E0F">
        <w:rPr>
          <w:lang w:val="en-GB"/>
        </w:rPr>
        <w:t xml:space="preserve">This type of exposures exhibited low volatility of loss rates relative to the average level of loss rates, in particular </w:t>
      </w:r>
      <w:r w:rsidR="00E73018" w:rsidRPr="00305E0F">
        <w:rPr>
          <w:lang w:val="en-GB"/>
        </w:rPr>
        <w:t>within the low PD bands</w:t>
      </w:r>
      <w:r w:rsidRPr="00305E0F">
        <w:rPr>
          <w:lang w:val="en-GB"/>
        </w:rPr>
        <w:t>;</w:t>
      </w:r>
      <w:r w:rsidR="00E73018" w:rsidRPr="00305E0F">
        <w:rPr>
          <w:lang w:val="en-GB"/>
        </w:rPr>
        <w:t xml:space="preserve"> </w:t>
      </w:r>
    </w:p>
    <w:p w14:paraId="61606C41" w14:textId="1DEE1184" w:rsidR="00EB0050" w:rsidRPr="00305E0F" w:rsidRDefault="00B02122">
      <w:pPr>
        <w:pStyle w:val="P68B1DB1-ListParagraph12"/>
        <w:numPr>
          <w:ilvl w:val="1"/>
          <w:numId w:val="2"/>
        </w:numPr>
        <w:spacing w:after="0" w:line="240" w:lineRule="auto"/>
        <w:contextualSpacing w:val="0"/>
        <w:jc w:val="both"/>
        <w:rPr>
          <w:lang w:val="en-GB"/>
        </w:rPr>
      </w:pPr>
      <w:r w:rsidRPr="00305E0F">
        <w:rPr>
          <w:lang w:val="en-GB"/>
        </w:rPr>
        <w:t>The treatment of exposures assigned to this type of exposures as eligible revolving retail exposures is consistent with the risk characteristics of this type of exposures.</w:t>
      </w:r>
    </w:p>
    <w:p w14:paraId="4B25F745" w14:textId="4B4E3E3E" w:rsidR="00EB0050" w:rsidRPr="00305E0F" w:rsidRDefault="00B02122">
      <w:pPr>
        <w:pStyle w:val="oj-normal"/>
        <w:numPr>
          <w:ilvl w:val="0"/>
          <w:numId w:val="2"/>
        </w:numPr>
        <w:spacing w:before="0" w:beforeAutospacing="0" w:after="0" w:afterAutospacing="0"/>
        <w:ind w:firstLine="567"/>
        <w:jc w:val="both"/>
        <w:rPr>
          <w:lang w:val="en-GB"/>
        </w:rPr>
      </w:pPr>
      <w:r w:rsidRPr="00305E0F">
        <w:rPr>
          <w:lang w:val="en-GB"/>
        </w:rPr>
        <w:t>By way of derogation from p</w:t>
      </w:r>
      <w:r w:rsidR="00E73018" w:rsidRPr="00305E0F">
        <w:rPr>
          <w:lang w:val="en-GB"/>
        </w:rPr>
        <w:t xml:space="preserve">aragraph </w:t>
      </w:r>
      <w:r w:rsidRPr="00305E0F">
        <w:rPr>
          <w:lang w:val="en-GB"/>
        </w:rPr>
        <w:fldChar w:fldCharType="begin"/>
      </w:r>
      <w:r w:rsidRPr="00305E0F">
        <w:rPr>
          <w:lang w:val="en-GB"/>
        </w:rPr>
        <w:instrText xml:space="preserve"> REF _Ref214982320 \r \h </w:instrText>
      </w:r>
      <w:r w:rsidRPr="00305E0F">
        <w:rPr>
          <w:lang w:val="en-GB"/>
        </w:rPr>
      </w:r>
      <w:r w:rsidRPr="00305E0F">
        <w:rPr>
          <w:lang w:val="en-GB"/>
        </w:rPr>
        <w:fldChar w:fldCharType="separate"/>
      </w:r>
      <w:r w:rsidR="00594C05" w:rsidRPr="00305E0F">
        <w:rPr>
          <w:lang w:val="en-GB"/>
        </w:rPr>
        <w:t>27.2</w:t>
      </w:r>
      <w:r w:rsidRPr="00305E0F">
        <w:rPr>
          <w:lang w:val="en-GB"/>
        </w:rPr>
        <w:fldChar w:fldCharType="end"/>
      </w:r>
      <w:r w:rsidRPr="00305E0F">
        <w:rPr>
          <w:lang w:val="en-GB"/>
        </w:rPr>
        <w:t xml:space="preserve">, the requirement to be unsecured </w:t>
      </w:r>
      <w:r w:rsidR="00E73018" w:rsidRPr="00305E0F">
        <w:rPr>
          <w:lang w:val="en-GB"/>
        </w:rPr>
        <w:t>shall not apply in respect of collateralised credit facilities linked to a wage account</w:t>
      </w:r>
      <w:r w:rsidRPr="00305E0F">
        <w:rPr>
          <w:lang w:val="en-GB"/>
        </w:rPr>
        <w:t>. In this case, the amounts recovered through the enforcement of the collateral shall not be taken into account in the LGD estimates.</w:t>
      </w:r>
    </w:p>
    <w:p w14:paraId="0A8BDD00" w14:textId="4EA8418D" w:rsidR="00EB0050" w:rsidRPr="00305E0F" w:rsidRDefault="00B02122">
      <w:pPr>
        <w:pStyle w:val="oj-normal"/>
        <w:numPr>
          <w:ilvl w:val="0"/>
          <w:numId w:val="2"/>
        </w:numPr>
        <w:spacing w:before="0" w:beforeAutospacing="0" w:after="0" w:afterAutospacing="0"/>
        <w:ind w:firstLine="567"/>
        <w:jc w:val="both"/>
        <w:rPr>
          <w:lang w:val="en-GB"/>
        </w:rPr>
      </w:pPr>
      <w:r w:rsidRPr="00305E0F">
        <w:rPr>
          <w:lang w:val="en-GB"/>
        </w:rPr>
        <w:t>Banks shall identify, within the QRRE exposure class referred to in paragraph</w:t>
      </w:r>
      <w:r w:rsidR="00E73018" w:rsidRPr="00305E0F">
        <w:rPr>
          <w:lang w:val="en-GB"/>
        </w:rPr>
        <w:t xml:space="preserve"> </w:t>
      </w:r>
      <w:r w:rsidRPr="00305E0F">
        <w:rPr>
          <w:lang w:val="en-GB"/>
        </w:rPr>
        <w:fldChar w:fldCharType="begin"/>
      </w:r>
      <w:r w:rsidRPr="00305E0F">
        <w:rPr>
          <w:lang w:val="en-GB"/>
        </w:rPr>
        <w:instrText xml:space="preserve"> REF _Ref214980878 \r \h </w:instrText>
      </w:r>
      <w:r w:rsidRPr="00305E0F">
        <w:rPr>
          <w:lang w:val="en-GB"/>
        </w:rPr>
      </w:r>
      <w:r w:rsidRPr="00305E0F">
        <w:rPr>
          <w:lang w:val="en-GB"/>
        </w:rPr>
        <w:fldChar w:fldCharType="separate"/>
      </w:r>
      <w:r w:rsidR="00594C05" w:rsidRPr="00305E0F">
        <w:rPr>
          <w:lang w:val="en-GB"/>
        </w:rPr>
        <w:t>19.5.1</w:t>
      </w:r>
      <w:r w:rsidRPr="00305E0F">
        <w:rPr>
          <w:lang w:val="en-GB"/>
        </w:rPr>
        <w:fldChar w:fldCharType="end"/>
      </w:r>
      <w:r w:rsidRPr="00305E0F">
        <w:rPr>
          <w:lang w:val="en-GB"/>
        </w:rPr>
        <w:t>, exposures to traders (</w:t>
      </w:r>
      <w:r w:rsidR="00E73018" w:rsidRPr="00305E0F">
        <w:rPr>
          <w:lang w:val="en-GB"/>
        </w:rPr>
        <w:t>“</w:t>
      </w:r>
      <w:r w:rsidRPr="00305E0F">
        <w:rPr>
          <w:lang w:val="en-GB"/>
        </w:rPr>
        <w:t xml:space="preserve">QRRE </w:t>
      </w:r>
      <w:r w:rsidR="00E73018" w:rsidRPr="00305E0F">
        <w:rPr>
          <w:lang w:val="en-GB"/>
        </w:rPr>
        <w:t>transactors”</w:t>
      </w:r>
      <w:r w:rsidRPr="00305E0F">
        <w:rPr>
          <w:lang w:val="en-GB"/>
        </w:rPr>
        <w:t>) and exposures that are not exposures to traders (</w:t>
      </w:r>
      <w:r w:rsidR="00E73018" w:rsidRPr="00305E0F">
        <w:rPr>
          <w:lang w:val="en-GB"/>
        </w:rPr>
        <w:t>“</w:t>
      </w:r>
      <w:r w:rsidRPr="00305E0F">
        <w:rPr>
          <w:lang w:val="en-GB"/>
        </w:rPr>
        <w:t xml:space="preserve">QRRE </w:t>
      </w:r>
      <w:r w:rsidR="00E73018" w:rsidRPr="00305E0F">
        <w:rPr>
          <w:lang w:val="en-GB"/>
        </w:rPr>
        <w:t>revolvers”</w:t>
      </w:r>
      <w:r w:rsidRPr="00305E0F">
        <w:rPr>
          <w:lang w:val="en-GB"/>
        </w:rPr>
        <w:t xml:space="preserve">). In particular, QRREs with a repayment history of less than 12 months are identified as QRREs </w:t>
      </w:r>
      <w:r w:rsidR="00E73018" w:rsidRPr="00305E0F">
        <w:rPr>
          <w:lang w:val="en-GB"/>
        </w:rPr>
        <w:t>revolvers</w:t>
      </w:r>
      <w:r w:rsidRPr="00305E0F">
        <w:rPr>
          <w:lang w:val="en-GB"/>
        </w:rPr>
        <w:t>.</w:t>
      </w:r>
      <w:r w:rsidR="00EA2F85" w:rsidRPr="00305E0F">
        <w:rPr>
          <w:lang w:val="en-GB"/>
        </w:rPr>
        <w:t xml:space="preserve"> </w:t>
      </w:r>
    </w:p>
    <w:p w14:paraId="32A9EEB1" w14:textId="3A6576A8" w:rsidR="00EB0050" w:rsidRPr="00305E0F" w:rsidRDefault="00B02122">
      <w:pPr>
        <w:pStyle w:val="ListParagraph"/>
        <w:numPr>
          <w:ilvl w:val="0"/>
          <w:numId w:val="2"/>
        </w:numPr>
        <w:spacing w:after="0" w:line="240" w:lineRule="auto"/>
        <w:ind w:firstLine="567"/>
        <w:jc w:val="both"/>
        <w:rPr>
          <w:rFonts w:ascii="Times New Roman" w:hAnsi="Times New Roman" w:cs="Times New Roman"/>
          <w:sz w:val="24"/>
          <w:szCs w:val="24"/>
          <w:lang w:val="en-GB"/>
        </w:rPr>
      </w:pPr>
      <w:bookmarkStart w:id="41" w:name="_Hlk205806238"/>
      <w:r w:rsidRPr="00305E0F">
        <w:rPr>
          <w:rFonts w:ascii="Times New Roman" w:hAnsi="Times New Roman" w:cs="Times New Roman"/>
          <w:sz w:val="24"/>
          <w:szCs w:val="24"/>
          <w:lang w:val="en-GB"/>
        </w:rPr>
        <w:t xml:space="preserve">Unless assigned to the exposure class in </w:t>
      </w:r>
      <w:bookmarkEnd w:id="41"/>
      <w:r w:rsidR="00EA2F85" w:rsidRPr="00305E0F">
        <w:rPr>
          <w:rFonts w:ascii="Times New Roman" w:hAnsi="Times New Roman" w:cs="Times New Roman"/>
          <w:sz w:val="24"/>
          <w:szCs w:val="24"/>
          <w:lang w:val="en-GB"/>
        </w:rPr>
        <w:t>the</w:t>
      </w:r>
      <w:r w:rsidR="00EA2F85" w:rsidRPr="00305E0F">
        <w:rPr>
          <w:lang w:val="en-GB"/>
        </w:rPr>
        <w:t xml:space="preserve"> form</w:t>
      </w:r>
      <w:r w:rsidRPr="00305E0F">
        <w:rPr>
          <w:rFonts w:ascii="Times New Roman" w:hAnsi="Times New Roman" w:cs="Times New Roman"/>
          <w:sz w:val="24"/>
          <w:szCs w:val="24"/>
          <w:lang w:val="en-GB"/>
        </w:rPr>
        <w:t xml:space="preserve"> of units or shares in a CIU, the equity exposures referred to in </w:t>
      </w:r>
      <w:r w:rsidR="00EA2F85" w:rsidRPr="00305E0F">
        <w:rPr>
          <w:rFonts w:ascii="Times New Roman" w:hAnsi="Times New Roman" w:cs="Times New Roman"/>
          <w:sz w:val="24"/>
          <w:szCs w:val="24"/>
          <w:lang w:val="en-GB"/>
        </w:rPr>
        <w:t>paragraph</w:t>
      </w:r>
      <w:r w:rsidRPr="00305E0F">
        <w:rPr>
          <w:rFonts w:ascii="Times New Roman" w:hAnsi="Times New Roman" w:cs="Times New Roman"/>
          <w:sz w:val="24"/>
          <w:szCs w:val="24"/>
          <w:lang w:val="en-GB"/>
        </w:rPr>
        <w:t xml:space="preserve"> 84 </w:t>
      </w:r>
      <w:bookmarkStart w:id="42" w:name="_Hlk205806268"/>
      <w:r w:rsidRPr="00305E0F">
        <w:rPr>
          <w:rFonts w:ascii="Times New Roman" w:hAnsi="Times New Roman" w:cs="Times New Roman"/>
          <w:sz w:val="24"/>
          <w:szCs w:val="24"/>
          <w:lang w:val="en-GB"/>
        </w:rPr>
        <w:t xml:space="preserve">of Regulation </w:t>
      </w:r>
      <w:r w:rsidR="00EA2F85" w:rsidRPr="00305E0F">
        <w:rPr>
          <w:rFonts w:ascii="Times New Roman" w:hAnsi="Times New Roman" w:cs="Times New Roman"/>
          <w:sz w:val="24"/>
          <w:szCs w:val="24"/>
          <w:lang w:val="en-GB"/>
        </w:rPr>
        <w:t xml:space="preserve">No </w:t>
      </w:r>
      <w:r w:rsidRPr="00305E0F">
        <w:rPr>
          <w:rFonts w:ascii="Times New Roman" w:hAnsi="Times New Roman" w:cs="Times New Roman"/>
          <w:sz w:val="24"/>
          <w:szCs w:val="24"/>
          <w:lang w:val="en-GB"/>
        </w:rPr>
        <w:t>111</w:t>
      </w:r>
      <w:r w:rsidR="00EA2F85" w:rsidRPr="00305E0F">
        <w:rPr>
          <w:rFonts w:ascii="Times New Roman" w:hAnsi="Times New Roman" w:cs="Times New Roman"/>
          <w:sz w:val="24"/>
          <w:szCs w:val="24"/>
          <w:lang w:val="en-GB"/>
        </w:rPr>
        <w:t>/2018</w:t>
      </w:r>
      <w:r w:rsidRPr="00305E0F">
        <w:rPr>
          <w:rFonts w:ascii="Times New Roman" w:hAnsi="Times New Roman" w:cs="Times New Roman"/>
          <w:sz w:val="24"/>
          <w:szCs w:val="24"/>
          <w:lang w:val="en-GB"/>
        </w:rPr>
        <w:t xml:space="preserve"> shall be assigned to the equity exposure class </w:t>
      </w:r>
      <w:bookmarkEnd w:id="42"/>
      <w:r w:rsidRPr="00305E0F">
        <w:rPr>
          <w:rFonts w:ascii="Times New Roman" w:hAnsi="Times New Roman" w:cs="Times New Roman"/>
          <w:sz w:val="24"/>
          <w:szCs w:val="24"/>
          <w:lang w:val="en-GB"/>
        </w:rPr>
        <w:t>referred to in p</w:t>
      </w:r>
      <w:r w:rsidR="00EA2F85" w:rsidRPr="00305E0F">
        <w:rPr>
          <w:rFonts w:ascii="Times New Roman" w:hAnsi="Times New Roman" w:cs="Times New Roman"/>
          <w:sz w:val="24"/>
          <w:szCs w:val="24"/>
          <w:lang w:val="en-GB"/>
        </w:rPr>
        <w:t xml:space="preserve">aragraph </w:t>
      </w:r>
      <w:r w:rsidRPr="00305E0F">
        <w:rPr>
          <w:rFonts w:ascii="Times New Roman" w:hAnsi="Times New Roman" w:cs="Times New Roman"/>
          <w:sz w:val="24"/>
          <w:szCs w:val="24"/>
          <w:lang w:val="en-GB"/>
        </w:rPr>
        <w:fldChar w:fldCharType="begin"/>
      </w:r>
      <w:r w:rsidRPr="00305E0F">
        <w:rPr>
          <w:rFonts w:ascii="Times New Roman" w:hAnsi="Times New Roman" w:cs="Times New Roman"/>
          <w:sz w:val="24"/>
          <w:szCs w:val="24"/>
          <w:lang w:val="en-GB"/>
        </w:rPr>
        <w:instrText xml:space="preserve"> REF _Ref214984449 \r \h </w:instrText>
      </w:r>
      <w:r w:rsidRPr="00305E0F">
        <w:rPr>
          <w:rFonts w:ascii="Times New Roman" w:hAnsi="Times New Roman" w:cs="Times New Roman"/>
          <w:sz w:val="24"/>
          <w:szCs w:val="24"/>
          <w:lang w:val="en-GB"/>
        </w:rPr>
      </w:r>
      <w:r w:rsidRPr="00305E0F">
        <w:rPr>
          <w:rFonts w:ascii="Times New Roman" w:hAnsi="Times New Roman" w:cs="Times New Roman"/>
          <w:sz w:val="24"/>
          <w:szCs w:val="24"/>
          <w:lang w:val="en-GB"/>
        </w:rPr>
        <w:fldChar w:fldCharType="separate"/>
      </w:r>
      <w:r w:rsidR="00594C05" w:rsidRPr="00305E0F">
        <w:rPr>
          <w:rFonts w:ascii="Times New Roman" w:hAnsi="Times New Roman" w:cs="Times New Roman"/>
          <w:sz w:val="24"/>
          <w:szCs w:val="24"/>
          <w:lang w:val="en-GB"/>
        </w:rPr>
        <w:t>19.6</w:t>
      </w:r>
      <w:r w:rsidRPr="00305E0F">
        <w:rPr>
          <w:rFonts w:ascii="Times New Roman" w:hAnsi="Times New Roman" w:cs="Times New Roman"/>
          <w:sz w:val="24"/>
          <w:szCs w:val="24"/>
          <w:lang w:val="en-GB"/>
        </w:rPr>
        <w:fldChar w:fldCharType="end"/>
      </w:r>
      <w:r w:rsidRPr="00305E0F">
        <w:rPr>
          <w:rFonts w:ascii="Times New Roman" w:hAnsi="Times New Roman" w:cs="Times New Roman"/>
          <w:sz w:val="24"/>
          <w:szCs w:val="24"/>
          <w:lang w:val="en-GB"/>
        </w:rPr>
        <w:t>.</w:t>
      </w:r>
    </w:p>
    <w:p w14:paraId="3C36BDCA" w14:textId="12E7636D" w:rsidR="00EB0050" w:rsidRPr="00305E0F" w:rsidRDefault="00B02122">
      <w:pPr>
        <w:pStyle w:val="P68B1DB1-ListParagraph12"/>
        <w:numPr>
          <w:ilvl w:val="0"/>
          <w:numId w:val="2"/>
        </w:numPr>
        <w:spacing w:after="0" w:line="240" w:lineRule="auto"/>
        <w:ind w:firstLine="567"/>
        <w:jc w:val="both"/>
        <w:rPr>
          <w:lang w:val="en-GB"/>
        </w:rPr>
      </w:pPr>
      <w:r w:rsidRPr="00305E0F">
        <w:rPr>
          <w:lang w:val="en-GB"/>
        </w:rPr>
        <w:t xml:space="preserve">Any credit obligation that is not assigned to the exposure classes referred to in </w:t>
      </w:r>
      <w:r w:rsidR="00EA2F85" w:rsidRPr="00305E0F">
        <w:rPr>
          <w:lang w:val="en-GB"/>
        </w:rPr>
        <w:t xml:space="preserve">sub-paragraphs </w:t>
      </w:r>
      <w:r w:rsidRPr="00305E0F">
        <w:rPr>
          <w:lang w:val="en-GB"/>
        </w:rPr>
        <w:fldChar w:fldCharType="begin"/>
      </w:r>
      <w:r w:rsidRPr="00305E0F">
        <w:rPr>
          <w:lang w:val="en-GB"/>
        </w:rPr>
        <w:instrText xml:space="preserve"> REF _Ref214974472 \r \h </w:instrText>
      </w:r>
      <w:r w:rsidRPr="00305E0F">
        <w:rPr>
          <w:lang w:val="en-GB"/>
        </w:rPr>
      </w:r>
      <w:r w:rsidRPr="00305E0F">
        <w:rPr>
          <w:lang w:val="en-GB"/>
        </w:rPr>
        <w:fldChar w:fldCharType="separate"/>
      </w:r>
      <w:r w:rsidR="00594C05" w:rsidRPr="00305E0F">
        <w:rPr>
          <w:lang w:val="en-GB"/>
        </w:rPr>
        <w:t>19</w:t>
      </w:r>
      <w:r w:rsidRPr="00305E0F">
        <w:rPr>
          <w:lang w:val="en-GB"/>
        </w:rPr>
        <w:fldChar w:fldCharType="end"/>
      </w:r>
      <w:r w:rsidRPr="00305E0F">
        <w:rPr>
          <w:lang w:val="en-GB"/>
        </w:rPr>
        <w:fldChar w:fldCharType="begin"/>
      </w:r>
      <w:r w:rsidRPr="00305E0F">
        <w:rPr>
          <w:lang w:val="en-GB"/>
        </w:rPr>
        <w:instrText xml:space="preserve"> REF _Ref214973612 \r \h </w:instrText>
      </w:r>
      <w:r w:rsidRPr="00305E0F">
        <w:rPr>
          <w:lang w:val="en-GB"/>
        </w:rPr>
      </w:r>
      <w:r w:rsidRPr="00305E0F">
        <w:rPr>
          <w:lang w:val="en-GB"/>
        </w:rPr>
        <w:fldChar w:fldCharType="separate"/>
      </w:r>
      <w:r w:rsidR="00594C05" w:rsidRPr="00305E0F">
        <w:rPr>
          <w:lang w:val="en-GB"/>
        </w:rPr>
        <w:t>.1</w:t>
      </w:r>
      <w:r w:rsidRPr="00305E0F">
        <w:rPr>
          <w:lang w:val="en-GB"/>
        </w:rPr>
        <w:fldChar w:fldCharType="end"/>
      </w:r>
      <w:r w:rsidRPr="00305E0F">
        <w:rPr>
          <w:lang w:val="en-GB"/>
        </w:rPr>
        <w:t>,</w:t>
      </w:r>
      <w:r w:rsidR="00BD1923" w:rsidRPr="00305E0F">
        <w:rPr>
          <w:lang w:val="en-GB"/>
        </w:rPr>
        <w:t xml:space="preserve"> </w:t>
      </w:r>
      <w:r w:rsidRPr="00305E0F">
        <w:rPr>
          <w:lang w:val="en-GB"/>
        </w:rPr>
        <w:fldChar w:fldCharType="begin"/>
      </w:r>
      <w:r w:rsidRPr="00305E0F">
        <w:rPr>
          <w:lang w:val="en-GB"/>
        </w:rPr>
        <w:instrText xml:space="preserve"> REF _Ref214974754 \r \h </w:instrText>
      </w:r>
      <w:r w:rsidRPr="00305E0F">
        <w:rPr>
          <w:lang w:val="en-GB"/>
        </w:rPr>
      </w:r>
      <w:r w:rsidRPr="00305E0F">
        <w:rPr>
          <w:lang w:val="en-GB"/>
        </w:rPr>
        <w:fldChar w:fldCharType="separate"/>
      </w:r>
      <w:r w:rsidR="00594C05" w:rsidRPr="00305E0F">
        <w:rPr>
          <w:lang w:val="en-GB"/>
        </w:rPr>
        <w:t>19.2</w:t>
      </w:r>
      <w:r w:rsidRPr="00305E0F">
        <w:rPr>
          <w:lang w:val="en-GB"/>
        </w:rPr>
        <w:fldChar w:fldCharType="end"/>
      </w:r>
      <w:r w:rsidRPr="00305E0F">
        <w:rPr>
          <w:lang w:val="en-GB"/>
        </w:rPr>
        <w:t>,</w:t>
      </w:r>
      <w:r w:rsidR="00BD1923" w:rsidRPr="00305E0F">
        <w:rPr>
          <w:lang w:val="en-GB"/>
        </w:rPr>
        <w:t xml:space="preserve"> </w:t>
      </w:r>
      <w:r w:rsidRPr="00305E0F">
        <w:rPr>
          <w:lang w:val="en-GB"/>
        </w:rPr>
        <w:fldChar w:fldCharType="begin"/>
      </w:r>
      <w:r w:rsidRPr="00305E0F">
        <w:rPr>
          <w:lang w:val="en-GB"/>
        </w:rPr>
        <w:instrText xml:space="preserve"> REF _Ref214975112 \r \h </w:instrText>
      </w:r>
      <w:r w:rsidRPr="00305E0F">
        <w:rPr>
          <w:lang w:val="en-GB"/>
        </w:rPr>
      </w:r>
      <w:r w:rsidRPr="00305E0F">
        <w:rPr>
          <w:lang w:val="en-GB"/>
        </w:rPr>
        <w:fldChar w:fldCharType="separate"/>
      </w:r>
      <w:r w:rsidR="00594C05" w:rsidRPr="00305E0F">
        <w:rPr>
          <w:lang w:val="en-GB"/>
        </w:rPr>
        <w:t>19.5</w:t>
      </w:r>
      <w:r w:rsidRPr="00305E0F">
        <w:rPr>
          <w:lang w:val="en-GB"/>
        </w:rPr>
        <w:fldChar w:fldCharType="end"/>
      </w:r>
      <w:r w:rsidRPr="00305E0F">
        <w:rPr>
          <w:lang w:val="en-GB"/>
        </w:rPr>
        <w:t>,</w:t>
      </w:r>
      <w:r w:rsidR="00BD1923" w:rsidRPr="00305E0F">
        <w:rPr>
          <w:lang w:val="en-GB"/>
        </w:rPr>
        <w:t xml:space="preserve"> </w:t>
      </w:r>
      <w:r w:rsidRPr="00305E0F">
        <w:rPr>
          <w:lang w:val="en-GB"/>
        </w:rPr>
        <w:fldChar w:fldCharType="begin"/>
      </w:r>
      <w:r w:rsidRPr="00305E0F">
        <w:rPr>
          <w:lang w:val="en-GB"/>
        </w:rPr>
        <w:instrText xml:space="preserve"> REF _Ref214984449 \r \h </w:instrText>
      </w:r>
      <w:r w:rsidRPr="00305E0F">
        <w:rPr>
          <w:lang w:val="en-GB"/>
        </w:rPr>
      </w:r>
      <w:r w:rsidRPr="00305E0F">
        <w:rPr>
          <w:lang w:val="en-GB"/>
        </w:rPr>
        <w:fldChar w:fldCharType="separate"/>
      </w:r>
      <w:r w:rsidR="00594C05" w:rsidRPr="00305E0F">
        <w:rPr>
          <w:lang w:val="en-GB"/>
        </w:rPr>
        <w:t>19.6</w:t>
      </w:r>
      <w:r w:rsidRPr="00305E0F">
        <w:rPr>
          <w:lang w:val="en-GB"/>
        </w:rPr>
        <w:fldChar w:fldCharType="end"/>
      </w:r>
      <w:r w:rsidRPr="00305E0F">
        <w:rPr>
          <w:lang w:val="en-GB"/>
        </w:rPr>
        <w:t xml:space="preserve">, </w:t>
      </w:r>
      <w:r w:rsidRPr="00305E0F">
        <w:rPr>
          <w:lang w:val="en-GB"/>
        </w:rPr>
        <w:fldChar w:fldCharType="begin"/>
      </w:r>
      <w:r w:rsidRPr="00305E0F">
        <w:rPr>
          <w:lang w:val="en-GB"/>
        </w:rPr>
        <w:instrText xml:space="preserve"> REF _Ref214984959 \r \h </w:instrText>
      </w:r>
      <w:r w:rsidRPr="00305E0F">
        <w:rPr>
          <w:lang w:val="en-GB"/>
        </w:rPr>
      </w:r>
      <w:r w:rsidRPr="00305E0F">
        <w:rPr>
          <w:lang w:val="en-GB"/>
        </w:rPr>
        <w:fldChar w:fldCharType="separate"/>
      </w:r>
      <w:r w:rsidR="00594C05" w:rsidRPr="00305E0F">
        <w:rPr>
          <w:lang w:val="en-GB"/>
        </w:rPr>
        <w:t>19.7</w:t>
      </w:r>
      <w:r w:rsidRPr="00305E0F">
        <w:rPr>
          <w:lang w:val="en-GB"/>
        </w:rPr>
        <w:fldChar w:fldCharType="end"/>
      </w:r>
      <w:r w:rsidRPr="00305E0F">
        <w:rPr>
          <w:lang w:val="en-GB"/>
        </w:rPr>
        <w:t xml:space="preserve"> and </w:t>
      </w:r>
      <w:r w:rsidRPr="00305E0F">
        <w:rPr>
          <w:lang w:val="en-GB"/>
        </w:rPr>
        <w:fldChar w:fldCharType="begin"/>
      </w:r>
      <w:r w:rsidRPr="00305E0F">
        <w:rPr>
          <w:lang w:val="en-GB"/>
        </w:rPr>
        <w:instrText xml:space="preserve"> REF _Ref214984969 \r \h </w:instrText>
      </w:r>
      <w:r w:rsidRPr="00305E0F">
        <w:rPr>
          <w:lang w:val="en-GB"/>
        </w:rPr>
      </w:r>
      <w:r w:rsidRPr="00305E0F">
        <w:rPr>
          <w:lang w:val="en-GB"/>
        </w:rPr>
        <w:fldChar w:fldCharType="separate"/>
      </w:r>
      <w:r w:rsidR="00594C05" w:rsidRPr="00305E0F">
        <w:rPr>
          <w:lang w:val="en-GB"/>
        </w:rPr>
        <w:t>19.8</w:t>
      </w:r>
      <w:r w:rsidRPr="00305E0F">
        <w:rPr>
          <w:lang w:val="en-GB"/>
        </w:rPr>
        <w:fldChar w:fldCharType="end"/>
      </w:r>
      <w:r w:rsidRPr="00305E0F">
        <w:rPr>
          <w:lang w:val="en-GB"/>
        </w:rPr>
        <w:t xml:space="preserve"> that is assigned to one of the exposure classes referred to in </w:t>
      </w:r>
      <w:r w:rsidR="00EA2F85" w:rsidRPr="00305E0F">
        <w:rPr>
          <w:lang w:val="en-GB"/>
        </w:rPr>
        <w:t xml:space="preserve">sub-paragraph </w:t>
      </w:r>
      <w:r w:rsidRPr="00305E0F">
        <w:rPr>
          <w:lang w:val="en-GB"/>
        </w:rPr>
        <w:fldChar w:fldCharType="begin"/>
      </w:r>
      <w:r w:rsidRPr="00305E0F">
        <w:rPr>
          <w:lang w:val="en-GB"/>
        </w:rPr>
        <w:instrText xml:space="preserve"> REF _Ref214978989 \r \h </w:instrText>
      </w:r>
      <w:r w:rsidRPr="00305E0F">
        <w:rPr>
          <w:lang w:val="en-GB"/>
        </w:rPr>
      </w:r>
      <w:r w:rsidRPr="00305E0F">
        <w:rPr>
          <w:lang w:val="en-GB"/>
        </w:rPr>
        <w:fldChar w:fldCharType="separate"/>
      </w:r>
      <w:r w:rsidR="00594C05" w:rsidRPr="00305E0F">
        <w:rPr>
          <w:lang w:val="en-GB"/>
        </w:rPr>
        <w:t>19.4</w:t>
      </w:r>
      <w:r w:rsidRPr="00305E0F">
        <w:rPr>
          <w:lang w:val="en-GB"/>
        </w:rPr>
        <w:fldChar w:fldCharType="end"/>
      </w:r>
      <w:r w:rsidRPr="00305E0F">
        <w:rPr>
          <w:lang w:val="en-GB"/>
        </w:rPr>
        <w:t xml:space="preserve"> </w:t>
      </w:r>
      <w:r w:rsidR="00EA2F85" w:rsidRPr="00305E0F">
        <w:rPr>
          <w:lang w:val="en-GB"/>
        </w:rPr>
        <w:t xml:space="preserve">sub-paragraphs </w:t>
      </w:r>
      <w:r w:rsidRPr="00305E0F">
        <w:rPr>
          <w:lang w:val="en-GB"/>
        </w:rPr>
        <w:fldChar w:fldCharType="begin"/>
      </w:r>
      <w:r w:rsidRPr="00305E0F">
        <w:rPr>
          <w:lang w:val="en-GB"/>
        </w:rPr>
        <w:instrText xml:space="preserve"> REF _Ref214979086 \r \h </w:instrText>
      </w:r>
      <w:r w:rsidRPr="00305E0F">
        <w:rPr>
          <w:lang w:val="en-GB"/>
        </w:rPr>
      </w:r>
      <w:r w:rsidRPr="00305E0F">
        <w:rPr>
          <w:lang w:val="en-GB"/>
        </w:rPr>
        <w:fldChar w:fldCharType="separate"/>
      </w:r>
      <w:r w:rsidR="00594C05" w:rsidRPr="00305E0F">
        <w:rPr>
          <w:lang w:val="en-GB"/>
        </w:rPr>
        <w:t>19.4.1</w:t>
      </w:r>
      <w:r w:rsidRPr="00305E0F">
        <w:rPr>
          <w:lang w:val="en-GB"/>
        </w:rPr>
        <w:fldChar w:fldCharType="end"/>
      </w:r>
      <w:r w:rsidRPr="00305E0F">
        <w:rPr>
          <w:lang w:val="en-GB"/>
        </w:rPr>
        <w:t xml:space="preserve">, </w:t>
      </w:r>
      <w:r w:rsidRPr="00305E0F">
        <w:rPr>
          <w:lang w:val="en-GB"/>
        </w:rPr>
        <w:fldChar w:fldCharType="begin"/>
      </w:r>
      <w:r w:rsidRPr="00305E0F">
        <w:rPr>
          <w:lang w:val="en-GB"/>
        </w:rPr>
        <w:instrText xml:space="preserve"> REF _Ref214979076 \r \h </w:instrText>
      </w:r>
      <w:r w:rsidRPr="00305E0F">
        <w:rPr>
          <w:lang w:val="en-GB"/>
        </w:rPr>
      </w:r>
      <w:r w:rsidRPr="00305E0F">
        <w:rPr>
          <w:lang w:val="en-GB"/>
        </w:rPr>
        <w:fldChar w:fldCharType="separate"/>
      </w:r>
      <w:r w:rsidR="00594C05" w:rsidRPr="00305E0F">
        <w:rPr>
          <w:lang w:val="en-GB"/>
        </w:rPr>
        <w:t>19.4.2</w:t>
      </w:r>
      <w:r w:rsidRPr="00305E0F">
        <w:rPr>
          <w:lang w:val="en-GB"/>
        </w:rPr>
        <w:fldChar w:fldCharType="end"/>
      </w:r>
      <w:r w:rsidRPr="00305E0F">
        <w:rPr>
          <w:lang w:val="en-GB"/>
        </w:rPr>
        <w:t xml:space="preserve"> or</w:t>
      </w:r>
      <w:r w:rsidR="00EA2F85" w:rsidRPr="00305E0F">
        <w:rPr>
          <w:lang w:val="en-GB"/>
        </w:rPr>
        <w:t xml:space="preserve"> </w:t>
      </w:r>
      <w:r w:rsidRPr="00305E0F">
        <w:rPr>
          <w:lang w:val="en-GB"/>
        </w:rPr>
        <w:fldChar w:fldCharType="begin"/>
      </w:r>
      <w:r w:rsidRPr="00305E0F">
        <w:rPr>
          <w:lang w:val="en-GB"/>
        </w:rPr>
        <w:instrText xml:space="preserve"> REF _Ref214979065 \r \h </w:instrText>
      </w:r>
      <w:r w:rsidRPr="00305E0F">
        <w:rPr>
          <w:lang w:val="en-GB"/>
        </w:rPr>
      </w:r>
      <w:r w:rsidRPr="00305E0F">
        <w:rPr>
          <w:lang w:val="en-GB"/>
        </w:rPr>
        <w:fldChar w:fldCharType="separate"/>
      </w:r>
      <w:r w:rsidR="00594C05" w:rsidRPr="00305E0F">
        <w:rPr>
          <w:lang w:val="en-GB"/>
        </w:rPr>
        <w:t>19.4.3</w:t>
      </w:r>
      <w:r w:rsidRPr="00305E0F">
        <w:rPr>
          <w:lang w:val="en-GB"/>
        </w:rPr>
        <w:fldChar w:fldCharType="end"/>
      </w:r>
      <w:r w:rsidRPr="00305E0F">
        <w:rPr>
          <w:lang w:val="en-GB"/>
        </w:rPr>
        <w:t>.</w:t>
      </w:r>
    </w:p>
    <w:p w14:paraId="1B1BBEC9" w14:textId="38D4BC00" w:rsidR="00EB0050" w:rsidRPr="00305E0F" w:rsidRDefault="00B02122">
      <w:pPr>
        <w:pStyle w:val="ListParagraph"/>
        <w:numPr>
          <w:ilvl w:val="0"/>
          <w:numId w:val="2"/>
        </w:numPr>
        <w:spacing w:after="0" w:line="240" w:lineRule="auto"/>
        <w:ind w:firstLine="567"/>
        <w:jc w:val="both"/>
        <w:rPr>
          <w:rFonts w:ascii="Times New Roman" w:hAnsi="Times New Roman" w:cs="Times New Roman"/>
          <w:sz w:val="24"/>
          <w:szCs w:val="24"/>
          <w:lang w:val="en-GB"/>
        </w:rPr>
      </w:pPr>
      <w:bookmarkStart w:id="43" w:name="_Ref214985758"/>
      <w:r w:rsidRPr="00305E0F">
        <w:rPr>
          <w:rFonts w:ascii="Times New Roman" w:hAnsi="Times New Roman" w:cs="Times New Roman"/>
          <w:sz w:val="24"/>
          <w:szCs w:val="24"/>
          <w:lang w:val="en-GB"/>
        </w:rPr>
        <w:t>Within the corporate exposure class</w:t>
      </w:r>
      <w:r w:rsidRPr="00305E0F">
        <w:rPr>
          <w:lang w:val="en-GB"/>
        </w:rPr>
        <w:t xml:space="preserve"> </w:t>
      </w:r>
      <w:r w:rsidRPr="00305E0F">
        <w:rPr>
          <w:rFonts w:ascii="Times New Roman" w:hAnsi="Times New Roman" w:cs="Times New Roman"/>
          <w:sz w:val="24"/>
          <w:szCs w:val="24"/>
          <w:lang w:val="en-GB"/>
        </w:rPr>
        <w:t>referred to in p</w:t>
      </w:r>
      <w:r w:rsidR="00932632" w:rsidRPr="00305E0F">
        <w:rPr>
          <w:rFonts w:ascii="Times New Roman" w:hAnsi="Times New Roman" w:cs="Times New Roman"/>
          <w:sz w:val="24"/>
          <w:szCs w:val="24"/>
          <w:lang w:val="en-GB"/>
        </w:rPr>
        <w:t xml:space="preserve">aragraph </w:t>
      </w:r>
      <w:r w:rsidRPr="00305E0F">
        <w:rPr>
          <w:rFonts w:ascii="Times New Roman" w:hAnsi="Times New Roman" w:cs="Times New Roman"/>
          <w:sz w:val="24"/>
          <w:szCs w:val="24"/>
          <w:lang w:val="en-GB"/>
        </w:rPr>
        <w:fldChar w:fldCharType="begin"/>
      </w:r>
      <w:r w:rsidRPr="00305E0F">
        <w:rPr>
          <w:rFonts w:ascii="Times New Roman" w:hAnsi="Times New Roman" w:cs="Times New Roman"/>
          <w:sz w:val="24"/>
          <w:szCs w:val="24"/>
          <w:lang w:val="en-GB"/>
        </w:rPr>
        <w:instrText xml:space="preserve"> REF _Ref214978989 \r \h </w:instrText>
      </w:r>
      <w:r w:rsidRPr="00305E0F">
        <w:rPr>
          <w:rFonts w:ascii="Times New Roman" w:hAnsi="Times New Roman" w:cs="Times New Roman"/>
          <w:sz w:val="24"/>
          <w:szCs w:val="24"/>
          <w:lang w:val="en-GB"/>
        </w:rPr>
      </w:r>
      <w:r w:rsidRPr="00305E0F">
        <w:rPr>
          <w:rFonts w:ascii="Times New Roman" w:hAnsi="Times New Roman" w:cs="Times New Roman"/>
          <w:sz w:val="24"/>
          <w:szCs w:val="24"/>
          <w:lang w:val="en-GB"/>
        </w:rPr>
        <w:fldChar w:fldCharType="separate"/>
      </w:r>
      <w:r w:rsidR="00594C05" w:rsidRPr="00305E0F">
        <w:rPr>
          <w:rFonts w:ascii="Times New Roman" w:hAnsi="Times New Roman" w:cs="Times New Roman"/>
          <w:sz w:val="24"/>
          <w:szCs w:val="24"/>
          <w:lang w:val="en-GB"/>
        </w:rPr>
        <w:t>19.4</w:t>
      </w:r>
      <w:r w:rsidRPr="00305E0F">
        <w:rPr>
          <w:rFonts w:ascii="Times New Roman" w:hAnsi="Times New Roman" w:cs="Times New Roman"/>
          <w:sz w:val="24"/>
          <w:szCs w:val="24"/>
          <w:lang w:val="en-GB"/>
        </w:rPr>
        <w:fldChar w:fldCharType="end"/>
      </w:r>
      <w:r w:rsidRPr="00305E0F">
        <w:rPr>
          <w:rFonts w:ascii="Times New Roman" w:hAnsi="Times New Roman" w:cs="Times New Roman"/>
          <w:sz w:val="24"/>
          <w:szCs w:val="24"/>
          <w:lang w:val="en-GB"/>
        </w:rPr>
        <w:t>, banks shall separately identify as specialised lending exposures</w:t>
      </w:r>
      <w:r w:rsidR="00932632" w:rsidRPr="00305E0F">
        <w:rPr>
          <w:rFonts w:ascii="Times New Roman" w:hAnsi="Times New Roman" w:cs="Times New Roman"/>
          <w:sz w:val="24"/>
          <w:szCs w:val="24"/>
          <w:lang w:val="en-GB"/>
        </w:rPr>
        <w:t>,</w:t>
      </w:r>
      <w:r w:rsidRPr="00305E0F">
        <w:rPr>
          <w:rFonts w:ascii="Times New Roman" w:hAnsi="Times New Roman" w:cs="Times New Roman"/>
          <w:sz w:val="24"/>
          <w:szCs w:val="24"/>
          <w:lang w:val="en-GB"/>
        </w:rPr>
        <w:t xml:space="preserve"> exposures that have the following characteristics:</w:t>
      </w:r>
      <w:bookmarkEnd w:id="43"/>
    </w:p>
    <w:p w14:paraId="1272D4AD" w14:textId="00FC8CEB" w:rsidR="00EB0050" w:rsidRPr="00305E0F" w:rsidRDefault="00B02122">
      <w:pPr>
        <w:pStyle w:val="P68B1DB1-ListParagraph12"/>
        <w:numPr>
          <w:ilvl w:val="1"/>
          <w:numId w:val="2"/>
        </w:numPr>
        <w:spacing w:after="0" w:line="240" w:lineRule="auto"/>
        <w:jc w:val="both"/>
        <w:rPr>
          <w:lang w:val="en-GB"/>
        </w:rPr>
      </w:pPr>
      <w:r w:rsidRPr="00305E0F">
        <w:rPr>
          <w:lang w:val="en-GB"/>
        </w:rPr>
        <w:t>The exposure is to an entity that was created specifically to fund or manage physical assets or is an economically comparable exposure;</w:t>
      </w:r>
    </w:p>
    <w:p w14:paraId="5A55B867" w14:textId="30D43F7F" w:rsidR="00EB0050" w:rsidRPr="00305E0F" w:rsidRDefault="00B02122">
      <w:pPr>
        <w:pStyle w:val="P68B1DB1-ListParagraph12"/>
        <w:numPr>
          <w:ilvl w:val="1"/>
          <w:numId w:val="2"/>
        </w:numPr>
        <w:spacing w:after="0" w:line="240" w:lineRule="auto"/>
        <w:jc w:val="both"/>
        <w:rPr>
          <w:lang w:val="en-GB"/>
        </w:rPr>
      </w:pPr>
      <w:r w:rsidRPr="00305E0F">
        <w:rPr>
          <w:lang w:val="en-GB"/>
        </w:rPr>
        <w:t xml:space="preserve">The contractual arrangements give the </w:t>
      </w:r>
      <w:r w:rsidR="00932632" w:rsidRPr="00305E0F">
        <w:rPr>
          <w:lang w:val="en-GB"/>
        </w:rPr>
        <w:t>lender</w:t>
      </w:r>
      <w:r w:rsidRPr="00305E0F">
        <w:rPr>
          <w:lang w:val="en-GB"/>
        </w:rPr>
        <w:t xml:space="preserve"> a substantial degree of control over the assets and income it generates;</w:t>
      </w:r>
    </w:p>
    <w:p w14:paraId="2590332B" w14:textId="17FCAAAE" w:rsidR="00EB0050" w:rsidRPr="00305E0F" w:rsidRDefault="00B02122">
      <w:pPr>
        <w:pStyle w:val="P68B1DB1-ListParagraph12"/>
        <w:numPr>
          <w:ilvl w:val="1"/>
          <w:numId w:val="2"/>
        </w:numPr>
        <w:spacing w:after="0" w:line="240" w:lineRule="auto"/>
        <w:jc w:val="both"/>
        <w:rPr>
          <w:lang w:val="en-GB"/>
        </w:rPr>
      </w:pPr>
      <w:r w:rsidRPr="00305E0F">
        <w:rPr>
          <w:lang w:val="en-GB"/>
        </w:rPr>
        <w:t xml:space="preserve">The </w:t>
      </w:r>
      <w:r w:rsidR="00932632" w:rsidRPr="00305E0F">
        <w:rPr>
          <w:lang w:val="en-GB"/>
        </w:rPr>
        <w:t>primary</w:t>
      </w:r>
      <w:r w:rsidRPr="00305E0F">
        <w:rPr>
          <w:lang w:val="en-GB"/>
        </w:rPr>
        <w:t xml:space="preserve"> source of repayment of the obligation is the income generated by the financed assets and not the independent repayment capacity of the company as a whole.</w:t>
      </w:r>
    </w:p>
    <w:p w14:paraId="2807B3BE" w14:textId="7922508F" w:rsidR="00EB0050" w:rsidRPr="00305E0F" w:rsidRDefault="00B02122">
      <w:pPr>
        <w:pStyle w:val="P68B1DB1-ListParagraph12"/>
        <w:keepLines/>
        <w:numPr>
          <w:ilvl w:val="0"/>
          <w:numId w:val="2"/>
        </w:numPr>
        <w:spacing w:after="0" w:line="240" w:lineRule="auto"/>
        <w:ind w:firstLine="567"/>
        <w:jc w:val="both"/>
        <w:rPr>
          <w:lang w:val="en-GB"/>
        </w:rPr>
      </w:pPr>
      <w:r w:rsidRPr="00305E0F">
        <w:rPr>
          <w:lang w:val="en-GB"/>
        </w:rPr>
        <w:t xml:space="preserve">The exposures referred to in </w:t>
      </w:r>
      <w:r w:rsidR="00932632" w:rsidRPr="00305E0F">
        <w:rPr>
          <w:lang w:val="en-GB"/>
        </w:rPr>
        <w:t>paragraph</w:t>
      </w:r>
      <w:r w:rsidRPr="00305E0F">
        <w:rPr>
          <w:lang w:val="en-GB"/>
        </w:rPr>
        <w:t xml:space="preserve"> </w:t>
      </w:r>
      <w:r w:rsidRPr="00305E0F">
        <w:rPr>
          <w:lang w:val="en-GB"/>
        </w:rPr>
        <w:fldChar w:fldCharType="begin"/>
      </w:r>
      <w:r w:rsidRPr="00305E0F">
        <w:rPr>
          <w:lang w:val="en-GB"/>
        </w:rPr>
        <w:instrText xml:space="preserve"> REF _Ref214985758 \r \h </w:instrText>
      </w:r>
      <w:r w:rsidRPr="00305E0F">
        <w:rPr>
          <w:lang w:val="en-GB"/>
        </w:rPr>
      </w:r>
      <w:r w:rsidRPr="00305E0F">
        <w:rPr>
          <w:lang w:val="en-GB"/>
        </w:rPr>
        <w:fldChar w:fldCharType="separate"/>
      </w:r>
      <w:r w:rsidR="00594C05" w:rsidRPr="00305E0F">
        <w:rPr>
          <w:lang w:val="en-GB"/>
        </w:rPr>
        <w:t>32</w:t>
      </w:r>
      <w:r w:rsidRPr="00305E0F">
        <w:rPr>
          <w:lang w:val="en-GB"/>
        </w:rPr>
        <w:fldChar w:fldCharType="end"/>
      </w:r>
      <w:r w:rsidRPr="00305E0F">
        <w:rPr>
          <w:lang w:val="en-GB"/>
        </w:rPr>
        <w:t xml:space="preserve"> shall be assigned to the specialised lending exposure class referred to in </w:t>
      </w:r>
      <w:r w:rsidR="00932632" w:rsidRPr="00305E0F">
        <w:rPr>
          <w:lang w:val="en-GB"/>
        </w:rPr>
        <w:t>sub-paragraph</w:t>
      </w:r>
      <w:r w:rsidRPr="00305E0F">
        <w:rPr>
          <w:lang w:val="en-GB"/>
        </w:rPr>
        <w:t xml:space="preserve"> </w:t>
      </w:r>
      <w:r w:rsidRPr="00305E0F">
        <w:rPr>
          <w:lang w:val="en-GB"/>
        </w:rPr>
        <w:fldChar w:fldCharType="begin"/>
      </w:r>
      <w:r w:rsidRPr="00305E0F">
        <w:rPr>
          <w:lang w:val="en-GB"/>
        </w:rPr>
        <w:instrText xml:space="preserve"> REF _Ref214979076 \r \h </w:instrText>
      </w:r>
      <w:r w:rsidRPr="00305E0F">
        <w:rPr>
          <w:lang w:val="en-GB"/>
        </w:rPr>
      </w:r>
      <w:r w:rsidRPr="00305E0F">
        <w:rPr>
          <w:lang w:val="en-GB"/>
        </w:rPr>
        <w:fldChar w:fldCharType="separate"/>
      </w:r>
      <w:r w:rsidR="00594C05" w:rsidRPr="00305E0F">
        <w:rPr>
          <w:lang w:val="en-GB"/>
        </w:rPr>
        <w:t>19.4.2</w:t>
      </w:r>
      <w:r w:rsidRPr="00305E0F">
        <w:rPr>
          <w:lang w:val="en-GB"/>
        </w:rPr>
        <w:fldChar w:fldCharType="end"/>
      </w:r>
      <w:r w:rsidRPr="00305E0F">
        <w:rPr>
          <w:lang w:val="en-GB"/>
        </w:rPr>
        <w:t xml:space="preserve"> and shall be classified as follows: </w:t>
      </w:r>
      <w:r w:rsidR="00932632" w:rsidRPr="00305E0F">
        <w:rPr>
          <w:lang w:val="en-GB"/>
        </w:rPr>
        <w:t>“</w:t>
      </w:r>
      <w:r w:rsidRPr="00305E0F">
        <w:rPr>
          <w:lang w:val="en-GB"/>
        </w:rPr>
        <w:t>project finance</w:t>
      </w:r>
      <w:r w:rsidR="00932632" w:rsidRPr="00305E0F">
        <w:rPr>
          <w:lang w:val="en-GB"/>
        </w:rPr>
        <w:t>”</w:t>
      </w:r>
      <w:r w:rsidRPr="00305E0F">
        <w:rPr>
          <w:lang w:val="en-GB"/>
        </w:rPr>
        <w:t xml:space="preserve"> (PF), </w:t>
      </w:r>
      <w:r w:rsidR="00932632" w:rsidRPr="00305E0F">
        <w:rPr>
          <w:lang w:val="en-GB"/>
        </w:rPr>
        <w:t>“</w:t>
      </w:r>
      <w:r w:rsidRPr="00305E0F">
        <w:rPr>
          <w:lang w:val="en-GB"/>
        </w:rPr>
        <w:t>object finance</w:t>
      </w:r>
      <w:r w:rsidR="00932632" w:rsidRPr="00305E0F">
        <w:rPr>
          <w:lang w:val="en-GB"/>
        </w:rPr>
        <w:t>”</w:t>
      </w:r>
      <w:r w:rsidRPr="00305E0F">
        <w:rPr>
          <w:lang w:val="en-GB"/>
        </w:rPr>
        <w:t xml:space="preserve"> (OF), </w:t>
      </w:r>
      <w:r w:rsidR="00932632" w:rsidRPr="00305E0F">
        <w:rPr>
          <w:lang w:val="en-GB"/>
        </w:rPr>
        <w:t>“</w:t>
      </w:r>
      <w:r w:rsidRPr="00305E0F">
        <w:rPr>
          <w:lang w:val="en-GB"/>
        </w:rPr>
        <w:t>commodity finance</w:t>
      </w:r>
      <w:r w:rsidR="00932632" w:rsidRPr="00305E0F">
        <w:rPr>
          <w:lang w:val="en-GB"/>
        </w:rPr>
        <w:t>”</w:t>
      </w:r>
      <w:r w:rsidRPr="00305E0F">
        <w:rPr>
          <w:lang w:val="en-GB"/>
        </w:rPr>
        <w:t xml:space="preserve"> (CF) and </w:t>
      </w:r>
      <w:r w:rsidR="00932632" w:rsidRPr="00305E0F">
        <w:rPr>
          <w:lang w:val="en-GB"/>
        </w:rPr>
        <w:t>“</w:t>
      </w:r>
      <w:r w:rsidRPr="00305E0F">
        <w:rPr>
          <w:lang w:val="en-GB"/>
        </w:rPr>
        <w:t>income-</w:t>
      </w:r>
      <w:r w:rsidR="00932632" w:rsidRPr="00305E0F">
        <w:rPr>
          <w:lang w:val="en-GB"/>
        </w:rPr>
        <w:t>producing</w:t>
      </w:r>
      <w:r w:rsidRPr="00305E0F">
        <w:rPr>
          <w:lang w:val="en-GB"/>
        </w:rPr>
        <w:t xml:space="preserve"> real estate</w:t>
      </w:r>
      <w:r w:rsidR="00932632" w:rsidRPr="00305E0F">
        <w:rPr>
          <w:lang w:val="en-GB"/>
        </w:rPr>
        <w:t>”</w:t>
      </w:r>
      <w:r w:rsidRPr="00305E0F">
        <w:rPr>
          <w:lang w:val="en-GB"/>
        </w:rPr>
        <w:t xml:space="preserve"> (IPRE).</w:t>
      </w:r>
    </w:p>
    <w:p w14:paraId="4A873F90" w14:textId="7539F991" w:rsidR="00EB0050" w:rsidRPr="00305E0F" w:rsidRDefault="00B02122">
      <w:pPr>
        <w:pStyle w:val="P68B1DB1-ListParagraph12"/>
        <w:numPr>
          <w:ilvl w:val="0"/>
          <w:numId w:val="2"/>
        </w:numPr>
        <w:spacing w:after="0" w:line="240" w:lineRule="auto"/>
        <w:ind w:firstLine="567"/>
        <w:jc w:val="both"/>
        <w:rPr>
          <w:lang w:val="en-GB"/>
        </w:rPr>
      </w:pPr>
      <w:r w:rsidRPr="00305E0F">
        <w:rPr>
          <w:lang w:val="en-GB"/>
        </w:rPr>
        <w:t xml:space="preserve">The residual value of leased property shall be assigned to the exposure class </w:t>
      </w:r>
      <w:r w:rsidR="003A5DA3" w:rsidRPr="00305E0F">
        <w:rPr>
          <w:lang w:val="en-GB"/>
        </w:rPr>
        <w:t>“other non credit-obligation assets”</w:t>
      </w:r>
      <w:r w:rsidRPr="00305E0F">
        <w:rPr>
          <w:lang w:val="en-GB"/>
        </w:rPr>
        <w:t xml:space="preserve"> set out in p</w:t>
      </w:r>
      <w:r w:rsidR="003A5DA3" w:rsidRPr="00305E0F">
        <w:rPr>
          <w:lang w:val="en-GB"/>
        </w:rPr>
        <w:t xml:space="preserve">aragraph </w:t>
      </w:r>
      <w:r w:rsidRPr="00305E0F">
        <w:rPr>
          <w:lang w:val="en-GB"/>
        </w:rPr>
        <w:fldChar w:fldCharType="begin"/>
      </w:r>
      <w:r w:rsidRPr="00305E0F">
        <w:rPr>
          <w:lang w:val="en-GB"/>
        </w:rPr>
        <w:instrText xml:space="preserve"> REF _Ref214986145 \r \h </w:instrText>
      </w:r>
      <w:r w:rsidRPr="00305E0F">
        <w:rPr>
          <w:lang w:val="en-GB"/>
        </w:rPr>
      </w:r>
      <w:r w:rsidRPr="00305E0F">
        <w:rPr>
          <w:lang w:val="en-GB"/>
        </w:rPr>
        <w:fldChar w:fldCharType="separate"/>
      </w:r>
      <w:r w:rsidR="00594C05" w:rsidRPr="00305E0F">
        <w:rPr>
          <w:lang w:val="en-GB"/>
        </w:rPr>
        <w:t>19.9</w:t>
      </w:r>
      <w:r w:rsidRPr="00305E0F">
        <w:rPr>
          <w:lang w:val="en-GB"/>
        </w:rPr>
        <w:fldChar w:fldCharType="end"/>
      </w:r>
      <w:r w:rsidRPr="00305E0F">
        <w:rPr>
          <w:lang w:val="en-GB"/>
        </w:rPr>
        <w:t xml:space="preserve">, unless the residual value is already included in the exposure value for leases set out in </w:t>
      </w:r>
      <w:r w:rsidR="003A5DA3" w:rsidRPr="00305E0F">
        <w:rPr>
          <w:lang w:val="en-GB"/>
        </w:rPr>
        <w:t xml:space="preserve">paragraph </w:t>
      </w:r>
      <w:r w:rsidRPr="00305E0F">
        <w:rPr>
          <w:lang w:val="en-GB"/>
        </w:rPr>
        <w:fldChar w:fldCharType="begin"/>
      </w:r>
      <w:r w:rsidRPr="00305E0F">
        <w:rPr>
          <w:lang w:val="en-GB"/>
        </w:rPr>
        <w:instrText xml:space="preserve"> REF _Ref215295158 \r \h </w:instrText>
      </w:r>
      <w:r w:rsidRPr="00305E0F">
        <w:rPr>
          <w:lang w:val="en-GB"/>
        </w:rPr>
      </w:r>
      <w:r w:rsidRPr="00305E0F">
        <w:rPr>
          <w:lang w:val="en-GB"/>
        </w:rPr>
        <w:fldChar w:fldCharType="separate"/>
      </w:r>
      <w:r w:rsidR="00594C05" w:rsidRPr="00305E0F">
        <w:rPr>
          <w:lang w:val="en-GB"/>
        </w:rPr>
        <w:t>147</w:t>
      </w:r>
      <w:r w:rsidRPr="00305E0F">
        <w:rPr>
          <w:lang w:val="en-GB"/>
        </w:rPr>
        <w:fldChar w:fldCharType="end"/>
      </w:r>
      <w:r w:rsidRPr="00305E0F">
        <w:rPr>
          <w:lang w:val="en-GB"/>
        </w:rPr>
        <w:t>.</w:t>
      </w:r>
    </w:p>
    <w:p w14:paraId="419E525A" w14:textId="3B3BEAD9" w:rsidR="00EB0050" w:rsidRPr="00305E0F" w:rsidRDefault="00B02122">
      <w:pPr>
        <w:pStyle w:val="P68B1DB1-ListParagraph12"/>
        <w:numPr>
          <w:ilvl w:val="0"/>
          <w:numId w:val="2"/>
        </w:numPr>
        <w:spacing w:after="0" w:line="240" w:lineRule="auto"/>
        <w:ind w:firstLine="567"/>
        <w:contextualSpacing w:val="0"/>
        <w:jc w:val="both"/>
        <w:rPr>
          <w:lang w:val="en-GB"/>
        </w:rPr>
      </w:pPr>
      <w:r w:rsidRPr="00305E0F">
        <w:rPr>
          <w:lang w:val="en-GB"/>
        </w:rPr>
        <w:t xml:space="preserve">The exposure arising from the provision of protection through an nth-to-default basket credit derivative shall be assigned to the same class </w:t>
      </w:r>
      <w:r w:rsidR="003A5DA3" w:rsidRPr="00305E0F">
        <w:rPr>
          <w:lang w:val="en-GB"/>
        </w:rPr>
        <w:t>specified in paragraph</w:t>
      </w:r>
      <w:r w:rsidRPr="00305E0F">
        <w:rPr>
          <w:lang w:val="en-GB"/>
        </w:rPr>
        <w:t xml:space="preserve"> </w:t>
      </w:r>
      <w:r w:rsidRPr="00305E0F">
        <w:rPr>
          <w:lang w:val="en-GB"/>
        </w:rPr>
        <w:fldChar w:fldCharType="begin"/>
      </w:r>
      <w:r w:rsidRPr="00305E0F">
        <w:rPr>
          <w:lang w:val="en-GB"/>
        </w:rPr>
        <w:instrText xml:space="preserve"> REF _Ref214974472 \r \h  \* MERGEFORMAT </w:instrText>
      </w:r>
      <w:r w:rsidRPr="00305E0F">
        <w:rPr>
          <w:lang w:val="en-GB"/>
        </w:rPr>
      </w:r>
      <w:r w:rsidRPr="00305E0F">
        <w:rPr>
          <w:lang w:val="en-GB"/>
        </w:rPr>
        <w:fldChar w:fldCharType="separate"/>
      </w:r>
      <w:r w:rsidR="00594C05" w:rsidRPr="00305E0F">
        <w:rPr>
          <w:lang w:val="en-GB"/>
        </w:rPr>
        <w:t>19</w:t>
      </w:r>
      <w:r w:rsidRPr="00305E0F">
        <w:rPr>
          <w:lang w:val="en-GB"/>
        </w:rPr>
        <w:fldChar w:fldCharType="end"/>
      </w:r>
      <w:r w:rsidRPr="00305E0F">
        <w:rPr>
          <w:lang w:val="en-GB"/>
        </w:rPr>
        <w:t xml:space="preserve"> </w:t>
      </w:r>
      <w:r w:rsidR="003A5DA3" w:rsidRPr="00305E0F">
        <w:rPr>
          <w:lang w:val="en-GB"/>
        </w:rPr>
        <w:t xml:space="preserve"> as the exposure </w:t>
      </w:r>
      <w:r w:rsidRPr="00305E0F">
        <w:rPr>
          <w:lang w:val="en-GB"/>
        </w:rPr>
        <w:t>in the basket</w:t>
      </w:r>
      <w:r w:rsidR="003A5DA3" w:rsidRPr="00305E0F">
        <w:rPr>
          <w:lang w:val="en-GB"/>
        </w:rPr>
        <w:t xml:space="preserve"> would be</w:t>
      </w:r>
      <w:r w:rsidRPr="00305E0F">
        <w:rPr>
          <w:lang w:val="en-GB"/>
        </w:rPr>
        <w:t xml:space="preserve">, unless the individual exposures in the basket would be assigned to different exposure classes, in which case the exposure shall be assigned to the corporate exposure class set out in </w:t>
      </w:r>
      <w:r w:rsidR="003A5DA3" w:rsidRPr="00305E0F">
        <w:rPr>
          <w:lang w:val="en-GB"/>
        </w:rPr>
        <w:t xml:space="preserve">sub-paragraph </w:t>
      </w:r>
      <w:r w:rsidRPr="00305E0F">
        <w:rPr>
          <w:lang w:val="en-GB"/>
        </w:rPr>
        <w:fldChar w:fldCharType="begin"/>
      </w:r>
      <w:r w:rsidRPr="00305E0F">
        <w:rPr>
          <w:lang w:val="en-GB"/>
        </w:rPr>
        <w:instrText xml:space="preserve"> REF _Ref214978989 \r \h </w:instrText>
      </w:r>
      <w:r w:rsidRPr="00305E0F">
        <w:rPr>
          <w:lang w:val="en-GB"/>
        </w:rPr>
      </w:r>
      <w:r w:rsidRPr="00305E0F">
        <w:rPr>
          <w:lang w:val="en-GB"/>
        </w:rPr>
        <w:fldChar w:fldCharType="separate"/>
      </w:r>
      <w:r w:rsidR="00594C05" w:rsidRPr="00305E0F">
        <w:rPr>
          <w:lang w:val="en-GB"/>
        </w:rPr>
        <w:t>19.4</w:t>
      </w:r>
      <w:r w:rsidRPr="00305E0F">
        <w:rPr>
          <w:lang w:val="en-GB"/>
        </w:rPr>
        <w:fldChar w:fldCharType="end"/>
      </w:r>
      <w:r w:rsidRPr="00305E0F">
        <w:rPr>
          <w:lang w:val="en-GB"/>
        </w:rPr>
        <w:t>.</w:t>
      </w:r>
    </w:p>
    <w:p w14:paraId="17A7DABC" w14:textId="38F43FA9"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color w:val="auto"/>
          <w:lang w:val="en-GB"/>
        </w:rPr>
      </w:pPr>
      <w:r w:rsidRPr="00305E0F">
        <w:rPr>
          <w:color w:val="auto"/>
          <w:lang w:val="en-GB"/>
        </w:rPr>
        <w:t>Section 5</w:t>
      </w:r>
    </w:p>
    <w:p w14:paraId="1D7F2A34" w14:textId="0C6FB975" w:rsidR="00EB0050" w:rsidRPr="00305E0F" w:rsidRDefault="00B02122">
      <w:pPr>
        <w:pStyle w:val="P68B1DB1-ListParagraph15"/>
        <w:spacing w:after="120" w:line="240" w:lineRule="auto"/>
        <w:ind w:left="0"/>
        <w:contextualSpacing w:val="0"/>
        <w:jc w:val="center"/>
        <w:rPr>
          <w:color w:val="auto"/>
          <w:lang w:val="en-GB"/>
        </w:rPr>
      </w:pPr>
      <w:r w:rsidRPr="00305E0F">
        <w:rPr>
          <w:color w:val="auto"/>
          <w:lang w:val="en-GB"/>
        </w:rPr>
        <w:t xml:space="preserve">Conditions for </w:t>
      </w:r>
      <w:r w:rsidR="003A5DA3" w:rsidRPr="00305E0F">
        <w:rPr>
          <w:color w:val="auto"/>
          <w:lang w:val="en-GB"/>
        </w:rPr>
        <w:t>implementing</w:t>
      </w:r>
      <w:r w:rsidRPr="00305E0F">
        <w:rPr>
          <w:color w:val="auto"/>
          <w:lang w:val="en-GB"/>
        </w:rPr>
        <w:t xml:space="preserve"> the IRB Approach </w:t>
      </w:r>
      <w:r w:rsidR="003A5DA3" w:rsidRPr="00305E0F">
        <w:rPr>
          <w:color w:val="auto"/>
          <w:lang w:val="en-GB"/>
        </w:rPr>
        <w:t>across</w:t>
      </w:r>
      <w:r w:rsidRPr="00305E0F">
        <w:rPr>
          <w:color w:val="auto"/>
          <w:lang w:val="en-GB"/>
        </w:rPr>
        <w:t xml:space="preserve"> different </w:t>
      </w:r>
      <w:r w:rsidR="003A5DA3" w:rsidRPr="00305E0F">
        <w:rPr>
          <w:color w:val="auto"/>
          <w:lang w:val="en-GB"/>
        </w:rPr>
        <w:t xml:space="preserve">classes of </w:t>
      </w:r>
      <w:r w:rsidRPr="00305E0F">
        <w:rPr>
          <w:color w:val="auto"/>
          <w:lang w:val="en-GB"/>
        </w:rPr>
        <w:t>exposure and business units</w:t>
      </w:r>
    </w:p>
    <w:p w14:paraId="78D38230" w14:textId="709218E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44" w:name="_Ref215054433"/>
      <w:r w:rsidRPr="00305E0F">
        <w:rPr>
          <w:color w:val="auto"/>
          <w:lang w:val="en-GB"/>
        </w:rPr>
        <w:t xml:space="preserve">A bank permitted to apply the IRB Approach shall implement, together with any parent undertaking and its subsidiaries, the IRB Approach for at least one of the exposure classes referred to in </w:t>
      </w:r>
      <w:r w:rsidR="000028F9"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0028F9" w:rsidRPr="00305E0F">
        <w:rPr>
          <w:color w:val="auto"/>
          <w:lang w:val="en-GB"/>
        </w:rPr>
        <w:t xml:space="preserve">sub-paragraphs </w:t>
      </w:r>
      <w:r w:rsidRPr="00305E0F">
        <w:rPr>
          <w:color w:val="auto"/>
          <w:lang w:val="en-GB"/>
        </w:rPr>
        <w:fldChar w:fldCharType="begin"/>
      </w:r>
      <w:r w:rsidRPr="00305E0F">
        <w:rPr>
          <w:color w:val="auto"/>
          <w:lang w:val="en-GB"/>
        </w:rPr>
        <w:instrText xml:space="preserve"> REF _Ref214973612 \r \h </w:instrText>
      </w:r>
      <w:r w:rsidRPr="00305E0F">
        <w:rPr>
          <w:color w:val="auto"/>
          <w:lang w:val="en-GB"/>
        </w:rPr>
      </w:r>
      <w:r w:rsidRPr="00305E0F">
        <w:rPr>
          <w:color w:val="auto"/>
          <w:lang w:val="en-GB"/>
        </w:rPr>
        <w:fldChar w:fldCharType="separate"/>
      </w:r>
      <w:r w:rsidR="00594C05" w:rsidRPr="00305E0F">
        <w:rPr>
          <w:color w:val="auto"/>
          <w:lang w:val="en-GB"/>
        </w:rPr>
        <w:t>19.1</w:t>
      </w:r>
      <w:r w:rsidRPr="00305E0F">
        <w:rPr>
          <w:color w:val="auto"/>
          <w:lang w:val="en-GB"/>
        </w:rPr>
        <w:fldChar w:fldCharType="end"/>
      </w:r>
      <w:r w:rsidR="000028F9" w:rsidRPr="00305E0F">
        <w:rPr>
          <w:color w:val="auto"/>
          <w:lang w:val="en-GB"/>
        </w:rPr>
        <w:t>-</w:t>
      </w:r>
      <w:r w:rsidRPr="00305E0F">
        <w:rPr>
          <w:color w:val="auto"/>
          <w:lang w:val="en-GB"/>
        </w:rPr>
        <w:fldChar w:fldCharType="begin"/>
      </w:r>
      <w:r w:rsidRPr="00305E0F">
        <w:rPr>
          <w:color w:val="auto"/>
          <w:lang w:val="en-GB"/>
        </w:rPr>
        <w:instrText xml:space="preserve"> REF _Ref214975112 \r \h </w:instrText>
      </w:r>
      <w:r w:rsidRPr="00305E0F">
        <w:rPr>
          <w:color w:val="auto"/>
          <w:lang w:val="en-GB"/>
        </w:rPr>
      </w:r>
      <w:r w:rsidRPr="00305E0F">
        <w:rPr>
          <w:color w:val="auto"/>
          <w:lang w:val="en-GB"/>
        </w:rPr>
        <w:fldChar w:fldCharType="separate"/>
      </w:r>
      <w:r w:rsidR="00594C05" w:rsidRPr="00305E0F">
        <w:rPr>
          <w:color w:val="auto"/>
          <w:lang w:val="en-GB"/>
        </w:rPr>
        <w:t>19.5</w:t>
      </w:r>
      <w:r w:rsidRPr="00305E0F">
        <w:rPr>
          <w:color w:val="auto"/>
          <w:lang w:val="en-GB"/>
        </w:rPr>
        <w:fldChar w:fldCharType="end"/>
      </w:r>
      <w:r w:rsidRPr="00305E0F">
        <w:rPr>
          <w:color w:val="auto"/>
          <w:lang w:val="en-GB"/>
        </w:rPr>
        <w:t xml:space="preserve"> or </w:t>
      </w:r>
      <w:r w:rsidR="000028F9" w:rsidRPr="00305E0F">
        <w:rPr>
          <w:color w:val="auto"/>
          <w:lang w:val="en-GB"/>
        </w:rPr>
        <w:t>sub-paragraph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_Ref214986145 \r \h </w:instrText>
      </w:r>
      <w:r w:rsidRPr="00305E0F">
        <w:rPr>
          <w:color w:val="auto"/>
          <w:lang w:val="en-GB"/>
        </w:rPr>
      </w:r>
      <w:r w:rsidRPr="00305E0F">
        <w:rPr>
          <w:color w:val="auto"/>
          <w:lang w:val="en-GB"/>
        </w:rPr>
        <w:fldChar w:fldCharType="separate"/>
      </w:r>
      <w:r w:rsidR="00594C05" w:rsidRPr="00305E0F">
        <w:rPr>
          <w:color w:val="auto"/>
          <w:lang w:val="en-GB"/>
        </w:rPr>
        <w:t>19.9</w:t>
      </w:r>
      <w:r w:rsidRPr="00305E0F">
        <w:rPr>
          <w:color w:val="auto"/>
          <w:lang w:val="en-GB"/>
        </w:rPr>
        <w:fldChar w:fldCharType="end"/>
      </w:r>
      <w:r w:rsidR="000028F9" w:rsidRPr="00305E0F">
        <w:rPr>
          <w:color w:val="auto"/>
          <w:lang w:val="en-GB"/>
        </w:rPr>
        <w:t>.</w:t>
      </w:r>
      <w:r w:rsidRPr="00305E0F">
        <w:rPr>
          <w:color w:val="auto"/>
          <w:lang w:val="en-GB"/>
        </w:rPr>
        <w:t xml:space="preserve"> Once a bank has implemented the IRB Approach for a specific type of exposures in an exposure class, the bank shall do so for all exposures in that exposure class, unless it has received permission from the National Bank of </w:t>
      </w:r>
      <w:r w:rsidRPr="00305E0F">
        <w:rPr>
          <w:color w:val="auto"/>
          <w:lang w:val="en-GB"/>
        </w:rPr>
        <w:lastRenderedPageBreak/>
        <w:t xml:space="preserve">Moldova to use the Standardised Approach on an ongoing basis in accordance with paragraphs </w:t>
      </w:r>
      <w:r w:rsidRPr="00305E0F">
        <w:rPr>
          <w:color w:val="auto"/>
          <w:lang w:val="en-GB"/>
        </w:rPr>
        <w:fldChar w:fldCharType="begin"/>
      </w:r>
      <w:r w:rsidRPr="00305E0F">
        <w:rPr>
          <w:color w:val="auto"/>
          <w:lang w:val="en-GB"/>
        </w:rPr>
        <w:instrText xml:space="preserve"> REF _Ref215053995 \r \h </w:instrText>
      </w:r>
      <w:r w:rsidRPr="00305E0F">
        <w:rPr>
          <w:color w:val="auto"/>
          <w:lang w:val="en-GB"/>
        </w:rPr>
      </w:r>
      <w:r w:rsidRPr="00305E0F">
        <w:rPr>
          <w:color w:val="auto"/>
          <w:lang w:val="en-GB"/>
        </w:rPr>
        <w:fldChar w:fldCharType="separate"/>
      </w:r>
      <w:r w:rsidR="00594C05" w:rsidRPr="00305E0F">
        <w:rPr>
          <w:color w:val="auto"/>
          <w:lang w:val="en-GB"/>
        </w:rPr>
        <w:t>43</w:t>
      </w:r>
      <w:r w:rsidRPr="00305E0F">
        <w:rPr>
          <w:color w:val="auto"/>
          <w:lang w:val="en-GB"/>
        </w:rPr>
        <w:fldChar w:fldCharType="end"/>
      </w:r>
      <w:r w:rsidR="000028F9" w:rsidRPr="00305E0F">
        <w:rPr>
          <w:color w:val="auto"/>
          <w:lang w:val="en-GB"/>
        </w:rPr>
        <w:t>-</w:t>
      </w:r>
      <w:r w:rsidRPr="00305E0F">
        <w:rPr>
          <w:color w:val="auto"/>
          <w:lang w:val="en-GB"/>
        </w:rPr>
        <w:fldChar w:fldCharType="begin"/>
      </w:r>
      <w:r w:rsidRPr="00305E0F">
        <w:rPr>
          <w:color w:val="auto"/>
          <w:lang w:val="en-GB"/>
        </w:rPr>
        <w:instrText xml:space="preserve"> REF _Ref215054304 \r \h </w:instrText>
      </w:r>
      <w:r w:rsidRPr="00305E0F">
        <w:rPr>
          <w:color w:val="auto"/>
          <w:lang w:val="en-GB"/>
        </w:rPr>
      </w:r>
      <w:r w:rsidRPr="00305E0F">
        <w:rPr>
          <w:color w:val="auto"/>
          <w:lang w:val="en-GB"/>
        </w:rPr>
        <w:fldChar w:fldCharType="separate"/>
      </w:r>
      <w:r w:rsidR="00594C05" w:rsidRPr="00305E0F">
        <w:rPr>
          <w:color w:val="auto"/>
          <w:lang w:val="en-GB"/>
        </w:rPr>
        <w:t>47</w:t>
      </w:r>
      <w:r w:rsidRPr="00305E0F">
        <w:rPr>
          <w:color w:val="auto"/>
          <w:lang w:val="en-GB"/>
        </w:rPr>
        <w:fldChar w:fldCharType="end"/>
      </w:r>
      <w:r w:rsidRPr="00305E0F">
        <w:rPr>
          <w:color w:val="auto"/>
          <w:lang w:val="en-GB"/>
        </w:rPr>
        <w:t>.</w:t>
      </w:r>
      <w:bookmarkEnd w:id="44"/>
    </w:p>
    <w:p w14:paraId="653672FB" w14:textId="50390D4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45" w:name="_Ref215055496"/>
      <w:r w:rsidRPr="00305E0F">
        <w:rPr>
          <w:color w:val="auto"/>
          <w:lang w:val="en-GB"/>
        </w:rPr>
        <w:t>Subject to the prior approval of the National Bank of Moldova, the implementation of the IRB Approach may be done progressively for different types of exposures within a given exposure class within the same business unit and for different business units within the same group or in the case of the use of own estimates of LGDs or the use of IRB-CCFs.</w:t>
      </w:r>
      <w:bookmarkEnd w:id="45"/>
    </w:p>
    <w:p w14:paraId="355A8DCC" w14:textId="0E78AD2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National Bank of Moldova shall determine the period necessary for each bank, parent undertaking and its subsidiaries to implement the IRB Approach for all exposures in a given exposure class for different types of exposures within the same business unit and for different business units within the same group, or in the case of using own estimates of LGDs or using IRB-CCFs. This period shall be such as the National Bank of Moldova considers appropriate, depending on the nature and size of the activities of the bank concerned or of any parent undertaking and its subsidiaries, as well as on the number and nature of rating systems to be implemented.</w:t>
      </w:r>
    </w:p>
    <w:p w14:paraId="412AA885" w14:textId="30566A5F"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46" w:name="_Ref215054448"/>
      <w:r w:rsidRPr="00305E0F">
        <w:rPr>
          <w:color w:val="auto"/>
          <w:lang w:val="en-GB"/>
        </w:rPr>
        <w:t xml:space="preserve">Banks shall implement the IRB approach in accordance with the conditions set by the National Bank of Moldova. The conditions shall ensure that the flexibility granted under </w:t>
      </w:r>
      <w:r w:rsidR="000028F9" w:rsidRPr="00305E0F">
        <w:rPr>
          <w:color w:val="auto"/>
          <w:lang w:val="en-GB"/>
        </w:rPr>
        <w:t>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_Ref215054433 \r \h </w:instrText>
      </w:r>
      <w:r w:rsidRPr="00305E0F">
        <w:rPr>
          <w:color w:val="auto"/>
          <w:lang w:val="en-GB"/>
        </w:rPr>
      </w:r>
      <w:r w:rsidRPr="00305E0F">
        <w:rPr>
          <w:color w:val="auto"/>
          <w:lang w:val="en-GB"/>
        </w:rPr>
        <w:fldChar w:fldCharType="separate"/>
      </w:r>
      <w:r w:rsidR="00594C05" w:rsidRPr="00305E0F">
        <w:rPr>
          <w:color w:val="auto"/>
          <w:lang w:val="en-GB"/>
        </w:rPr>
        <w:t>36</w:t>
      </w:r>
      <w:r w:rsidRPr="00305E0F">
        <w:rPr>
          <w:color w:val="auto"/>
          <w:lang w:val="en-GB"/>
        </w:rPr>
        <w:fldChar w:fldCharType="end"/>
      </w:r>
      <w:r w:rsidR="000028F9" w:rsidRPr="00305E0F">
        <w:rPr>
          <w:color w:val="auto"/>
          <w:lang w:val="en-GB"/>
        </w:rPr>
        <w:t>-</w:t>
      </w:r>
      <w:r w:rsidRPr="00305E0F">
        <w:rPr>
          <w:color w:val="auto"/>
          <w:lang w:val="en-GB"/>
        </w:rPr>
        <w:fldChar w:fldCharType="begin"/>
      </w:r>
      <w:r w:rsidRPr="00305E0F">
        <w:rPr>
          <w:color w:val="auto"/>
          <w:lang w:val="en-GB"/>
        </w:rPr>
        <w:instrText xml:space="preserve"> REF _Ref215055496 \r \h </w:instrText>
      </w:r>
      <w:r w:rsidRPr="00305E0F">
        <w:rPr>
          <w:color w:val="auto"/>
          <w:lang w:val="en-GB"/>
        </w:rPr>
      </w:r>
      <w:r w:rsidRPr="00305E0F">
        <w:rPr>
          <w:color w:val="auto"/>
          <w:lang w:val="en-GB"/>
        </w:rPr>
        <w:fldChar w:fldCharType="separate"/>
      </w:r>
      <w:r w:rsidR="00594C05" w:rsidRPr="00305E0F">
        <w:rPr>
          <w:color w:val="auto"/>
          <w:lang w:val="en-GB"/>
        </w:rPr>
        <w:t>37</w:t>
      </w:r>
      <w:r w:rsidRPr="00305E0F">
        <w:rPr>
          <w:color w:val="auto"/>
          <w:lang w:val="en-GB"/>
        </w:rPr>
        <w:fldChar w:fldCharType="end"/>
      </w:r>
      <w:r w:rsidRPr="00305E0F">
        <w:rPr>
          <w:color w:val="auto"/>
          <w:lang w:val="en-GB"/>
        </w:rPr>
        <w:t xml:space="preserve"> </w:t>
      </w:r>
      <w:r w:rsidR="000028F9" w:rsidRPr="00305E0F">
        <w:rPr>
          <w:color w:val="auto"/>
          <w:lang w:val="en-GB"/>
        </w:rPr>
        <w:t xml:space="preserve">is </w:t>
      </w:r>
      <w:r w:rsidRPr="00305E0F">
        <w:rPr>
          <w:color w:val="auto"/>
          <w:lang w:val="en-GB"/>
        </w:rPr>
        <w:t>not used selectively to achieve reduced own funds requirements in respect of those types of exposures or business units to be included in the IRB Approach or in the case of the use of own estimates of LGD or the use of IRB-CCF.</w:t>
      </w:r>
      <w:bookmarkEnd w:id="46"/>
    </w:p>
    <w:p w14:paraId="2D0ECE3A" w14:textId="16BC6B04" w:rsidR="00EB0050" w:rsidRPr="00305E0F" w:rsidRDefault="00B02122">
      <w:pPr>
        <w:pStyle w:val="P68B1DB1-ListParagraph15"/>
        <w:shd w:val="clear" w:color="auto" w:fill="FFFFFF"/>
        <w:tabs>
          <w:tab w:val="left" w:pos="0"/>
          <w:tab w:val="left" w:pos="567"/>
        </w:tabs>
        <w:spacing w:before="120" w:after="0" w:line="240" w:lineRule="auto"/>
        <w:ind w:left="0" w:firstLine="567"/>
        <w:contextualSpacing w:val="0"/>
        <w:jc w:val="center"/>
        <w:rPr>
          <w:color w:val="auto"/>
          <w:lang w:val="en-GB"/>
        </w:rPr>
      </w:pPr>
      <w:r w:rsidRPr="00305E0F">
        <w:rPr>
          <w:color w:val="auto"/>
          <w:lang w:val="en-GB"/>
        </w:rPr>
        <w:t>Section 6</w:t>
      </w:r>
    </w:p>
    <w:p w14:paraId="74071FC6" w14:textId="36D595B3" w:rsidR="00EB0050" w:rsidRPr="00305E0F" w:rsidRDefault="00B02122">
      <w:pPr>
        <w:pStyle w:val="P68B1DB1-ListParagraph15"/>
        <w:shd w:val="clear" w:color="auto" w:fill="FFFFFF"/>
        <w:tabs>
          <w:tab w:val="left" w:pos="0"/>
          <w:tab w:val="left" w:pos="567"/>
        </w:tabs>
        <w:spacing w:after="120" w:line="240" w:lineRule="auto"/>
        <w:ind w:left="0"/>
        <w:contextualSpacing w:val="0"/>
        <w:jc w:val="center"/>
        <w:rPr>
          <w:bCs/>
          <w:iCs/>
          <w:color w:val="auto"/>
          <w:lang w:val="en-GB"/>
        </w:rPr>
      </w:pPr>
      <w:r w:rsidRPr="00305E0F">
        <w:rPr>
          <w:color w:val="auto"/>
          <w:lang w:val="en-GB"/>
        </w:rPr>
        <w:t xml:space="preserve">Conditions to </w:t>
      </w:r>
      <w:r w:rsidR="000028F9" w:rsidRPr="00305E0F">
        <w:rPr>
          <w:color w:val="auto"/>
          <w:lang w:val="en-GB"/>
        </w:rPr>
        <w:t>revert</w:t>
      </w:r>
      <w:r w:rsidRPr="00305E0F">
        <w:rPr>
          <w:color w:val="auto"/>
          <w:lang w:val="en-GB"/>
        </w:rPr>
        <w:t xml:space="preserve"> to the use of less sophisticated approaches</w:t>
      </w:r>
    </w:p>
    <w:p w14:paraId="55D3BC7C" w14:textId="45962FC9"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47" w:name="_Ref215054361"/>
      <w:r w:rsidRPr="00305E0F">
        <w:rPr>
          <w:color w:val="auto"/>
          <w:lang w:val="en-GB"/>
        </w:rPr>
        <w:t xml:space="preserve">A bank using the IRB Approach for a given exposure class or type shall not waive the use of that </w:t>
      </w:r>
      <w:r w:rsidR="001E390B" w:rsidRPr="00305E0F">
        <w:rPr>
          <w:color w:val="auto"/>
          <w:lang w:val="en-GB"/>
        </w:rPr>
        <w:t>a</w:t>
      </w:r>
      <w:r w:rsidRPr="00305E0F">
        <w:rPr>
          <w:color w:val="auto"/>
          <w:lang w:val="en-GB"/>
        </w:rPr>
        <w:t>pproach to use the Standardised Approach for the calculation of risk-weighted exposure amounts instead, unless the following conditions are met:</w:t>
      </w:r>
      <w:bookmarkEnd w:id="47"/>
    </w:p>
    <w:p w14:paraId="1628E838" w14:textId="3BED2B09" w:rsidR="00EB0050" w:rsidRPr="00305E0F" w:rsidRDefault="001E390B">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has demonstrated to the satisfaction of the National Bank of Moldova that the use of the Standardised Approach is not intended to engage in regulatory arbitrage, including by unduly reducing own funds requirements, that it is necessary taking into account the nature and complexity of all such exposures of the Bank and that it would not have a material negative impact on the solvency of the Bank or its ability to manage risk effectively;</w:t>
      </w:r>
    </w:p>
    <w:p w14:paraId="6E14CB53" w14:textId="5B72ACA2"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received the prior approval of the National Bank of Moldova.</w:t>
      </w:r>
    </w:p>
    <w:p w14:paraId="7478A6D7" w14:textId="1068A7C5"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48" w:name="_Ref215054370"/>
      <w:r w:rsidRPr="00305E0F">
        <w:rPr>
          <w:color w:val="auto"/>
          <w:lang w:val="en-GB"/>
        </w:rPr>
        <w:t xml:space="preserve">Banks that have obtained the permission referred to in paragraph </w:t>
      </w:r>
      <w:r w:rsidRPr="00305E0F">
        <w:rPr>
          <w:color w:val="auto"/>
          <w:lang w:val="en-GB"/>
        </w:rPr>
        <w:fldChar w:fldCharType="begin"/>
      </w:r>
      <w:r w:rsidRPr="00305E0F">
        <w:rPr>
          <w:color w:val="auto"/>
          <w:lang w:val="en-GB"/>
        </w:rPr>
        <w:instrText xml:space="preserve"> REF _Ref215053732 \r \h </w:instrText>
      </w:r>
      <w:r w:rsidRPr="00305E0F">
        <w:rPr>
          <w:color w:val="auto"/>
          <w:lang w:val="en-GB"/>
        </w:rPr>
      </w:r>
      <w:r w:rsidRPr="00305E0F">
        <w:rPr>
          <w:color w:val="auto"/>
          <w:lang w:val="en-GB"/>
        </w:rPr>
        <w:fldChar w:fldCharType="separate"/>
      </w:r>
      <w:r w:rsidR="00594C05" w:rsidRPr="00305E0F">
        <w:rPr>
          <w:color w:val="auto"/>
          <w:lang w:val="en-GB"/>
        </w:rPr>
        <w:t>56</w:t>
      </w:r>
      <w:r w:rsidRPr="00305E0F">
        <w:rPr>
          <w:color w:val="auto"/>
          <w:lang w:val="en-GB"/>
        </w:rPr>
        <w:fldChar w:fldCharType="end"/>
      </w:r>
      <w:r w:rsidRPr="00305E0F">
        <w:rPr>
          <w:color w:val="auto"/>
          <w:lang w:val="en-GB"/>
        </w:rPr>
        <w:t xml:space="preserve"> for using their own estimates of LGDs and conversion factors shall not revert to using the LGD values and conversion factors referred to in paragraphs </w:t>
      </w:r>
      <w:r w:rsidRPr="00305E0F">
        <w:rPr>
          <w:color w:val="auto"/>
          <w:lang w:val="en-GB"/>
        </w:rPr>
        <w:fldChar w:fldCharType="begin"/>
      </w:r>
      <w:r w:rsidRPr="00305E0F">
        <w:rPr>
          <w:color w:val="auto"/>
          <w:lang w:val="en-GB"/>
        </w:rPr>
        <w:instrText xml:space="preserve"> REF _Ref215053812 \r \h </w:instrText>
      </w:r>
      <w:r w:rsidRPr="00305E0F">
        <w:rPr>
          <w:color w:val="auto"/>
          <w:lang w:val="en-GB"/>
        </w:rPr>
      </w:r>
      <w:r w:rsidRPr="00305E0F">
        <w:rPr>
          <w:color w:val="auto"/>
          <w:lang w:val="en-GB"/>
        </w:rPr>
        <w:fldChar w:fldCharType="separate"/>
      </w:r>
      <w:r w:rsidR="00594C05" w:rsidRPr="00305E0F">
        <w:rPr>
          <w:color w:val="auto"/>
          <w:lang w:val="en-GB"/>
        </w:rPr>
        <w:t>54</w:t>
      </w:r>
      <w:r w:rsidRPr="00305E0F">
        <w:rPr>
          <w:color w:val="auto"/>
          <w:lang w:val="en-GB"/>
        </w:rPr>
        <w:fldChar w:fldCharType="end"/>
      </w:r>
      <w:r w:rsidRPr="00305E0F">
        <w:rPr>
          <w:color w:val="auto"/>
          <w:lang w:val="en-GB"/>
        </w:rPr>
        <w:t xml:space="preserve"> and</w:t>
      </w:r>
      <w:r w:rsidR="00B94C9E" w:rsidRPr="00305E0F">
        <w:rPr>
          <w:color w:val="auto"/>
          <w:lang w:val="en-GB"/>
        </w:rPr>
        <w:t xml:space="preserve"> </w:t>
      </w:r>
      <w:r w:rsidRPr="00305E0F">
        <w:rPr>
          <w:color w:val="auto"/>
          <w:lang w:val="en-GB"/>
        </w:rPr>
        <w:fldChar w:fldCharType="begin"/>
      </w:r>
      <w:r w:rsidRPr="00305E0F">
        <w:rPr>
          <w:color w:val="auto"/>
          <w:lang w:val="en-GB"/>
        </w:rPr>
        <w:instrText xml:space="preserve"> REF _Ref215053773 \r \h </w:instrText>
      </w:r>
      <w:r w:rsidRPr="00305E0F">
        <w:rPr>
          <w:color w:val="auto"/>
          <w:lang w:val="en-GB"/>
        </w:rPr>
      </w:r>
      <w:r w:rsidRPr="00305E0F">
        <w:rPr>
          <w:color w:val="auto"/>
          <w:lang w:val="en-GB"/>
        </w:rPr>
        <w:fldChar w:fldCharType="separate"/>
      </w:r>
      <w:r w:rsidR="00594C05" w:rsidRPr="00305E0F">
        <w:rPr>
          <w:color w:val="auto"/>
          <w:lang w:val="en-GB"/>
        </w:rPr>
        <w:t>55</w:t>
      </w:r>
      <w:r w:rsidRPr="00305E0F">
        <w:rPr>
          <w:color w:val="auto"/>
          <w:lang w:val="en-GB"/>
        </w:rPr>
        <w:fldChar w:fldCharType="end"/>
      </w:r>
      <w:r w:rsidRPr="00305E0F">
        <w:rPr>
          <w:color w:val="auto"/>
          <w:lang w:val="en-GB"/>
        </w:rPr>
        <w:t>, unless the following conditions are met:</w:t>
      </w:r>
      <w:bookmarkEnd w:id="48"/>
    </w:p>
    <w:p w14:paraId="0FD679C2" w14:textId="11044CA3"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The Bank has demonstrated to the satisfaction of the National Bank of Moldova that the use of LGDs and conversion factors set out in </w:t>
      </w:r>
      <w:r w:rsidR="00704220" w:rsidRPr="00305E0F">
        <w:rPr>
          <w:color w:val="auto"/>
          <w:lang w:val="en-GB"/>
        </w:rPr>
        <w:t>paragraph</w:t>
      </w:r>
      <w:r w:rsidRPr="00305E0F">
        <w:rPr>
          <w:color w:val="auto"/>
          <w:lang w:val="en-GB"/>
        </w:rPr>
        <w:t xml:space="preserve">s </w:t>
      </w:r>
      <w:r w:rsidRPr="00305E0F">
        <w:rPr>
          <w:color w:val="auto"/>
          <w:lang w:val="en-GB"/>
        </w:rPr>
        <w:fldChar w:fldCharType="begin"/>
      </w:r>
      <w:r w:rsidRPr="00305E0F">
        <w:rPr>
          <w:color w:val="auto"/>
          <w:lang w:val="en-GB"/>
        </w:rPr>
        <w:instrText xml:space="preserve"> REF _Ref215053812 \r \h </w:instrText>
      </w:r>
      <w:r w:rsidRPr="00305E0F">
        <w:rPr>
          <w:color w:val="auto"/>
          <w:lang w:val="en-GB"/>
        </w:rPr>
      </w:r>
      <w:r w:rsidRPr="00305E0F">
        <w:rPr>
          <w:color w:val="auto"/>
          <w:lang w:val="en-GB"/>
        </w:rPr>
        <w:fldChar w:fldCharType="separate"/>
      </w:r>
      <w:r w:rsidR="00594C05" w:rsidRPr="00305E0F">
        <w:rPr>
          <w:color w:val="auto"/>
          <w:lang w:val="en-GB"/>
        </w:rPr>
        <w:t>54</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_Ref215053773 \r \h </w:instrText>
      </w:r>
      <w:r w:rsidRPr="00305E0F">
        <w:rPr>
          <w:color w:val="auto"/>
          <w:lang w:val="en-GB"/>
        </w:rPr>
      </w:r>
      <w:r w:rsidRPr="00305E0F">
        <w:rPr>
          <w:color w:val="auto"/>
          <w:lang w:val="en-GB"/>
        </w:rPr>
        <w:fldChar w:fldCharType="separate"/>
      </w:r>
      <w:r w:rsidR="00594C05" w:rsidRPr="00305E0F">
        <w:rPr>
          <w:color w:val="auto"/>
          <w:lang w:val="en-GB"/>
        </w:rPr>
        <w:t>55</w:t>
      </w:r>
      <w:r w:rsidRPr="00305E0F">
        <w:rPr>
          <w:color w:val="auto"/>
          <w:lang w:val="en-GB"/>
        </w:rPr>
        <w:fldChar w:fldCharType="end"/>
      </w:r>
      <w:r w:rsidRPr="00305E0F">
        <w:rPr>
          <w:color w:val="auto"/>
          <w:lang w:val="en-GB"/>
        </w:rPr>
        <w:t xml:space="preserve"> for a given exposure class or type of exposure is not proposed to reduce the bank’s own funds requirements, but is necessary taking into account the nature and complexity of the bank’s total exposures of this type and would not have a significant negative impact on the bank’s solvency or its ability to manage risk effectively;</w:t>
      </w:r>
    </w:p>
    <w:p w14:paraId="3DC45660" w14:textId="5F14F310"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The Bank received the prior </w:t>
      </w:r>
      <w:r w:rsidR="00FE3B1C" w:rsidRPr="00305E0F">
        <w:rPr>
          <w:color w:val="auto"/>
          <w:lang w:val="en-GB"/>
        </w:rPr>
        <w:t>permission </w:t>
      </w:r>
      <w:r w:rsidRPr="00305E0F">
        <w:rPr>
          <w:color w:val="auto"/>
          <w:lang w:val="en-GB"/>
        </w:rPr>
        <w:t>of the National Bank of Moldova.</w:t>
      </w:r>
      <w:r w:rsidR="00FE3B1C" w:rsidRPr="00305E0F">
        <w:rPr>
          <w:color w:val="auto"/>
          <w:lang w:val="en-GB"/>
        </w:rPr>
        <w:t xml:space="preserve"> </w:t>
      </w:r>
    </w:p>
    <w:p w14:paraId="14D0CE74" w14:textId="0D3A36F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The application of paragraphs </w:t>
      </w:r>
      <w:r w:rsidRPr="00305E0F">
        <w:rPr>
          <w:color w:val="auto"/>
          <w:lang w:val="en-GB"/>
        </w:rPr>
        <w:fldChar w:fldCharType="begin"/>
      </w:r>
      <w:r w:rsidRPr="00305E0F">
        <w:rPr>
          <w:color w:val="auto"/>
          <w:lang w:val="en-GB"/>
        </w:rPr>
        <w:instrText xml:space="preserve"> REF _Ref215054361 \r \h </w:instrText>
      </w:r>
      <w:r w:rsidRPr="00305E0F">
        <w:rPr>
          <w:color w:val="auto"/>
          <w:lang w:val="en-GB"/>
        </w:rPr>
      </w:r>
      <w:r w:rsidRPr="00305E0F">
        <w:rPr>
          <w:color w:val="auto"/>
          <w:lang w:val="en-GB"/>
        </w:rPr>
        <w:fldChar w:fldCharType="separate"/>
      </w:r>
      <w:r w:rsidR="00594C05" w:rsidRPr="00305E0F">
        <w:rPr>
          <w:color w:val="auto"/>
          <w:lang w:val="en-GB"/>
        </w:rPr>
        <w:t>40</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_Ref215054370 \r \h </w:instrText>
      </w:r>
      <w:r w:rsidRPr="00305E0F">
        <w:rPr>
          <w:color w:val="auto"/>
          <w:lang w:val="en-GB"/>
        </w:rPr>
      </w:r>
      <w:r w:rsidRPr="00305E0F">
        <w:rPr>
          <w:color w:val="auto"/>
          <w:lang w:val="en-GB"/>
        </w:rPr>
        <w:fldChar w:fldCharType="separate"/>
      </w:r>
      <w:r w:rsidR="00594C05" w:rsidRPr="00305E0F">
        <w:rPr>
          <w:color w:val="auto"/>
          <w:lang w:val="en-GB"/>
        </w:rPr>
        <w:t>41</w:t>
      </w:r>
      <w:r w:rsidRPr="00305E0F">
        <w:rPr>
          <w:color w:val="auto"/>
          <w:lang w:val="en-GB"/>
        </w:rPr>
        <w:fldChar w:fldCharType="end"/>
      </w:r>
      <w:r w:rsidRPr="00305E0F">
        <w:rPr>
          <w:color w:val="auto"/>
          <w:lang w:val="en-GB"/>
        </w:rPr>
        <w:t xml:space="preserve"> shall be subject to the conditions for the progressive implementation of the IRB Approach established by the National Bank of Moldova in accordance with paragraphs </w:t>
      </w:r>
      <w:r w:rsidRPr="00305E0F">
        <w:rPr>
          <w:color w:val="auto"/>
          <w:lang w:val="en-GB"/>
        </w:rPr>
        <w:fldChar w:fldCharType="begin"/>
      </w:r>
      <w:r w:rsidRPr="00305E0F">
        <w:rPr>
          <w:color w:val="auto"/>
          <w:lang w:val="en-GB"/>
        </w:rPr>
        <w:instrText xml:space="preserve"> REF _Ref215054433 \r \h </w:instrText>
      </w:r>
      <w:r w:rsidRPr="00305E0F">
        <w:rPr>
          <w:color w:val="auto"/>
          <w:lang w:val="en-GB"/>
        </w:rPr>
      </w:r>
      <w:r w:rsidRPr="00305E0F">
        <w:rPr>
          <w:color w:val="auto"/>
          <w:lang w:val="en-GB"/>
        </w:rPr>
        <w:fldChar w:fldCharType="separate"/>
      </w:r>
      <w:r w:rsidR="00594C05" w:rsidRPr="00305E0F">
        <w:rPr>
          <w:color w:val="auto"/>
          <w:lang w:val="en-GB"/>
        </w:rPr>
        <w:t>36</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_Ref215054448 \r \h </w:instrText>
      </w:r>
      <w:r w:rsidRPr="00305E0F">
        <w:rPr>
          <w:color w:val="auto"/>
          <w:lang w:val="en-GB"/>
        </w:rPr>
      </w:r>
      <w:r w:rsidRPr="00305E0F">
        <w:rPr>
          <w:color w:val="auto"/>
          <w:lang w:val="en-GB"/>
        </w:rPr>
        <w:fldChar w:fldCharType="separate"/>
      </w:r>
      <w:r w:rsidR="00594C05" w:rsidRPr="00305E0F">
        <w:rPr>
          <w:color w:val="auto"/>
          <w:lang w:val="en-GB"/>
        </w:rPr>
        <w:t>39</w:t>
      </w:r>
      <w:r w:rsidRPr="00305E0F">
        <w:rPr>
          <w:color w:val="auto"/>
          <w:lang w:val="en-GB"/>
        </w:rPr>
        <w:fldChar w:fldCharType="end"/>
      </w:r>
      <w:r w:rsidRPr="00305E0F">
        <w:rPr>
          <w:color w:val="auto"/>
          <w:lang w:val="en-GB"/>
        </w:rPr>
        <w:t xml:space="preserve"> and to the permission for permanent partial use referred to in paragraphs </w:t>
      </w:r>
      <w:r w:rsidRPr="00305E0F">
        <w:rPr>
          <w:color w:val="auto"/>
          <w:lang w:val="en-GB"/>
        </w:rPr>
        <w:fldChar w:fldCharType="begin"/>
      </w:r>
      <w:r w:rsidRPr="00305E0F">
        <w:rPr>
          <w:color w:val="auto"/>
          <w:lang w:val="en-GB"/>
        </w:rPr>
        <w:instrText xml:space="preserve"> REF _Ref215053995 \r \h </w:instrText>
      </w:r>
      <w:r w:rsidRPr="00305E0F">
        <w:rPr>
          <w:color w:val="auto"/>
          <w:lang w:val="en-GB"/>
        </w:rPr>
      </w:r>
      <w:r w:rsidRPr="00305E0F">
        <w:rPr>
          <w:color w:val="auto"/>
          <w:lang w:val="en-GB"/>
        </w:rPr>
        <w:fldChar w:fldCharType="separate"/>
      </w:r>
      <w:r w:rsidR="00594C05" w:rsidRPr="00305E0F">
        <w:rPr>
          <w:color w:val="auto"/>
          <w:lang w:val="en-GB"/>
        </w:rPr>
        <w:t>43</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_Ref215054304 \r \h </w:instrText>
      </w:r>
      <w:r w:rsidRPr="00305E0F">
        <w:rPr>
          <w:color w:val="auto"/>
          <w:lang w:val="en-GB"/>
        </w:rPr>
      </w:r>
      <w:r w:rsidRPr="00305E0F">
        <w:rPr>
          <w:color w:val="auto"/>
          <w:lang w:val="en-GB"/>
        </w:rPr>
        <w:fldChar w:fldCharType="separate"/>
      </w:r>
      <w:r w:rsidR="00594C05" w:rsidRPr="00305E0F">
        <w:rPr>
          <w:color w:val="auto"/>
          <w:lang w:val="en-GB"/>
        </w:rPr>
        <w:t>47</w:t>
      </w:r>
      <w:r w:rsidRPr="00305E0F">
        <w:rPr>
          <w:color w:val="auto"/>
          <w:lang w:val="en-GB"/>
        </w:rPr>
        <w:fldChar w:fldCharType="end"/>
      </w:r>
      <w:r w:rsidRPr="00305E0F">
        <w:rPr>
          <w:color w:val="auto"/>
          <w:lang w:val="en-GB"/>
        </w:rPr>
        <w:t>.</w:t>
      </w:r>
    </w:p>
    <w:p w14:paraId="6A431F92" w14:textId="79BBAE03"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color w:val="auto"/>
          <w:lang w:val="en-GB"/>
        </w:rPr>
      </w:pPr>
      <w:r w:rsidRPr="00305E0F">
        <w:rPr>
          <w:color w:val="auto"/>
          <w:lang w:val="en-GB"/>
        </w:rPr>
        <w:t>Section 7</w:t>
      </w:r>
    </w:p>
    <w:p w14:paraId="2C1F121C" w14:textId="0E47500D" w:rsidR="00EB0050" w:rsidRPr="00305E0F" w:rsidRDefault="00B02122">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sz w:val="24"/>
          <w:szCs w:val="24"/>
          <w:lang w:val="en-GB"/>
        </w:rPr>
      </w:pPr>
      <w:r w:rsidRPr="00305E0F">
        <w:rPr>
          <w:rFonts w:ascii="Times New Roman" w:hAnsi="Times New Roman" w:cs="Times New Roman"/>
          <w:b/>
          <w:i/>
          <w:sz w:val="24"/>
          <w:szCs w:val="24"/>
          <w:lang w:val="en-GB"/>
        </w:rPr>
        <w:t>Conditions</w:t>
      </w:r>
      <w:r w:rsidRPr="00305E0F">
        <w:rPr>
          <w:lang w:val="en-GB"/>
        </w:rPr>
        <w:t xml:space="preserve"> </w:t>
      </w:r>
      <w:r w:rsidRPr="00305E0F">
        <w:rPr>
          <w:rFonts w:ascii="Times New Roman" w:hAnsi="Times New Roman" w:cs="Times New Roman"/>
          <w:b/>
          <w:i/>
          <w:sz w:val="24"/>
          <w:szCs w:val="24"/>
          <w:lang w:val="en-GB"/>
        </w:rPr>
        <w:t xml:space="preserve">for permanent partial use </w:t>
      </w:r>
    </w:p>
    <w:p w14:paraId="2C6A5BD0" w14:textId="4B9E93C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49" w:name="_Ref215053995"/>
      <w:r w:rsidRPr="00305E0F">
        <w:rPr>
          <w:color w:val="auto"/>
          <w:lang w:val="en-GB"/>
        </w:rPr>
        <w:t>Banks shall apply the Standardised Approach to all of the following exposures:</w:t>
      </w:r>
      <w:bookmarkEnd w:id="49"/>
    </w:p>
    <w:p w14:paraId="78CAAED8" w14:textId="66D02784"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Exposures assigned to the equity exposure class referred to in</w:t>
      </w:r>
      <w:r w:rsidR="00FE3B1C" w:rsidRPr="00305E0F">
        <w:rPr>
          <w:color w:val="auto"/>
          <w:lang w:val="en-GB"/>
        </w:rPr>
        <w:t xml:space="preserve"> 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FE3B1C"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_Ref214984449 \r \h </w:instrText>
      </w:r>
      <w:r w:rsidRPr="00305E0F">
        <w:rPr>
          <w:color w:val="auto"/>
          <w:lang w:val="en-GB"/>
        </w:rPr>
      </w:r>
      <w:r w:rsidRPr="00305E0F">
        <w:rPr>
          <w:color w:val="auto"/>
          <w:lang w:val="en-GB"/>
        </w:rPr>
        <w:fldChar w:fldCharType="separate"/>
      </w:r>
      <w:r w:rsidR="00594C05" w:rsidRPr="00305E0F">
        <w:rPr>
          <w:color w:val="auto"/>
          <w:lang w:val="en-GB"/>
        </w:rPr>
        <w:t>19.6</w:t>
      </w:r>
      <w:r w:rsidRPr="00305E0F">
        <w:rPr>
          <w:color w:val="auto"/>
          <w:lang w:val="en-GB"/>
        </w:rPr>
        <w:fldChar w:fldCharType="end"/>
      </w:r>
      <w:r w:rsidRPr="00305E0F">
        <w:rPr>
          <w:color w:val="auto"/>
          <w:lang w:val="en-GB"/>
        </w:rPr>
        <w:t>;</w:t>
      </w:r>
    </w:p>
    <w:p w14:paraId="58A2F234" w14:textId="28C4BD83"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Exposures assigned to exposure classes or belonging to types of exposures in an exposure class for which banks have not received the prior permission of the National Bank of </w:t>
      </w:r>
      <w:r w:rsidRPr="00305E0F">
        <w:rPr>
          <w:color w:val="auto"/>
          <w:lang w:val="en-GB"/>
        </w:rPr>
        <w:lastRenderedPageBreak/>
        <w:t>Moldova to use the IRB Approach for the calculation of risk-weighted exposure amounts and expected loss amounts.</w:t>
      </w:r>
    </w:p>
    <w:p w14:paraId="77EA6774" w14:textId="0C02FA8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50" w:name="_Ref215057228"/>
      <w:r w:rsidRPr="00305E0F">
        <w:rPr>
          <w:color w:val="auto"/>
          <w:lang w:val="en-GB"/>
        </w:rPr>
        <w:t>A bank permitted to use the IRB Approach for the calculation of risk-weighted exposure amounts and expected loss amounts for a given exposure class may, subject to the prior approval of the National Bank of Moldova, apply the Standardised Approach for certain types of exposures in that exposure class, including exposures from foreign branches and different groups of exposures, where those types of exposures are not material in terms of size and risk profile.</w:t>
      </w:r>
      <w:bookmarkEnd w:id="50"/>
    </w:p>
    <w:p w14:paraId="30821F7E" w14:textId="5A88CDEB"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bookmarkStart w:id="51" w:name="_Ref215058719"/>
      <w:r w:rsidRPr="00305E0F">
        <w:rPr>
          <w:color w:val="auto"/>
          <w:sz w:val="24"/>
          <w:szCs w:val="24"/>
          <w:lang w:val="en-GB"/>
        </w:rPr>
        <w:t xml:space="preserve">In addition to the exposures referred to in paragraphs </w:t>
      </w:r>
      <w:r w:rsidRPr="00305E0F">
        <w:rPr>
          <w:color w:val="auto"/>
          <w:sz w:val="24"/>
          <w:szCs w:val="24"/>
          <w:lang w:val="en-GB"/>
        </w:rPr>
        <w:fldChar w:fldCharType="begin"/>
      </w:r>
      <w:r w:rsidRPr="00305E0F">
        <w:rPr>
          <w:color w:val="auto"/>
          <w:sz w:val="24"/>
          <w:szCs w:val="24"/>
          <w:lang w:val="en-GB"/>
        </w:rPr>
        <w:instrText xml:space="preserve"> REF _Ref215053995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43</w:t>
      </w:r>
      <w:r w:rsidRPr="00305E0F">
        <w:rPr>
          <w:color w:val="auto"/>
          <w:sz w:val="24"/>
          <w:szCs w:val="24"/>
          <w:lang w:val="en-GB"/>
        </w:rPr>
        <w:fldChar w:fldCharType="end"/>
      </w:r>
      <w:r w:rsidRPr="00305E0F">
        <w:rPr>
          <w:color w:val="auto"/>
          <w:sz w:val="24"/>
          <w:szCs w:val="24"/>
          <w:lang w:val="en-GB"/>
        </w:rPr>
        <w:t xml:space="preserve"> and</w:t>
      </w:r>
      <w:r w:rsidR="00FE3B1C" w:rsidRPr="00305E0F">
        <w:rPr>
          <w:color w:val="auto"/>
          <w:sz w:val="24"/>
          <w:szCs w:val="24"/>
          <w:lang w:val="en-GB"/>
        </w:rPr>
        <w:t xml:space="preserve"> </w:t>
      </w:r>
      <w:r w:rsidRPr="00305E0F">
        <w:rPr>
          <w:color w:val="auto"/>
          <w:sz w:val="24"/>
          <w:szCs w:val="24"/>
          <w:lang w:val="en-GB"/>
        </w:rPr>
        <w:fldChar w:fldCharType="begin"/>
      </w:r>
      <w:r w:rsidRPr="00305E0F">
        <w:rPr>
          <w:color w:val="auto"/>
          <w:sz w:val="24"/>
          <w:szCs w:val="24"/>
          <w:lang w:val="en-GB"/>
        </w:rPr>
        <w:instrText xml:space="preserve"> REF _Ref215057228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44</w:t>
      </w:r>
      <w:r w:rsidRPr="00305E0F">
        <w:rPr>
          <w:color w:val="auto"/>
          <w:sz w:val="24"/>
          <w:szCs w:val="24"/>
          <w:lang w:val="en-GB"/>
        </w:rPr>
        <w:fldChar w:fldCharType="end"/>
      </w:r>
      <w:r w:rsidRPr="00305E0F">
        <w:rPr>
          <w:color w:val="auto"/>
          <w:sz w:val="24"/>
          <w:szCs w:val="24"/>
          <w:lang w:val="en-GB"/>
        </w:rPr>
        <w:t>, a bank may, subject to the prior approval of the National Bank of Moldova, apply the Standardised Approach to the following exposures where the IRB Approach is applied to other types of exposures in the same exposure class:</w:t>
      </w:r>
      <w:r w:rsidRPr="00305E0F">
        <w:rPr>
          <w:color w:val="auto"/>
          <w:sz w:val="18"/>
          <w:szCs w:val="18"/>
          <w:highlight w:val="lightGray"/>
          <w:lang w:val="en-GB"/>
        </w:rPr>
        <w:t xml:space="preserve"> </w:t>
      </w:r>
      <w:bookmarkEnd w:id="51"/>
    </w:p>
    <w:p w14:paraId="7377BED5" w14:textId="27611EE4"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Exposures to the central government of the Republic of Moldova and the National Bank of Moldova, as well as to central governments and central banks of the Member States of the European Union and to their regional governments, local authorities and public sector entities, subject to the following conditions:</w:t>
      </w:r>
    </w:p>
    <w:p w14:paraId="06728082" w14:textId="65B2A3E9" w:rsidR="00EB0050" w:rsidRPr="00305E0F" w:rsidRDefault="00B02122">
      <w:pPr>
        <w:pStyle w:val="P68B1DB1-ListParagraph11"/>
        <w:numPr>
          <w:ilvl w:val="2"/>
          <w:numId w:val="2"/>
        </w:numPr>
        <w:shd w:val="clear" w:color="auto" w:fill="FFFFFF"/>
        <w:tabs>
          <w:tab w:val="left" w:pos="0"/>
          <w:tab w:val="left" w:pos="567"/>
        </w:tabs>
        <w:spacing w:before="60" w:after="0" w:line="240" w:lineRule="auto"/>
        <w:ind w:left="0"/>
        <w:jc w:val="both"/>
        <w:rPr>
          <w:color w:val="auto"/>
          <w:sz w:val="24"/>
          <w:szCs w:val="24"/>
          <w:lang w:val="en-GB"/>
        </w:rPr>
      </w:pPr>
      <w:r w:rsidRPr="00305E0F">
        <w:rPr>
          <w:color w:val="auto"/>
          <w:sz w:val="24"/>
          <w:szCs w:val="24"/>
          <w:lang w:val="en-GB"/>
        </w:rPr>
        <w:t>In terms of risk, as a result of specific public arrangements, there are no differences between the exposures to the central government and central bank concerned and the other exposures referred to; and</w:t>
      </w:r>
      <w:r w:rsidRPr="00305E0F">
        <w:rPr>
          <w:color w:val="auto"/>
          <w:sz w:val="18"/>
          <w:szCs w:val="18"/>
          <w:highlight w:val="lightGray"/>
          <w:lang w:val="en-GB"/>
        </w:rPr>
        <w:t xml:space="preserve"> </w:t>
      </w:r>
    </w:p>
    <w:p w14:paraId="766AAA4A" w14:textId="29F58DF0" w:rsidR="00EB0050" w:rsidRPr="00305E0F" w:rsidRDefault="00B02122">
      <w:pPr>
        <w:pStyle w:val="P68B1DB1-ListParagraph8"/>
        <w:numPr>
          <w:ilvl w:val="2"/>
          <w:numId w:val="2"/>
        </w:numPr>
        <w:shd w:val="clear" w:color="auto" w:fill="FFFFFF"/>
        <w:tabs>
          <w:tab w:val="left" w:pos="0"/>
          <w:tab w:val="left" w:pos="567"/>
        </w:tabs>
        <w:spacing w:before="60" w:after="0" w:line="240" w:lineRule="auto"/>
        <w:ind w:left="0"/>
        <w:jc w:val="both"/>
        <w:rPr>
          <w:color w:val="auto"/>
          <w:lang w:val="en-GB"/>
        </w:rPr>
      </w:pPr>
      <w:r w:rsidRPr="00305E0F">
        <w:rPr>
          <w:color w:val="auto"/>
          <w:lang w:val="en-GB"/>
        </w:rPr>
        <w:t xml:space="preserve">Exposures to central governments and central banks shall be assigned a 0% risk weight under Regulation </w:t>
      </w:r>
      <w:r w:rsidR="00FE3B1C" w:rsidRPr="00305E0F">
        <w:rPr>
          <w:color w:val="auto"/>
          <w:lang w:val="en-GB"/>
        </w:rPr>
        <w:t xml:space="preserve">No </w:t>
      </w:r>
      <w:r w:rsidRPr="00305E0F">
        <w:rPr>
          <w:color w:val="auto"/>
          <w:lang w:val="en-GB"/>
        </w:rPr>
        <w:t>111</w:t>
      </w:r>
      <w:r w:rsidR="00FE3B1C" w:rsidRPr="00305E0F">
        <w:rPr>
          <w:color w:val="auto"/>
          <w:lang w:val="en-GB"/>
        </w:rPr>
        <w:t>/2018</w:t>
      </w:r>
      <w:r w:rsidRPr="00305E0F">
        <w:rPr>
          <w:color w:val="auto"/>
          <w:lang w:val="en-GB"/>
        </w:rPr>
        <w:t>;</w:t>
      </w:r>
    </w:p>
    <w:p w14:paraId="43584D42" w14:textId="7FDE07F8" w:rsidR="00EB0050" w:rsidRPr="00305E0F" w:rsidRDefault="00B02122">
      <w:pPr>
        <w:pStyle w:val="P68B1DB1-ListParagraph11"/>
        <w:numPr>
          <w:ilvl w:val="1"/>
          <w:numId w:val="2"/>
        </w:numPr>
        <w:shd w:val="clear" w:color="auto" w:fill="FFFFFF"/>
        <w:tabs>
          <w:tab w:val="left" w:pos="0"/>
          <w:tab w:val="left" w:pos="567"/>
        </w:tabs>
        <w:spacing w:before="60" w:after="0" w:line="240" w:lineRule="auto"/>
        <w:jc w:val="both"/>
        <w:rPr>
          <w:color w:val="auto"/>
          <w:sz w:val="24"/>
          <w:szCs w:val="24"/>
          <w:lang w:val="en-GB"/>
        </w:rPr>
      </w:pPr>
      <w:r w:rsidRPr="00305E0F">
        <w:rPr>
          <w:color w:val="auto"/>
          <w:sz w:val="24"/>
          <w:szCs w:val="24"/>
          <w:lang w:val="en-GB"/>
        </w:rPr>
        <w:t xml:space="preserve">Exposures of a bank to a counterparty that is its parent undertaking, its subsidiary or a subsidiary of its parent undertaking, provided that the counterparty is a bank or a financial holding company, mixed financial holding company, non-bank financial undertaking, asset management company or ancillary services undertaking subject to appropriate prudential requirements or an undertaking linked by a relationship within the meaning of the </w:t>
      </w:r>
      <w:r w:rsidR="00FE3B1C" w:rsidRPr="00305E0F">
        <w:rPr>
          <w:color w:val="auto"/>
          <w:sz w:val="24"/>
          <w:szCs w:val="24"/>
          <w:lang w:val="en-GB"/>
        </w:rPr>
        <w:t>Law No 287/2017 on Accounting and Financial Reporting</w:t>
      </w:r>
      <w:r w:rsidRPr="00305E0F">
        <w:rPr>
          <w:color w:val="auto"/>
          <w:sz w:val="24"/>
          <w:szCs w:val="24"/>
          <w:lang w:val="en-GB"/>
        </w:rPr>
        <w:t xml:space="preserve">; </w:t>
      </w:r>
    </w:p>
    <w:p w14:paraId="17469848" w14:textId="352CE459"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Exposures to banks in the Member States of the European Union that meet the requirements for prior permission from the competent authorities of those Member States shall not apply the risk weight requirements to exposures to counterparties with which the banks have entered into an institutional protection scheme consisting of a contractual or statutory liability arrangement that protects those banks and in particular ensures their liquidity and solvency to avoid insolvency proceedings where necessary.</w:t>
      </w:r>
    </w:p>
    <w:p w14:paraId="3BD55A0B" w14:textId="1640F15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52" w:name="_Ref215058728"/>
      <w:r w:rsidRPr="00305E0F">
        <w:rPr>
          <w:color w:val="auto"/>
          <w:lang w:val="en-GB"/>
        </w:rPr>
        <w:t>A bank permitted to use the IRB Approach for the calculation of risk-weighted exposure amounts only for certain types of exposures within an exposure class shall apply the Standardised Approach for the other types of exposures within that exposure class.</w:t>
      </w:r>
      <w:bookmarkEnd w:id="52"/>
    </w:p>
    <w:p w14:paraId="5AAC8854" w14:textId="3F32B35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53" w:name="_Ref215054304"/>
      <w:r w:rsidRPr="00305E0F">
        <w:rPr>
          <w:color w:val="auto"/>
          <w:lang w:val="en-GB"/>
        </w:rPr>
        <w:t xml:space="preserve">In addition to the exposures referred to in paragraphs </w:t>
      </w:r>
      <w:r w:rsidRPr="00305E0F">
        <w:rPr>
          <w:color w:val="auto"/>
          <w:lang w:val="en-GB"/>
        </w:rPr>
        <w:fldChar w:fldCharType="begin"/>
      </w:r>
      <w:r w:rsidRPr="00305E0F">
        <w:rPr>
          <w:color w:val="auto"/>
          <w:lang w:val="en-GB"/>
        </w:rPr>
        <w:instrText xml:space="preserve"> REF _Ref215057228 \r \h </w:instrText>
      </w:r>
      <w:r w:rsidRPr="00305E0F">
        <w:rPr>
          <w:color w:val="auto"/>
          <w:lang w:val="en-GB"/>
        </w:rPr>
      </w:r>
      <w:r w:rsidRPr="00305E0F">
        <w:rPr>
          <w:color w:val="auto"/>
          <w:lang w:val="en-GB"/>
        </w:rPr>
        <w:fldChar w:fldCharType="separate"/>
      </w:r>
      <w:r w:rsidR="00594C05" w:rsidRPr="00305E0F">
        <w:rPr>
          <w:color w:val="auto"/>
          <w:lang w:val="en-GB"/>
        </w:rPr>
        <w:t>44</w:t>
      </w:r>
      <w:r w:rsidRPr="00305E0F">
        <w:rPr>
          <w:color w:val="auto"/>
          <w:lang w:val="en-GB"/>
        </w:rPr>
        <w:fldChar w:fldCharType="end"/>
      </w:r>
      <w:r w:rsidRPr="00305E0F">
        <w:rPr>
          <w:color w:val="auto"/>
          <w:lang w:val="en-GB"/>
        </w:rPr>
        <w:t xml:space="preserve"> and </w:t>
      </w:r>
      <w:r w:rsidR="00FE3B1C" w:rsidRPr="00305E0F">
        <w:rPr>
          <w:color w:val="auto"/>
          <w:lang w:val="en-GB"/>
        </w:rPr>
        <w:t xml:space="preserve">sup-paragraphs </w:t>
      </w:r>
      <w:r w:rsidRPr="00305E0F">
        <w:rPr>
          <w:color w:val="auto"/>
          <w:lang w:val="en-GB"/>
        </w:rPr>
        <w:fldChar w:fldCharType="begin"/>
      </w:r>
      <w:r w:rsidRPr="00305E0F">
        <w:rPr>
          <w:color w:val="auto"/>
          <w:lang w:val="en-GB"/>
        </w:rPr>
        <w:instrText xml:space="preserve"> REF _Ref215058719 \r \h </w:instrText>
      </w:r>
      <w:r w:rsidRPr="00305E0F">
        <w:rPr>
          <w:color w:val="auto"/>
          <w:lang w:val="en-GB"/>
        </w:rPr>
      </w:r>
      <w:r w:rsidRPr="00305E0F">
        <w:rPr>
          <w:color w:val="auto"/>
          <w:lang w:val="en-GB"/>
        </w:rPr>
        <w:fldChar w:fldCharType="separate"/>
      </w:r>
      <w:r w:rsidR="00594C05" w:rsidRPr="00305E0F">
        <w:rPr>
          <w:color w:val="auto"/>
          <w:lang w:val="en-GB"/>
        </w:rPr>
        <w:t>45</w:t>
      </w:r>
      <w:r w:rsidRPr="00305E0F">
        <w:rPr>
          <w:color w:val="auto"/>
          <w:lang w:val="en-GB"/>
        </w:rPr>
        <w:fldChar w:fldCharType="end"/>
      </w:r>
      <w:r w:rsidR="00FE3B1C" w:rsidRPr="00305E0F">
        <w:rPr>
          <w:color w:val="auto"/>
          <w:lang w:val="en-GB"/>
        </w:rPr>
        <w:t>-</w:t>
      </w:r>
      <w:r w:rsidRPr="00305E0F">
        <w:rPr>
          <w:color w:val="auto"/>
          <w:lang w:val="en-GB"/>
        </w:rPr>
        <w:fldChar w:fldCharType="begin"/>
      </w:r>
      <w:r w:rsidRPr="00305E0F">
        <w:rPr>
          <w:color w:val="auto"/>
          <w:lang w:val="en-GB"/>
        </w:rPr>
        <w:instrText xml:space="preserve"> REF _Ref215058728 \r \h </w:instrText>
      </w:r>
      <w:r w:rsidRPr="00305E0F">
        <w:rPr>
          <w:color w:val="auto"/>
          <w:lang w:val="en-GB"/>
        </w:rPr>
      </w:r>
      <w:r w:rsidRPr="00305E0F">
        <w:rPr>
          <w:color w:val="auto"/>
          <w:lang w:val="en-GB"/>
        </w:rPr>
        <w:fldChar w:fldCharType="separate"/>
      </w:r>
      <w:r w:rsidR="00594C05" w:rsidRPr="00305E0F">
        <w:rPr>
          <w:color w:val="auto"/>
          <w:lang w:val="en-GB"/>
        </w:rPr>
        <w:t>46</w:t>
      </w:r>
      <w:r w:rsidRPr="00305E0F">
        <w:rPr>
          <w:color w:val="auto"/>
          <w:lang w:val="en-GB"/>
        </w:rPr>
        <w:fldChar w:fldCharType="end"/>
      </w:r>
      <w:r w:rsidRPr="00305E0F">
        <w:rPr>
          <w:color w:val="auto"/>
          <w:lang w:val="en-GB"/>
        </w:rPr>
        <w:t>, a bank may apply the Standardised Approach for exposures to churches and religious communities that meet the requirements laid down in Regulation No 111/2018.</w:t>
      </w:r>
      <w:bookmarkEnd w:id="53"/>
    </w:p>
    <w:p w14:paraId="17625471" w14:textId="70E7EBB3" w:rsidR="00EB0050" w:rsidRPr="00305E0F" w:rsidRDefault="00B02122">
      <w:pPr>
        <w:pStyle w:val="P68B1DB1-ListParagraph13"/>
        <w:shd w:val="clear" w:color="auto" w:fill="FFFFFF"/>
        <w:tabs>
          <w:tab w:val="left" w:pos="0"/>
          <w:tab w:val="left" w:pos="567"/>
        </w:tabs>
        <w:spacing w:before="120" w:after="0" w:line="240" w:lineRule="auto"/>
        <w:ind w:left="0"/>
        <w:contextualSpacing w:val="0"/>
        <w:jc w:val="center"/>
        <w:rPr>
          <w:bCs/>
          <w:color w:val="auto"/>
          <w:lang w:val="en-GB"/>
        </w:rPr>
      </w:pPr>
      <w:r w:rsidRPr="00305E0F">
        <w:rPr>
          <w:color w:val="auto"/>
          <w:lang w:val="en-GB"/>
        </w:rPr>
        <w:t>Chapter III</w:t>
      </w:r>
    </w:p>
    <w:p w14:paraId="324E2242" w14:textId="40EE6C01" w:rsidR="00EB0050" w:rsidRPr="00305E0F" w:rsidRDefault="00FE3B1C">
      <w:pPr>
        <w:pStyle w:val="P68B1DB1-ListParagraph13"/>
        <w:shd w:val="clear" w:color="auto" w:fill="FFFFFF"/>
        <w:tabs>
          <w:tab w:val="left" w:pos="0"/>
          <w:tab w:val="left" w:pos="567"/>
        </w:tabs>
        <w:spacing w:before="60" w:after="0" w:line="240" w:lineRule="auto"/>
        <w:ind w:left="0"/>
        <w:jc w:val="center"/>
        <w:rPr>
          <w:bCs/>
          <w:color w:val="auto"/>
          <w:lang w:val="en-GB"/>
        </w:rPr>
      </w:pPr>
      <w:r w:rsidRPr="00305E0F">
        <w:rPr>
          <w:bCs/>
          <w:color w:val="auto"/>
          <w:lang w:val="en-GB"/>
        </w:rPr>
        <w:t>CALCULATION OF RISK-WEIGHTED EXPOSURE AMOUNTS</w:t>
      </w:r>
    </w:p>
    <w:p w14:paraId="447B2A57" w14:textId="7542BCDB"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color w:val="auto"/>
          <w:lang w:val="en-GB"/>
        </w:rPr>
      </w:pPr>
      <w:r w:rsidRPr="00305E0F">
        <w:rPr>
          <w:color w:val="auto"/>
          <w:lang w:val="en-GB"/>
        </w:rPr>
        <w:t>Section 1</w:t>
      </w:r>
    </w:p>
    <w:p w14:paraId="47F7BA79" w14:textId="49AEB5C2" w:rsidR="00EB0050" w:rsidRPr="00305E0F" w:rsidRDefault="00B02122">
      <w:pPr>
        <w:pStyle w:val="P68B1DB1-Normal16"/>
        <w:shd w:val="clear" w:color="auto" w:fill="FFFFFF"/>
        <w:tabs>
          <w:tab w:val="left" w:pos="0"/>
          <w:tab w:val="left" w:pos="567"/>
        </w:tabs>
        <w:spacing w:after="120" w:line="240" w:lineRule="auto"/>
        <w:jc w:val="center"/>
        <w:rPr>
          <w:bCs/>
          <w:iCs/>
          <w:color w:val="auto"/>
          <w:lang w:val="en-GB"/>
        </w:rPr>
      </w:pPr>
      <w:r w:rsidRPr="00305E0F">
        <w:rPr>
          <w:color w:val="auto"/>
          <w:lang w:val="en-GB"/>
        </w:rPr>
        <w:t xml:space="preserve">Treatment by </w:t>
      </w:r>
      <w:r w:rsidR="00FE3B1C" w:rsidRPr="00305E0F">
        <w:rPr>
          <w:color w:val="auto"/>
          <w:lang w:val="en-GB"/>
        </w:rPr>
        <w:t xml:space="preserve">type of </w:t>
      </w:r>
      <w:r w:rsidRPr="00305E0F">
        <w:rPr>
          <w:color w:val="auto"/>
          <w:lang w:val="en-GB"/>
        </w:rPr>
        <w:t xml:space="preserve">exposure class </w:t>
      </w:r>
    </w:p>
    <w:p w14:paraId="780249CD" w14:textId="073CB3D7"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bCs/>
          <w:iCs/>
          <w:color w:val="auto"/>
          <w:lang w:val="en-GB"/>
        </w:rPr>
      </w:pPr>
      <w:r w:rsidRPr="00305E0F">
        <w:rPr>
          <w:color w:val="auto"/>
          <w:lang w:val="en-GB"/>
        </w:rPr>
        <w:t>Subsection 1</w:t>
      </w:r>
    </w:p>
    <w:p w14:paraId="31DE0786" w14:textId="6FD65DDA" w:rsidR="00EB0050" w:rsidRPr="00305E0F" w:rsidRDefault="00B02122">
      <w:pPr>
        <w:pStyle w:val="P68B1DB1-ListParagraph15"/>
        <w:shd w:val="clear" w:color="auto" w:fill="FFFFFF"/>
        <w:tabs>
          <w:tab w:val="left" w:pos="0"/>
          <w:tab w:val="left" w:pos="567"/>
        </w:tabs>
        <w:spacing w:after="120" w:line="240" w:lineRule="auto"/>
        <w:ind w:left="0"/>
        <w:contextualSpacing w:val="0"/>
        <w:jc w:val="center"/>
        <w:rPr>
          <w:bCs/>
          <w:iCs/>
          <w:color w:val="auto"/>
          <w:lang w:val="en-GB"/>
        </w:rPr>
      </w:pPr>
      <w:r w:rsidRPr="00305E0F">
        <w:rPr>
          <w:color w:val="auto"/>
          <w:lang w:val="en-GB"/>
        </w:rPr>
        <w:t>Treatment by exposure class</w:t>
      </w:r>
    </w:p>
    <w:p w14:paraId="5B34F269" w14:textId="2D7FD179"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54" w:name="_Ref215084080"/>
      <w:r w:rsidRPr="00305E0F">
        <w:rPr>
          <w:color w:val="auto"/>
          <w:lang w:val="en-GB"/>
        </w:rPr>
        <w:t xml:space="preserve">Risk weighted exposure amounts for credit risk for exposures belonging to one of the exposure classes referred to in </w:t>
      </w:r>
      <w:r w:rsidR="00FE3B1C"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00FE3B1C" w:rsidRPr="00305E0F">
        <w:rPr>
          <w:color w:val="auto"/>
          <w:lang w:val="en-GB"/>
        </w:rPr>
        <w:t xml:space="preserve"> sub-paragraphs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_Ref214973612 \r \h </w:instrText>
      </w:r>
      <w:r w:rsidRPr="00305E0F">
        <w:rPr>
          <w:color w:val="auto"/>
          <w:lang w:val="en-GB"/>
        </w:rPr>
      </w:r>
      <w:r w:rsidRPr="00305E0F">
        <w:rPr>
          <w:color w:val="auto"/>
          <w:lang w:val="en-GB"/>
        </w:rPr>
        <w:fldChar w:fldCharType="separate"/>
      </w:r>
      <w:r w:rsidR="00594C05" w:rsidRPr="00305E0F">
        <w:rPr>
          <w:color w:val="auto"/>
          <w:lang w:val="en-GB"/>
        </w:rPr>
        <w:t>19.1</w:t>
      </w:r>
      <w:r w:rsidRPr="00305E0F">
        <w:rPr>
          <w:color w:val="auto"/>
          <w:lang w:val="en-GB"/>
        </w:rPr>
        <w:fldChar w:fldCharType="end"/>
      </w:r>
      <w:r w:rsidR="00FE3B1C" w:rsidRPr="00305E0F">
        <w:rPr>
          <w:color w:val="auto"/>
          <w:lang w:val="en-GB"/>
        </w:rPr>
        <w:t>-</w:t>
      </w:r>
      <w:r w:rsidRPr="00305E0F">
        <w:rPr>
          <w:color w:val="auto"/>
          <w:lang w:val="en-GB"/>
        </w:rPr>
        <w:fldChar w:fldCharType="begin"/>
      </w:r>
      <w:r w:rsidRPr="00305E0F">
        <w:rPr>
          <w:color w:val="auto"/>
          <w:lang w:val="en-GB"/>
        </w:rPr>
        <w:instrText xml:space="preserve"> REF _Ref214975112 \r \h </w:instrText>
      </w:r>
      <w:r w:rsidRPr="00305E0F">
        <w:rPr>
          <w:color w:val="auto"/>
          <w:lang w:val="en-GB"/>
        </w:rPr>
      </w:r>
      <w:r w:rsidRPr="00305E0F">
        <w:rPr>
          <w:color w:val="auto"/>
          <w:lang w:val="en-GB"/>
        </w:rPr>
        <w:fldChar w:fldCharType="separate"/>
      </w:r>
      <w:r w:rsidR="00594C05" w:rsidRPr="00305E0F">
        <w:rPr>
          <w:color w:val="auto"/>
          <w:lang w:val="en-GB"/>
        </w:rPr>
        <w:t>19.5</w:t>
      </w:r>
      <w:r w:rsidRPr="00305E0F">
        <w:rPr>
          <w:color w:val="auto"/>
          <w:lang w:val="en-GB"/>
        </w:rPr>
        <w:fldChar w:fldCharType="end"/>
      </w:r>
      <w:r w:rsidRPr="00305E0F">
        <w:rPr>
          <w:color w:val="auto"/>
          <w:lang w:val="en-GB"/>
        </w:rPr>
        <w:t xml:space="preserve"> or </w:t>
      </w:r>
      <w:r w:rsidR="008E48AE"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_Ref214986145 \r \h </w:instrText>
      </w:r>
      <w:r w:rsidRPr="00305E0F">
        <w:rPr>
          <w:color w:val="auto"/>
          <w:lang w:val="en-GB"/>
        </w:rPr>
      </w:r>
      <w:r w:rsidRPr="00305E0F">
        <w:rPr>
          <w:color w:val="auto"/>
          <w:lang w:val="en-GB"/>
        </w:rPr>
        <w:fldChar w:fldCharType="separate"/>
      </w:r>
      <w:r w:rsidR="00594C05" w:rsidRPr="00305E0F">
        <w:rPr>
          <w:color w:val="auto"/>
          <w:lang w:val="en-GB"/>
        </w:rPr>
        <w:t>19.9</w:t>
      </w:r>
      <w:r w:rsidRPr="00305E0F">
        <w:rPr>
          <w:color w:val="auto"/>
          <w:lang w:val="en-GB"/>
        </w:rPr>
        <w:fldChar w:fldCharType="end"/>
      </w:r>
      <w:r w:rsidRPr="00305E0F">
        <w:rPr>
          <w:color w:val="auto"/>
          <w:lang w:val="en-GB"/>
        </w:rPr>
        <w:t xml:space="preserve"> </w:t>
      </w:r>
      <w:r w:rsidR="008E48AE" w:rsidRPr="00305E0F">
        <w:rPr>
          <w:color w:val="auto"/>
          <w:lang w:val="en-GB"/>
        </w:rPr>
        <w:t xml:space="preserve">shall </w:t>
      </w:r>
      <w:r w:rsidRPr="00305E0F">
        <w:rPr>
          <w:color w:val="auto"/>
          <w:lang w:val="en-GB"/>
        </w:rPr>
        <w:t xml:space="preserve">be calculated in accordance with </w:t>
      </w:r>
      <w:r w:rsidR="008E48AE" w:rsidRPr="00305E0F">
        <w:rPr>
          <w:color w:val="auto"/>
          <w:lang w:val="en-GB"/>
        </w:rPr>
        <w:t>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_Ref215047688 \r \h </w:instrText>
      </w:r>
      <w:r w:rsidRPr="00305E0F">
        <w:rPr>
          <w:color w:val="auto"/>
          <w:lang w:val="en-GB"/>
        </w:rPr>
      </w:r>
      <w:r w:rsidRPr="00305E0F">
        <w:rPr>
          <w:color w:val="auto"/>
          <w:lang w:val="en-GB"/>
        </w:rPr>
        <w:fldChar w:fldCharType="separate"/>
      </w:r>
      <w:r w:rsidR="00594C05" w:rsidRPr="00305E0F">
        <w:rPr>
          <w:color w:val="auto"/>
          <w:lang w:val="en-GB"/>
        </w:rPr>
        <w:t>71</w:t>
      </w:r>
      <w:r w:rsidRPr="00305E0F">
        <w:rPr>
          <w:color w:val="auto"/>
          <w:lang w:val="en-GB"/>
        </w:rPr>
        <w:fldChar w:fldCharType="end"/>
      </w:r>
      <w:r w:rsidR="008E48AE" w:rsidRPr="00305E0F">
        <w:rPr>
          <w:color w:val="auto"/>
          <w:lang w:val="en-GB"/>
        </w:rPr>
        <w:t>-</w:t>
      </w:r>
      <w:r w:rsidRPr="00305E0F">
        <w:rPr>
          <w:color w:val="auto"/>
          <w:lang w:val="en-GB"/>
        </w:rPr>
        <w:fldChar w:fldCharType="begin"/>
      </w:r>
      <w:r w:rsidRPr="00305E0F">
        <w:rPr>
          <w:color w:val="auto"/>
          <w:lang w:val="en-GB"/>
        </w:rPr>
        <w:instrText xml:space="preserve"> REF _Ref215061732 \r \h </w:instrText>
      </w:r>
      <w:r w:rsidRPr="00305E0F">
        <w:rPr>
          <w:color w:val="auto"/>
          <w:lang w:val="en-GB"/>
        </w:rPr>
      </w:r>
      <w:r w:rsidRPr="00305E0F">
        <w:rPr>
          <w:color w:val="auto"/>
          <w:lang w:val="en-GB"/>
        </w:rPr>
        <w:fldChar w:fldCharType="separate"/>
      </w:r>
      <w:r w:rsidR="00594C05" w:rsidRPr="00305E0F">
        <w:rPr>
          <w:color w:val="auto"/>
          <w:lang w:val="en-GB"/>
        </w:rPr>
        <w:t>93</w:t>
      </w:r>
      <w:r w:rsidRPr="00305E0F">
        <w:rPr>
          <w:color w:val="auto"/>
          <w:lang w:val="en-GB"/>
        </w:rPr>
        <w:fldChar w:fldCharType="end"/>
      </w:r>
      <w:r w:rsidRPr="00305E0F">
        <w:rPr>
          <w:color w:val="auto"/>
          <w:lang w:val="en-GB"/>
        </w:rPr>
        <w:t xml:space="preserve">, unless those exposures are deducted from own funds or subject to the treatment set out in </w:t>
      </w:r>
      <w:r w:rsidR="008E48AE" w:rsidRPr="00305E0F">
        <w:rPr>
          <w:color w:val="auto"/>
          <w:lang w:val="en-GB"/>
        </w:rPr>
        <w:t>paragraph</w:t>
      </w:r>
      <w:r w:rsidRPr="00305E0F">
        <w:rPr>
          <w:color w:val="auto"/>
          <w:lang w:val="en-GB"/>
        </w:rPr>
        <w:t xml:space="preserve"> 19</w:t>
      </w:r>
      <w:r w:rsidRPr="00305E0F">
        <w:rPr>
          <w:color w:val="auto"/>
          <w:vertAlign w:val="superscript"/>
          <w:lang w:val="en-GB"/>
        </w:rPr>
        <w:t xml:space="preserve"> 21</w:t>
      </w:r>
      <w:r w:rsidRPr="00305E0F">
        <w:rPr>
          <w:color w:val="auto"/>
          <w:lang w:val="en-GB"/>
        </w:rPr>
        <w:t xml:space="preserve"> of Regulation No 109/2018.</w:t>
      </w:r>
      <w:bookmarkEnd w:id="54"/>
    </w:p>
    <w:p w14:paraId="6C81F892" w14:textId="50DC5B9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lastRenderedPageBreak/>
        <w:t xml:space="preserve">The risk-weighted exposure amounts for dilution risk of purchased receivables shall be calculated in accordance with paragraphs </w:t>
      </w:r>
      <w:r w:rsidRPr="00305E0F">
        <w:rPr>
          <w:color w:val="auto"/>
          <w:lang w:val="en-GB"/>
        </w:rPr>
        <w:fldChar w:fldCharType="begin"/>
      </w:r>
      <w:r w:rsidRPr="00305E0F">
        <w:rPr>
          <w:color w:val="auto"/>
          <w:lang w:val="en-GB"/>
        </w:rPr>
        <w:instrText xml:space="preserve"> REF _Ref215068985 \r \h </w:instrText>
      </w:r>
      <w:r w:rsidRPr="00305E0F">
        <w:rPr>
          <w:color w:val="auto"/>
          <w:lang w:val="en-GB"/>
        </w:rPr>
      </w:r>
      <w:r w:rsidRPr="00305E0F">
        <w:rPr>
          <w:color w:val="auto"/>
          <w:lang w:val="en-GB"/>
        </w:rPr>
        <w:fldChar w:fldCharType="separate"/>
      </w:r>
      <w:r w:rsidR="00594C05" w:rsidRPr="00305E0F">
        <w:rPr>
          <w:color w:val="auto"/>
          <w:lang w:val="en-GB"/>
        </w:rPr>
        <w:t>89</w:t>
      </w:r>
      <w:r w:rsidRPr="00305E0F">
        <w:rPr>
          <w:color w:val="auto"/>
          <w:lang w:val="en-GB"/>
        </w:rPr>
        <w:fldChar w:fldCharType="end"/>
      </w:r>
      <w:r w:rsidR="008E48AE" w:rsidRPr="00305E0F">
        <w:rPr>
          <w:color w:val="auto"/>
          <w:lang w:val="en-GB"/>
        </w:rPr>
        <w:t>-</w:t>
      </w:r>
      <w:r w:rsidRPr="00305E0F">
        <w:rPr>
          <w:color w:val="auto"/>
          <w:lang w:val="en-GB"/>
        </w:rPr>
        <w:fldChar w:fldCharType="begin"/>
      </w:r>
      <w:r w:rsidRPr="00305E0F">
        <w:rPr>
          <w:color w:val="auto"/>
          <w:lang w:val="en-GB"/>
        </w:rPr>
        <w:instrText xml:space="preserve"> REF _Ref215061732 \r \h </w:instrText>
      </w:r>
      <w:r w:rsidRPr="00305E0F">
        <w:rPr>
          <w:color w:val="auto"/>
          <w:lang w:val="en-GB"/>
        </w:rPr>
      </w:r>
      <w:r w:rsidRPr="00305E0F">
        <w:rPr>
          <w:color w:val="auto"/>
          <w:lang w:val="en-GB"/>
        </w:rPr>
        <w:fldChar w:fldCharType="separate"/>
      </w:r>
      <w:r w:rsidR="00594C05" w:rsidRPr="00305E0F">
        <w:rPr>
          <w:color w:val="auto"/>
          <w:lang w:val="en-GB"/>
        </w:rPr>
        <w:t>93</w:t>
      </w:r>
      <w:r w:rsidRPr="00305E0F">
        <w:rPr>
          <w:color w:val="auto"/>
          <w:lang w:val="en-GB"/>
        </w:rPr>
        <w:fldChar w:fldCharType="end"/>
      </w:r>
      <w:r w:rsidRPr="00305E0F">
        <w:rPr>
          <w:color w:val="auto"/>
          <w:lang w:val="en-GB"/>
        </w:rPr>
        <w:t xml:space="preserve">. Where a bank has full recourse against the seller of purchased receivables for default risk and dilution risk, the provisions of this Section, paragraphs </w:t>
      </w:r>
      <w:r w:rsidRPr="00305E0F">
        <w:rPr>
          <w:color w:val="auto"/>
          <w:lang w:val="en-GB"/>
        </w:rPr>
        <w:fldChar w:fldCharType="begin"/>
      </w:r>
      <w:r w:rsidRPr="00305E0F">
        <w:rPr>
          <w:color w:val="auto"/>
          <w:lang w:val="en-GB"/>
        </w:rPr>
        <w:instrText xml:space="preserve"> REF _Ref215041959 \r \h </w:instrText>
      </w:r>
      <w:r w:rsidRPr="00305E0F">
        <w:rPr>
          <w:color w:val="auto"/>
          <w:lang w:val="en-GB"/>
        </w:rPr>
      </w:r>
      <w:r w:rsidRPr="00305E0F">
        <w:rPr>
          <w:color w:val="auto"/>
          <w:lang w:val="en-GB"/>
        </w:rPr>
        <w:fldChar w:fldCharType="separate"/>
      </w:r>
      <w:r w:rsidR="00594C05" w:rsidRPr="00305E0F">
        <w:rPr>
          <w:color w:val="auto"/>
          <w:lang w:val="en-GB"/>
        </w:rPr>
        <w:t>59</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_Ref215069159 \r \h </w:instrText>
      </w:r>
      <w:r w:rsidRPr="00305E0F">
        <w:rPr>
          <w:color w:val="auto"/>
          <w:lang w:val="en-GB"/>
        </w:rPr>
      </w:r>
      <w:r w:rsidRPr="00305E0F">
        <w:rPr>
          <w:color w:val="auto"/>
          <w:lang w:val="en-GB"/>
        </w:rPr>
        <w:fldChar w:fldCharType="separate"/>
      </w:r>
      <w:r w:rsidR="00594C05" w:rsidRPr="00305E0F">
        <w:rPr>
          <w:color w:val="auto"/>
          <w:lang w:val="en-GB"/>
        </w:rPr>
        <w:t>70</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_Ref215086495 \r \h </w:instrText>
      </w:r>
      <w:r w:rsidRPr="00305E0F">
        <w:rPr>
          <w:color w:val="auto"/>
          <w:lang w:val="en-GB"/>
        </w:rPr>
      </w:r>
      <w:r w:rsidRPr="00305E0F">
        <w:rPr>
          <w:color w:val="auto"/>
          <w:lang w:val="en-GB"/>
        </w:rPr>
        <w:fldChar w:fldCharType="separate"/>
      </w:r>
      <w:r w:rsidR="00594C05" w:rsidRPr="00305E0F">
        <w:rPr>
          <w:color w:val="auto"/>
          <w:lang w:val="en-GB"/>
        </w:rPr>
        <w:t>94</w:t>
      </w:r>
      <w:r w:rsidRPr="00305E0F">
        <w:rPr>
          <w:color w:val="auto"/>
          <w:lang w:val="en-GB"/>
        </w:rPr>
        <w:fldChar w:fldCharType="end"/>
      </w:r>
      <w:r w:rsidR="008E48AE" w:rsidRPr="00305E0F">
        <w:rPr>
          <w:color w:val="auto"/>
          <w:lang w:val="en-GB"/>
        </w:rPr>
        <w:t>-</w:t>
      </w:r>
      <w:r w:rsidRPr="00305E0F">
        <w:rPr>
          <w:color w:val="auto"/>
          <w:lang w:val="en-GB"/>
        </w:rPr>
        <w:fldChar w:fldCharType="begin"/>
      </w:r>
      <w:r w:rsidRPr="00305E0F">
        <w:rPr>
          <w:color w:val="auto"/>
          <w:lang w:val="en-GB"/>
        </w:rPr>
        <w:instrText xml:space="preserve"> REF _Ref215086502 \r \h </w:instrText>
      </w:r>
      <w:r w:rsidRPr="00305E0F">
        <w:rPr>
          <w:color w:val="auto"/>
          <w:lang w:val="en-GB"/>
        </w:rPr>
      </w:r>
      <w:r w:rsidRPr="00305E0F">
        <w:rPr>
          <w:color w:val="auto"/>
          <w:lang w:val="en-GB"/>
        </w:rPr>
        <w:fldChar w:fldCharType="separate"/>
      </w:r>
      <w:r w:rsidR="00594C05" w:rsidRPr="00305E0F">
        <w:rPr>
          <w:color w:val="auto"/>
          <w:lang w:val="en-GB"/>
        </w:rPr>
        <w:t>97</w:t>
      </w:r>
      <w:r w:rsidRPr="00305E0F">
        <w:rPr>
          <w:color w:val="auto"/>
          <w:lang w:val="en-GB"/>
        </w:rPr>
        <w:fldChar w:fldCharType="end"/>
      </w:r>
      <w:r w:rsidRPr="00305E0F">
        <w:rPr>
          <w:color w:val="auto"/>
          <w:lang w:val="en-GB"/>
        </w:rPr>
        <w:t xml:space="preserve"> in respect of purchased receivables shall not apply and the exposure shall be treated as a collateralised exposure.</w:t>
      </w:r>
    </w:p>
    <w:p w14:paraId="5129E576" w14:textId="0552AA07"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risk-weighted exposure amounts for credit risk and dilution risk shall be calculated on the basis of the relevant parameters of those exposures. Those parameters include PD, LGD, maturity (</w:t>
      </w:r>
      <w:r w:rsidR="008E48AE" w:rsidRPr="00305E0F">
        <w:rPr>
          <w:color w:val="auto"/>
          <w:lang w:val="en-GB"/>
        </w:rPr>
        <w:t>“</w:t>
      </w:r>
      <w:r w:rsidRPr="00305E0F">
        <w:rPr>
          <w:color w:val="auto"/>
          <w:lang w:val="en-GB"/>
        </w:rPr>
        <w:t>M</w:t>
      </w:r>
      <w:r w:rsidR="008E48AE" w:rsidRPr="00305E0F">
        <w:rPr>
          <w:color w:val="auto"/>
          <w:lang w:val="en-GB"/>
        </w:rPr>
        <w:t>”</w:t>
      </w:r>
      <w:r w:rsidRPr="00305E0F">
        <w:rPr>
          <w:color w:val="auto"/>
          <w:lang w:val="en-GB"/>
        </w:rPr>
        <w:t>) and exposure value. PD and LGD may be considered individually or jointly in accordance with Chapter IV.</w:t>
      </w:r>
    </w:p>
    <w:p w14:paraId="5793F357" w14:textId="50EBD9A0"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The weighted credit risk exposure amounts for specialised lending exposures shall be calculated in accordance with paragraphs </w:t>
      </w:r>
      <w:r w:rsidRPr="00305E0F">
        <w:rPr>
          <w:color w:val="auto"/>
          <w:lang w:val="en-GB"/>
        </w:rPr>
        <w:fldChar w:fldCharType="begin"/>
      </w:r>
      <w:r w:rsidRPr="00305E0F">
        <w:rPr>
          <w:color w:val="auto"/>
          <w:lang w:val="en-GB"/>
        </w:rPr>
        <w:instrText xml:space="preserve"> REF _Ref215086557 \r \h </w:instrText>
      </w:r>
      <w:r w:rsidRPr="00305E0F">
        <w:rPr>
          <w:color w:val="auto"/>
          <w:lang w:val="en-GB"/>
        </w:rPr>
      </w:r>
      <w:r w:rsidRPr="00305E0F">
        <w:rPr>
          <w:color w:val="auto"/>
          <w:lang w:val="en-GB"/>
        </w:rPr>
        <w:fldChar w:fldCharType="separate"/>
      </w:r>
      <w:r w:rsidR="00594C05" w:rsidRPr="00305E0F">
        <w:rPr>
          <w:color w:val="auto"/>
          <w:lang w:val="en-GB"/>
        </w:rPr>
        <w:t>75</w:t>
      </w:r>
      <w:r w:rsidRPr="00305E0F">
        <w:rPr>
          <w:color w:val="auto"/>
          <w:lang w:val="en-GB"/>
        </w:rPr>
        <w:fldChar w:fldCharType="end"/>
      </w:r>
      <w:r w:rsidR="008E48AE" w:rsidRPr="00305E0F">
        <w:rPr>
          <w:color w:val="auto"/>
          <w:lang w:val="en-GB"/>
        </w:rPr>
        <w:t>-</w:t>
      </w:r>
      <w:r w:rsidRPr="00305E0F">
        <w:rPr>
          <w:color w:val="auto"/>
          <w:lang w:val="en-GB"/>
        </w:rPr>
        <w:fldChar w:fldCharType="begin"/>
      </w:r>
      <w:r w:rsidRPr="00305E0F">
        <w:rPr>
          <w:color w:val="auto"/>
          <w:lang w:val="en-GB"/>
        </w:rPr>
        <w:instrText xml:space="preserve"> REF _Ref215086567 \r \h </w:instrText>
      </w:r>
      <w:r w:rsidRPr="00305E0F">
        <w:rPr>
          <w:color w:val="auto"/>
          <w:lang w:val="en-GB"/>
        </w:rPr>
      </w:r>
      <w:r w:rsidRPr="00305E0F">
        <w:rPr>
          <w:color w:val="auto"/>
          <w:lang w:val="en-GB"/>
        </w:rPr>
        <w:fldChar w:fldCharType="separate"/>
      </w:r>
      <w:r w:rsidR="00594C05" w:rsidRPr="00305E0F">
        <w:rPr>
          <w:color w:val="auto"/>
          <w:lang w:val="en-GB"/>
        </w:rPr>
        <w:t>76</w:t>
      </w:r>
      <w:r w:rsidRPr="00305E0F">
        <w:rPr>
          <w:color w:val="auto"/>
          <w:lang w:val="en-GB"/>
        </w:rPr>
        <w:fldChar w:fldCharType="end"/>
      </w:r>
      <w:r w:rsidRPr="00305E0F">
        <w:rPr>
          <w:color w:val="auto"/>
          <w:lang w:val="en-GB"/>
        </w:rPr>
        <w:t>.</w:t>
      </w:r>
    </w:p>
    <w:p w14:paraId="3E2E5E15" w14:textId="051216B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exposures belonging to the exposure classes referred to in </w:t>
      </w:r>
      <w:r w:rsidR="008E48AE"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008E48AE" w:rsidRPr="00305E0F">
        <w:rPr>
          <w:color w:val="auto"/>
          <w:lang w:val="en-GB"/>
        </w:rPr>
        <w:t xml:space="preserve"> sub-paragraphs </w:t>
      </w:r>
      <w:r w:rsidRPr="00305E0F">
        <w:rPr>
          <w:color w:val="auto"/>
          <w:lang w:val="en-GB"/>
        </w:rPr>
        <w:fldChar w:fldCharType="begin"/>
      </w:r>
      <w:r w:rsidRPr="00305E0F">
        <w:rPr>
          <w:color w:val="auto"/>
          <w:lang w:val="en-GB"/>
        </w:rPr>
        <w:instrText xml:space="preserve"> REF _Ref214973612 \r \h </w:instrText>
      </w:r>
      <w:r w:rsidRPr="00305E0F">
        <w:rPr>
          <w:color w:val="auto"/>
          <w:lang w:val="en-GB"/>
        </w:rPr>
      </w:r>
      <w:r w:rsidRPr="00305E0F">
        <w:rPr>
          <w:color w:val="auto"/>
          <w:lang w:val="en-GB"/>
        </w:rPr>
        <w:fldChar w:fldCharType="separate"/>
      </w:r>
      <w:r w:rsidR="00594C05" w:rsidRPr="00305E0F">
        <w:rPr>
          <w:color w:val="auto"/>
          <w:lang w:val="en-GB"/>
        </w:rPr>
        <w:t>19.1</w:t>
      </w:r>
      <w:r w:rsidRPr="00305E0F">
        <w:rPr>
          <w:color w:val="auto"/>
          <w:lang w:val="en-GB"/>
        </w:rPr>
        <w:fldChar w:fldCharType="end"/>
      </w:r>
      <w:r w:rsidR="008E48AE" w:rsidRPr="00305E0F">
        <w:rPr>
          <w:color w:val="auto"/>
          <w:lang w:val="en-GB"/>
        </w:rPr>
        <w:t>-</w:t>
      </w:r>
      <w:r w:rsidRPr="00305E0F">
        <w:rPr>
          <w:color w:val="auto"/>
          <w:lang w:val="en-GB"/>
        </w:rPr>
        <w:fldChar w:fldCharType="begin"/>
      </w:r>
      <w:r w:rsidRPr="00305E0F">
        <w:rPr>
          <w:color w:val="auto"/>
          <w:lang w:val="en-GB"/>
        </w:rPr>
        <w:instrText xml:space="preserve"> REF _Ref214975112 \r \h </w:instrText>
      </w:r>
      <w:r w:rsidRPr="00305E0F">
        <w:rPr>
          <w:color w:val="auto"/>
          <w:lang w:val="en-GB"/>
        </w:rPr>
      </w:r>
      <w:r w:rsidRPr="00305E0F">
        <w:rPr>
          <w:color w:val="auto"/>
          <w:lang w:val="en-GB"/>
        </w:rPr>
        <w:fldChar w:fldCharType="separate"/>
      </w:r>
      <w:r w:rsidR="00594C05" w:rsidRPr="00305E0F">
        <w:rPr>
          <w:color w:val="auto"/>
          <w:lang w:val="en-GB"/>
        </w:rPr>
        <w:t>19.5</w:t>
      </w:r>
      <w:r w:rsidRPr="00305E0F">
        <w:rPr>
          <w:color w:val="auto"/>
          <w:lang w:val="en-GB"/>
        </w:rPr>
        <w:fldChar w:fldCharType="end"/>
      </w:r>
      <w:r w:rsidRPr="00305E0F">
        <w:rPr>
          <w:color w:val="auto"/>
          <w:lang w:val="en-GB"/>
        </w:rPr>
        <w:t xml:space="preserve">, banks shall provide their own estimates of PDs in accordance with </w:t>
      </w:r>
      <w:r w:rsidR="00704220" w:rsidRPr="00305E0F">
        <w:rPr>
          <w:color w:val="auto"/>
          <w:lang w:val="en-GB"/>
        </w:rPr>
        <w:t>paragraph</w:t>
      </w:r>
      <w:r w:rsidRPr="00305E0F">
        <w:rPr>
          <w:color w:val="auto"/>
          <w:lang w:val="en-GB"/>
        </w:rPr>
        <w:t xml:space="preserve">s </w:t>
      </w:r>
      <w:r w:rsidRPr="00305E0F">
        <w:rPr>
          <w:color w:val="auto"/>
          <w:lang w:val="en-GB"/>
        </w:rPr>
        <w:fldChar w:fldCharType="begin"/>
      </w:r>
      <w:r w:rsidRPr="00305E0F">
        <w:rPr>
          <w:color w:val="auto"/>
          <w:lang w:val="en-GB"/>
        </w:rPr>
        <w:instrText xml:space="preserve"> REF _Ref215069496 \r \h </w:instrText>
      </w:r>
      <w:r w:rsidRPr="00305E0F">
        <w:rPr>
          <w:color w:val="auto"/>
          <w:lang w:val="en-GB"/>
        </w:rPr>
      </w:r>
      <w:r w:rsidRPr="00305E0F">
        <w:rPr>
          <w:color w:val="auto"/>
          <w:lang w:val="en-GB"/>
        </w:rPr>
        <w:fldChar w:fldCharType="separate"/>
      </w:r>
      <w:r w:rsidR="00594C05" w:rsidRPr="00305E0F">
        <w:rPr>
          <w:color w:val="auto"/>
          <w:lang w:val="en-GB"/>
        </w:rPr>
        <w:t>4</w:t>
      </w:r>
      <w:r w:rsidRPr="00305E0F">
        <w:rPr>
          <w:color w:val="auto"/>
          <w:lang w:val="en-GB"/>
        </w:rPr>
        <w:fldChar w:fldCharType="end"/>
      </w:r>
      <w:r w:rsidR="00AA2927" w:rsidRPr="00305E0F">
        <w:rPr>
          <w:color w:val="auto"/>
          <w:lang w:val="en-GB"/>
        </w:rPr>
        <w:t xml:space="preserve"> </w:t>
      </w:r>
      <w:r w:rsidRPr="00305E0F">
        <w:rPr>
          <w:color w:val="auto"/>
          <w:lang w:val="en-GB"/>
        </w:rPr>
        <w:t>to</w:t>
      </w:r>
      <w:r w:rsidR="005B18CF" w:rsidRPr="00305E0F">
        <w:rPr>
          <w:color w:val="auto"/>
          <w:lang w:val="en-GB"/>
        </w:rPr>
        <w:t xml:space="preserve"> </w:t>
      </w:r>
      <w:r w:rsidRPr="00305E0F">
        <w:rPr>
          <w:color w:val="auto"/>
          <w:lang w:val="en-GB"/>
        </w:rPr>
        <w:fldChar w:fldCharType="begin"/>
      </w:r>
      <w:r w:rsidRPr="00305E0F">
        <w:rPr>
          <w:color w:val="auto"/>
          <w:lang w:val="en-GB"/>
        </w:rPr>
        <w:instrText xml:space="preserve"> REF _Ref215069507 \r \h </w:instrText>
      </w:r>
      <w:r w:rsidRPr="00305E0F">
        <w:rPr>
          <w:color w:val="auto"/>
          <w:lang w:val="en-GB"/>
        </w:rPr>
      </w:r>
      <w:r w:rsidRPr="00305E0F">
        <w:rPr>
          <w:color w:val="auto"/>
          <w:lang w:val="en-GB"/>
        </w:rPr>
        <w:fldChar w:fldCharType="separate"/>
      </w:r>
      <w:r w:rsidR="00594C05" w:rsidRPr="00305E0F">
        <w:rPr>
          <w:color w:val="auto"/>
          <w:lang w:val="en-GB"/>
        </w:rPr>
        <w:t>7</w:t>
      </w:r>
      <w:r w:rsidRPr="00305E0F">
        <w:rPr>
          <w:color w:val="auto"/>
          <w:lang w:val="en-GB"/>
        </w:rPr>
        <w:fldChar w:fldCharType="end"/>
      </w:r>
      <w:r w:rsidRPr="00305E0F">
        <w:rPr>
          <w:color w:val="auto"/>
          <w:lang w:val="en-GB"/>
        </w:rPr>
        <w:t xml:space="preserve"> and Chapter VI.</w:t>
      </w:r>
    </w:p>
    <w:p w14:paraId="13DC2326" w14:textId="21FEC3B3"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retail exposures, banks shall provide their own estimates of LGD as well as IRB-CCF, where applicable, pursuant to paragraphs </w:t>
      </w:r>
      <w:r w:rsidRPr="00305E0F">
        <w:rPr>
          <w:color w:val="auto"/>
          <w:lang w:val="en-GB"/>
        </w:rPr>
        <w:fldChar w:fldCharType="begin"/>
      </w:r>
      <w:r w:rsidRPr="00305E0F">
        <w:rPr>
          <w:color w:val="auto"/>
          <w:lang w:val="en-GB"/>
        </w:rPr>
        <w:instrText xml:space="preserve"> REF _Ref215502511 \r \h </w:instrText>
      </w:r>
      <w:r w:rsidRPr="00305E0F">
        <w:rPr>
          <w:color w:val="auto"/>
          <w:lang w:val="en-GB"/>
        </w:rPr>
      </w:r>
      <w:r w:rsidRPr="00305E0F">
        <w:rPr>
          <w:color w:val="auto"/>
          <w:lang w:val="en-GB"/>
        </w:rPr>
        <w:fldChar w:fldCharType="separate"/>
      </w:r>
      <w:r w:rsidR="00594C05" w:rsidRPr="00305E0F">
        <w:rPr>
          <w:color w:val="auto"/>
          <w:lang w:val="en-GB"/>
        </w:rPr>
        <w:t>151</w:t>
      </w:r>
      <w:r w:rsidRPr="00305E0F">
        <w:rPr>
          <w:color w:val="auto"/>
          <w:lang w:val="en-GB"/>
        </w:rPr>
        <w:fldChar w:fldCharType="end"/>
      </w:r>
      <w:r w:rsidR="008E48AE" w:rsidRPr="00305E0F">
        <w:rPr>
          <w:color w:val="auto"/>
          <w:lang w:val="en-GB"/>
        </w:rPr>
        <w:t>-</w:t>
      </w:r>
      <w:r w:rsidRPr="00305E0F">
        <w:rPr>
          <w:color w:val="auto"/>
          <w:lang w:val="en-GB"/>
        </w:rPr>
        <w:fldChar w:fldCharType="begin"/>
      </w:r>
      <w:r w:rsidRPr="00305E0F">
        <w:rPr>
          <w:color w:val="auto"/>
          <w:lang w:val="en-GB"/>
        </w:rPr>
        <w:instrText xml:space="preserve"> REF _Ref215502520 \r \h  \* MERGEFORMAT </w:instrText>
      </w:r>
      <w:r w:rsidRPr="00305E0F">
        <w:rPr>
          <w:color w:val="auto"/>
          <w:lang w:val="en-GB"/>
        </w:rPr>
      </w:r>
      <w:r w:rsidRPr="00305E0F">
        <w:rPr>
          <w:color w:val="auto"/>
          <w:lang w:val="en-GB"/>
        </w:rPr>
        <w:fldChar w:fldCharType="separate"/>
      </w:r>
      <w:r w:rsidR="00594C05" w:rsidRPr="00305E0F">
        <w:rPr>
          <w:color w:val="auto"/>
          <w:lang w:val="en-GB"/>
        </w:rPr>
        <w:t>154</w:t>
      </w:r>
      <w:r w:rsidRPr="00305E0F">
        <w:rPr>
          <w:color w:val="auto"/>
          <w:lang w:val="en-GB"/>
        </w:rPr>
        <w:fldChar w:fldCharType="end"/>
      </w:r>
      <w:r w:rsidRPr="00305E0F">
        <w:rPr>
          <w:color w:val="auto"/>
          <w:lang w:val="en-GB"/>
        </w:rPr>
        <w:t xml:space="preserve"> and</w:t>
      </w:r>
      <w:r w:rsidR="005B18CF" w:rsidRPr="00305E0F">
        <w:rPr>
          <w:color w:val="auto"/>
          <w:lang w:val="en-GB"/>
        </w:rPr>
        <w:t xml:space="preserve"> </w:t>
      </w:r>
      <w:r w:rsidRPr="00305E0F">
        <w:rPr>
          <w:color w:val="auto"/>
          <w:highlight w:val="yellow"/>
          <w:lang w:val="en-GB"/>
        </w:rPr>
        <w:fldChar w:fldCharType="begin"/>
      </w:r>
      <w:r w:rsidRPr="00305E0F">
        <w:rPr>
          <w:color w:val="auto"/>
          <w:lang w:val="en-GB"/>
        </w:rPr>
        <w:instrText xml:space="preserve"> REF _Ref215235767 \r \h </w:instrText>
      </w:r>
      <w:r w:rsidRPr="00305E0F">
        <w:rPr>
          <w:color w:val="auto"/>
          <w:highlight w:val="yellow"/>
          <w:lang w:val="en-GB"/>
        </w:rPr>
      </w:r>
      <w:r w:rsidRPr="00305E0F">
        <w:rPr>
          <w:color w:val="auto"/>
          <w:highlight w:val="yellow"/>
          <w:lang w:val="en-GB"/>
        </w:rPr>
        <w:fldChar w:fldCharType="separate"/>
      </w:r>
      <w:r w:rsidR="00594C05" w:rsidRPr="00305E0F">
        <w:rPr>
          <w:color w:val="auto"/>
          <w:lang w:val="en-GB"/>
        </w:rPr>
        <w:t>156</w:t>
      </w:r>
      <w:r w:rsidRPr="00305E0F">
        <w:rPr>
          <w:color w:val="auto"/>
          <w:highlight w:val="yellow"/>
          <w:lang w:val="en-GB"/>
        </w:rPr>
        <w:fldChar w:fldCharType="end"/>
      </w:r>
      <w:r w:rsidR="008E48AE" w:rsidRPr="00305E0F">
        <w:rPr>
          <w:color w:val="auto"/>
          <w:lang w:val="en-GB"/>
        </w:rPr>
        <w:t>-</w:t>
      </w:r>
      <w:r w:rsidRPr="00305E0F">
        <w:rPr>
          <w:color w:val="auto"/>
          <w:highlight w:val="yellow"/>
          <w:lang w:val="en-GB"/>
        </w:rPr>
        <w:fldChar w:fldCharType="begin"/>
      </w:r>
      <w:r w:rsidRPr="00305E0F">
        <w:rPr>
          <w:color w:val="auto"/>
          <w:lang w:val="en-GB"/>
        </w:rPr>
        <w:instrText xml:space="preserve"> REF _Ref215502546 \r \h </w:instrText>
      </w:r>
      <w:r w:rsidRPr="00305E0F">
        <w:rPr>
          <w:color w:val="auto"/>
          <w:highlight w:val="yellow"/>
          <w:lang w:val="en-GB"/>
        </w:rPr>
      </w:r>
      <w:r w:rsidRPr="00305E0F">
        <w:rPr>
          <w:color w:val="auto"/>
          <w:highlight w:val="yellow"/>
          <w:lang w:val="en-GB"/>
        </w:rPr>
        <w:fldChar w:fldCharType="separate"/>
      </w:r>
      <w:r w:rsidR="00594C05" w:rsidRPr="00305E0F">
        <w:rPr>
          <w:color w:val="auto"/>
          <w:lang w:val="en-GB"/>
        </w:rPr>
        <w:t>157</w:t>
      </w:r>
      <w:r w:rsidRPr="00305E0F">
        <w:rPr>
          <w:color w:val="auto"/>
          <w:highlight w:val="yellow"/>
          <w:lang w:val="en-GB"/>
        </w:rPr>
        <w:fldChar w:fldCharType="end"/>
      </w:r>
      <w:r w:rsidRPr="00305E0F">
        <w:rPr>
          <w:color w:val="auto"/>
          <w:lang w:val="en-GB"/>
        </w:rPr>
        <w:t xml:space="preserve"> in accordance with paragraphs </w:t>
      </w:r>
      <w:r w:rsidRPr="00305E0F">
        <w:rPr>
          <w:color w:val="auto"/>
          <w:lang w:val="en-GB"/>
        </w:rPr>
        <w:fldChar w:fldCharType="begin"/>
      </w:r>
      <w:r w:rsidRPr="00305E0F">
        <w:rPr>
          <w:color w:val="auto"/>
          <w:lang w:val="en-GB"/>
        </w:rPr>
        <w:instrText xml:space="preserve"> REF _Ref215069496 \r \h </w:instrText>
      </w:r>
      <w:r w:rsidRPr="00305E0F">
        <w:rPr>
          <w:color w:val="auto"/>
          <w:lang w:val="en-GB"/>
        </w:rPr>
      </w:r>
      <w:r w:rsidRPr="00305E0F">
        <w:rPr>
          <w:color w:val="auto"/>
          <w:lang w:val="en-GB"/>
        </w:rPr>
        <w:fldChar w:fldCharType="separate"/>
      </w:r>
      <w:r w:rsidR="00594C05" w:rsidRPr="00305E0F">
        <w:rPr>
          <w:color w:val="auto"/>
          <w:lang w:val="en-GB"/>
        </w:rPr>
        <w:t>4</w:t>
      </w:r>
      <w:r w:rsidRPr="00305E0F">
        <w:rPr>
          <w:color w:val="auto"/>
          <w:lang w:val="en-GB"/>
        </w:rPr>
        <w:fldChar w:fldCharType="end"/>
      </w:r>
      <w:r w:rsidR="008E48AE" w:rsidRPr="00305E0F">
        <w:rPr>
          <w:color w:val="auto"/>
          <w:lang w:val="en-GB"/>
        </w:rPr>
        <w:t>-</w:t>
      </w:r>
      <w:r w:rsidRPr="00305E0F">
        <w:rPr>
          <w:color w:val="auto"/>
          <w:lang w:val="en-GB"/>
        </w:rPr>
        <w:fldChar w:fldCharType="begin"/>
      </w:r>
      <w:r w:rsidRPr="00305E0F">
        <w:rPr>
          <w:color w:val="auto"/>
          <w:lang w:val="en-GB"/>
        </w:rPr>
        <w:instrText xml:space="preserve"> REF _Ref215069507 \r \h </w:instrText>
      </w:r>
      <w:r w:rsidRPr="00305E0F">
        <w:rPr>
          <w:color w:val="auto"/>
          <w:lang w:val="en-GB"/>
        </w:rPr>
      </w:r>
      <w:r w:rsidRPr="00305E0F">
        <w:rPr>
          <w:color w:val="auto"/>
          <w:lang w:val="en-GB"/>
        </w:rPr>
        <w:fldChar w:fldCharType="separate"/>
      </w:r>
      <w:r w:rsidR="00594C05" w:rsidRPr="00305E0F">
        <w:rPr>
          <w:color w:val="auto"/>
          <w:lang w:val="en-GB"/>
        </w:rPr>
        <w:t>7</w:t>
      </w:r>
      <w:r w:rsidRPr="00305E0F">
        <w:rPr>
          <w:color w:val="auto"/>
          <w:lang w:val="en-GB"/>
        </w:rPr>
        <w:fldChar w:fldCharType="end"/>
      </w:r>
      <w:r w:rsidRPr="00305E0F">
        <w:rPr>
          <w:color w:val="auto"/>
          <w:lang w:val="en-GB"/>
        </w:rPr>
        <w:t xml:space="preserve"> and Chapter VI. Banks shall use SA-CCF where the provisions in paragraphs </w:t>
      </w:r>
      <w:r w:rsidRPr="00305E0F">
        <w:rPr>
          <w:color w:val="auto"/>
          <w:lang w:val="en-GB"/>
        </w:rPr>
        <w:fldChar w:fldCharType="begin"/>
      </w:r>
      <w:r w:rsidRPr="00305E0F">
        <w:rPr>
          <w:color w:val="auto"/>
          <w:lang w:val="en-GB"/>
        </w:rPr>
        <w:instrText xml:space="preserve"> REF _Ref215502511 \r \h </w:instrText>
      </w:r>
      <w:r w:rsidRPr="00305E0F">
        <w:rPr>
          <w:color w:val="auto"/>
          <w:lang w:val="en-GB"/>
        </w:rPr>
      </w:r>
      <w:r w:rsidRPr="00305E0F">
        <w:rPr>
          <w:color w:val="auto"/>
          <w:lang w:val="en-GB"/>
        </w:rPr>
        <w:fldChar w:fldCharType="separate"/>
      </w:r>
      <w:r w:rsidR="00594C05" w:rsidRPr="00305E0F">
        <w:rPr>
          <w:color w:val="auto"/>
          <w:lang w:val="en-GB"/>
        </w:rPr>
        <w:t>151</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_Ref215502520 \r \h  \* MERGEFORMAT </w:instrText>
      </w:r>
      <w:r w:rsidRPr="00305E0F">
        <w:rPr>
          <w:color w:val="auto"/>
          <w:lang w:val="en-GB"/>
        </w:rPr>
      </w:r>
      <w:r w:rsidRPr="00305E0F">
        <w:rPr>
          <w:color w:val="auto"/>
          <w:lang w:val="en-GB"/>
        </w:rPr>
        <w:fldChar w:fldCharType="separate"/>
      </w:r>
      <w:r w:rsidR="00594C05" w:rsidRPr="00305E0F">
        <w:rPr>
          <w:color w:val="auto"/>
          <w:lang w:val="en-GB"/>
        </w:rPr>
        <w:t>154</w:t>
      </w:r>
      <w:r w:rsidRPr="00305E0F">
        <w:rPr>
          <w:color w:val="auto"/>
          <w:lang w:val="en-GB"/>
        </w:rPr>
        <w:fldChar w:fldCharType="end"/>
      </w:r>
      <w:r w:rsidRPr="00305E0F">
        <w:rPr>
          <w:color w:val="auto"/>
          <w:lang w:val="en-GB"/>
        </w:rPr>
        <w:t xml:space="preserve"> and </w:t>
      </w:r>
      <w:r w:rsidRPr="00305E0F">
        <w:rPr>
          <w:color w:val="auto"/>
          <w:highlight w:val="yellow"/>
          <w:lang w:val="en-GB"/>
        </w:rPr>
        <w:fldChar w:fldCharType="begin"/>
      </w:r>
      <w:r w:rsidRPr="00305E0F">
        <w:rPr>
          <w:color w:val="auto"/>
          <w:lang w:val="en-GB"/>
        </w:rPr>
        <w:instrText xml:space="preserve"> REF _Ref215235767 \r \h </w:instrText>
      </w:r>
      <w:r w:rsidRPr="00305E0F">
        <w:rPr>
          <w:color w:val="auto"/>
          <w:highlight w:val="yellow"/>
          <w:lang w:val="en-GB"/>
        </w:rPr>
      </w:r>
      <w:r w:rsidRPr="00305E0F">
        <w:rPr>
          <w:color w:val="auto"/>
          <w:highlight w:val="yellow"/>
          <w:lang w:val="en-GB"/>
        </w:rPr>
        <w:fldChar w:fldCharType="separate"/>
      </w:r>
      <w:r w:rsidR="00594C05" w:rsidRPr="00305E0F">
        <w:rPr>
          <w:color w:val="auto"/>
          <w:lang w:val="en-GB"/>
        </w:rPr>
        <w:t>156</w:t>
      </w:r>
      <w:r w:rsidRPr="00305E0F">
        <w:rPr>
          <w:color w:val="auto"/>
          <w:highlight w:val="yellow"/>
          <w:lang w:val="en-GB"/>
        </w:rPr>
        <w:fldChar w:fldCharType="end"/>
      </w:r>
      <w:r w:rsidRPr="00305E0F">
        <w:rPr>
          <w:color w:val="auto"/>
          <w:lang w:val="en-GB"/>
        </w:rPr>
        <w:t>-</w:t>
      </w:r>
      <w:r w:rsidRPr="00305E0F">
        <w:rPr>
          <w:color w:val="auto"/>
          <w:highlight w:val="yellow"/>
          <w:lang w:val="en-GB"/>
        </w:rPr>
        <w:fldChar w:fldCharType="begin"/>
      </w:r>
      <w:r w:rsidRPr="00305E0F">
        <w:rPr>
          <w:color w:val="auto"/>
          <w:lang w:val="en-GB"/>
        </w:rPr>
        <w:instrText xml:space="preserve"> REF _Ref215502546 \r \h </w:instrText>
      </w:r>
      <w:r w:rsidRPr="00305E0F">
        <w:rPr>
          <w:color w:val="auto"/>
          <w:highlight w:val="yellow"/>
          <w:lang w:val="en-GB"/>
        </w:rPr>
      </w:r>
      <w:r w:rsidRPr="00305E0F">
        <w:rPr>
          <w:color w:val="auto"/>
          <w:highlight w:val="yellow"/>
          <w:lang w:val="en-GB"/>
        </w:rPr>
        <w:fldChar w:fldCharType="separate"/>
      </w:r>
      <w:r w:rsidR="00594C05" w:rsidRPr="00305E0F">
        <w:rPr>
          <w:color w:val="auto"/>
          <w:lang w:val="en-GB"/>
        </w:rPr>
        <w:t>157</w:t>
      </w:r>
      <w:r w:rsidRPr="00305E0F">
        <w:rPr>
          <w:color w:val="auto"/>
          <w:highlight w:val="yellow"/>
          <w:lang w:val="en-GB"/>
        </w:rPr>
        <w:fldChar w:fldCharType="end"/>
      </w:r>
      <w:r w:rsidRPr="00305E0F">
        <w:rPr>
          <w:color w:val="auto"/>
          <w:lang w:val="en-GB"/>
        </w:rPr>
        <w:t xml:space="preserve"> do not allow the use of IRB-CCF.</w:t>
      </w:r>
    </w:p>
    <w:p w14:paraId="7F3D2245" w14:textId="3FF0764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55" w:name="_Ref215053812"/>
      <w:r w:rsidRPr="00305E0F">
        <w:rPr>
          <w:color w:val="auto"/>
          <w:lang w:val="en-GB"/>
        </w:rPr>
        <w:t xml:space="preserve">Banks shall apply the LGD values set out in paragraph </w:t>
      </w:r>
      <w:r w:rsidRPr="00305E0F">
        <w:rPr>
          <w:color w:val="auto"/>
          <w:lang w:val="en-GB"/>
        </w:rPr>
        <w:fldChar w:fldCharType="begin"/>
      </w:r>
      <w:r w:rsidRPr="00305E0F">
        <w:rPr>
          <w:color w:val="auto"/>
          <w:lang w:val="en-GB"/>
        </w:rPr>
        <w:instrText xml:space="preserve"> REF _Ref215503005 \r \h </w:instrText>
      </w:r>
      <w:r w:rsidRPr="00305E0F">
        <w:rPr>
          <w:color w:val="auto"/>
          <w:lang w:val="en-GB"/>
        </w:rPr>
      </w:r>
      <w:r w:rsidRPr="00305E0F">
        <w:rPr>
          <w:color w:val="auto"/>
          <w:lang w:val="en-GB"/>
        </w:rPr>
        <w:fldChar w:fldCharType="separate"/>
      </w:r>
      <w:r w:rsidR="00594C05" w:rsidRPr="00305E0F">
        <w:rPr>
          <w:color w:val="auto"/>
          <w:lang w:val="en-GB"/>
        </w:rPr>
        <w:t>114</w:t>
      </w:r>
      <w:r w:rsidRPr="00305E0F">
        <w:rPr>
          <w:color w:val="auto"/>
          <w:lang w:val="en-GB"/>
        </w:rPr>
        <w:fldChar w:fldCharType="end"/>
      </w:r>
      <w:r w:rsidRPr="00305E0F">
        <w:rPr>
          <w:color w:val="auto"/>
          <w:lang w:val="en-GB"/>
        </w:rPr>
        <w:t xml:space="preserve"> and the SA-CCF in accordance with paragraphs </w:t>
      </w:r>
      <w:r w:rsidRPr="00305E0F">
        <w:rPr>
          <w:color w:val="auto"/>
          <w:lang w:val="en-GB"/>
        </w:rPr>
        <w:fldChar w:fldCharType="begin"/>
      </w:r>
      <w:r w:rsidRPr="00305E0F">
        <w:rPr>
          <w:color w:val="auto"/>
          <w:lang w:val="en-GB"/>
        </w:rPr>
        <w:instrText xml:space="preserve"> REF _Ref215502511 \r \h </w:instrText>
      </w:r>
      <w:r w:rsidRPr="00305E0F">
        <w:rPr>
          <w:color w:val="auto"/>
          <w:lang w:val="en-GB"/>
        </w:rPr>
      </w:r>
      <w:r w:rsidRPr="00305E0F">
        <w:rPr>
          <w:color w:val="auto"/>
          <w:lang w:val="en-GB"/>
        </w:rPr>
        <w:fldChar w:fldCharType="separate"/>
      </w:r>
      <w:r w:rsidR="00594C05" w:rsidRPr="00305E0F">
        <w:rPr>
          <w:color w:val="auto"/>
          <w:lang w:val="en-GB"/>
        </w:rPr>
        <w:t>151</w:t>
      </w:r>
      <w:r w:rsidRPr="00305E0F">
        <w:rPr>
          <w:color w:val="auto"/>
          <w:lang w:val="en-GB"/>
        </w:rPr>
        <w:fldChar w:fldCharType="end"/>
      </w:r>
      <w:r w:rsidR="008E48AE" w:rsidRPr="00305E0F">
        <w:rPr>
          <w:color w:val="auto"/>
          <w:lang w:val="en-GB"/>
        </w:rPr>
        <w:t>-</w:t>
      </w:r>
      <w:r w:rsidRPr="00305E0F">
        <w:rPr>
          <w:color w:val="auto"/>
          <w:lang w:val="en-GB"/>
        </w:rPr>
        <w:fldChar w:fldCharType="begin"/>
      </w:r>
      <w:r w:rsidRPr="00305E0F">
        <w:rPr>
          <w:color w:val="auto"/>
          <w:lang w:val="en-GB"/>
        </w:rPr>
        <w:instrText xml:space="preserve"> REF _Ref215502520 \r \h  \* MERGEFORMAT </w:instrText>
      </w:r>
      <w:r w:rsidRPr="00305E0F">
        <w:rPr>
          <w:color w:val="auto"/>
          <w:lang w:val="en-GB"/>
        </w:rPr>
      </w:r>
      <w:r w:rsidRPr="00305E0F">
        <w:rPr>
          <w:color w:val="auto"/>
          <w:lang w:val="en-GB"/>
        </w:rPr>
        <w:fldChar w:fldCharType="separate"/>
      </w:r>
      <w:r w:rsidR="00594C05" w:rsidRPr="00305E0F">
        <w:rPr>
          <w:color w:val="auto"/>
          <w:lang w:val="en-GB"/>
        </w:rPr>
        <w:t>154</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_Ref215235759 \r \h </w:instrText>
      </w:r>
      <w:r w:rsidRPr="00305E0F">
        <w:rPr>
          <w:color w:val="auto"/>
          <w:lang w:val="en-GB"/>
        </w:rPr>
      </w:r>
      <w:r w:rsidRPr="00305E0F">
        <w:rPr>
          <w:color w:val="auto"/>
          <w:lang w:val="en-GB"/>
        </w:rPr>
        <w:fldChar w:fldCharType="separate"/>
      </w:r>
      <w:r w:rsidR="00594C05" w:rsidRPr="00305E0F">
        <w:rPr>
          <w:color w:val="auto"/>
          <w:lang w:val="en-GB"/>
        </w:rPr>
        <w:t>155</w:t>
      </w:r>
      <w:r w:rsidRPr="00305E0F">
        <w:rPr>
          <w:color w:val="auto"/>
          <w:lang w:val="en-GB"/>
        </w:rPr>
        <w:fldChar w:fldCharType="end"/>
      </w:r>
      <w:r w:rsidRPr="00305E0F">
        <w:rPr>
          <w:color w:val="auto"/>
          <w:lang w:val="en-GB"/>
        </w:rPr>
        <w:t xml:space="preserve"> and </w:t>
      </w:r>
      <w:r w:rsidRPr="00305E0F">
        <w:rPr>
          <w:color w:val="auto"/>
          <w:highlight w:val="yellow"/>
          <w:lang w:val="en-GB"/>
        </w:rPr>
        <w:fldChar w:fldCharType="begin"/>
      </w:r>
      <w:r w:rsidRPr="00305E0F">
        <w:rPr>
          <w:color w:val="auto"/>
          <w:lang w:val="en-GB"/>
        </w:rPr>
        <w:instrText xml:space="preserve"> REF _Ref215235767 \r \h </w:instrText>
      </w:r>
      <w:r w:rsidRPr="00305E0F">
        <w:rPr>
          <w:color w:val="auto"/>
          <w:highlight w:val="yellow"/>
          <w:lang w:val="en-GB"/>
        </w:rPr>
      </w:r>
      <w:r w:rsidRPr="00305E0F">
        <w:rPr>
          <w:color w:val="auto"/>
          <w:highlight w:val="yellow"/>
          <w:lang w:val="en-GB"/>
        </w:rPr>
        <w:fldChar w:fldCharType="separate"/>
      </w:r>
      <w:r w:rsidR="00594C05" w:rsidRPr="00305E0F">
        <w:rPr>
          <w:color w:val="auto"/>
          <w:lang w:val="en-GB"/>
        </w:rPr>
        <w:t>156</w:t>
      </w:r>
      <w:r w:rsidRPr="00305E0F">
        <w:rPr>
          <w:color w:val="auto"/>
          <w:highlight w:val="yellow"/>
          <w:lang w:val="en-GB"/>
        </w:rPr>
        <w:fldChar w:fldCharType="end"/>
      </w:r>
      <w:r w:rsidR="008E48AE" w:rsidRPr="00305E0F">
        <w:rPr>
          <w:color w:val="auto"/>
          <w:lang w:val="en-GB"/>
        </w:rPr>
        <w:t>-</w:t>
      </w:r>
      <w:r w:rsidRPr="00305E0F">
        <w:rPr>
          <w:color w:val="auto"/>
          <w:highlight w:val="yellow"/>
          <w:lang w:val="en-GB"/>
        </w:rPr>
        <w:fldChar w:fldCharType="begin"/>
      </w:r>
      <w:r w:rsidRPr="00305E0F">
        <w:rPr>
          <w:color w:val="auto"/>
          <w:lang w:val="en-GB"/>
        </w:rPr>
        <w:instrText xml:space="preserve"> REF _Ref215502546 \r \h </w:instrText>
      </w:r>
      <w:r w:rsidRPr="00305E0F">
        <w:rPr>
          <w:color w:val="auto"/>
          <w:highlight w:val="yellow"/>
          <w:lang w:val="en-GB"/>
        </w:rPr>
      </w:r>
      <w:r w:rsidRPr="00305E0F">
        <w:rPr>
          <w:color w:val="auto"/>
          <w:highlight w:val="yellow"/>
          <w:lang w:val="en-GB"/>
        </w:rPr>
        <w:fldChar w:fldCharType="separate"/>
      </w:r>
      <w:r w:rsidR="00594C05" w:rsidRPr="00305E0F">
        <w:rPr>
          <w:color w:val="auto"/>
          <w:lang w:val="en-GB"/>
        </w:rPr>
        <w:t>157</w:t>
      </w:r>
      <w:r w:rsidRPr="00305E0F">
        <w:rPr>
          <w:color w:val="auto"/>
          <w:highlight w:val="yellow"/>
          <w:lang w:val="en-GB"/>
        </w:rPr>
        <w:fldChar w:fldCharType="end"/>
      </w:r>
      <w:r w:rsidRPr="00305E0F">
        <w:rPr>
          <w:color w:val="auto"/>
          <w:lang w:val="en-GB"/>
        </w:rPr>
        <w:t xml:space="preserve"> </w:t>
      </w:r>
      <w:r w:rsidR="008E48AE" w:rsidRPr="00305E0F">
        <w:rPr>
          <w:color w:val="auto"/>
          <w:lang w:val="en-GB"/>
        </w:rPr>
        <w:t xml:space="preserve">to </w:t>
      </w:r>
      <w:r w:rsidRPr="00305E0F">
        <w:rPr>
          <w:color w:val="auto"/>
          <w:lang w:val="en-GB"/>
        </w:rPr>
        <w:t>following exposures:</w:t>
      </w:r>
      <w:bookmarkEnd w:id="55"/>
    </w:p>
    <w:p w14:paraId="526A00CF" w14:textId="58424BCC"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56" w:name="_Ref215071534"/>
      <w:r w:rsidRPr="00305E0F">
        <w:rPr>
          <w:color w:val="auto"/>
          <w:lang w:val="en-GB"/>
        </w:rPr>
        <w:t>Exposures assigned to the exposure class to banks referred to in p</w:t>
      </w:r>
      <w:r w:rsidR="008E48AE" w:rsidRPr="00305E0F">
        <w:rPr>
          <w:color w:val="auto"/>
          <w:lang w:val="en-GB"/>
        </w:rPr>
        <w:t xml:space="preserve">aragraph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008E48AE" w:rsidRPr="00305E0F">
        <w:rPr>
          <w:color w:val="auto"/>
          <w:lang w:val="en-GB"/>
        </w:rPr>
        <w:t xml:space="preserve"> sub-paragraph </w:t>
      </w:r>
      <w:r w:rsidRPr="00305E0F">
        <w:rPr>
          <w:color w:val="auto"/>
          <w:lang w:val="en-GB"/>
        </w:rPr>
        <w:fldChar w:fldCharType="begin"/>
      </w:r>
      <w:r w:rsidRPr="00305E0F">
        <w:rPr>
          <w:color w:val="auto"/>
          <w:lang w:val="en-GB"/>
        </w:rPr>
        <w:instrText xml:space="preserve"> REF _Ref215071482 \r \h </w:instrText>
      </w:r>
      <w:r w:rsidRPr="00305E0F">
        <w:rPr>
          <w:color w:val="auto"/>
          <w:lang w:val="en-GB"/>
        </w:rPr>
      </w:r>
      <w:r w:rsidRPr="00305E0F">
        <w:rPr>
          <w:color w:val="auto"/>
          <w:lang w:val="en-GB"/>
        </w:rPr>
        <w:fldChar w:fldCharType="separate"/>
      </w:r>
      <w:r w:rsidR="00594C05" w:rsidRPr="00305E0F">
        <w:rPr>
          <w:color w:val="auto"/>
          <w:lang w:val="en-GB"/>
        </w:rPr>
        <w:t>19.3</w:t>
      </w:r>
      <w:r w:rsidRPr="00305E0F">
        <w:rPr>
          <w:color w:val="auto"/>
          <w:lang w:val="en-GB"/>
        </w:rPr>
        <w:fldChar w:fldCharType="end"/>
      </w:r>
      <w:r w:rsidRPr="00305E0F">
        <w:rPr>
          <w:color w:val="auto"/>
          <w:lang w:val="en-GB"/>
        </w:rPr>
        <w:t>;</w:t>
      </w:r>
      <w:bookmarkEnd w:id="56"/>
    </w:p>
    <w:p w14:paraId="31318C95" w14:textId="700584EE"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Exposures to financial sector entities other than those referred to in </w:t>
      </w:r>
      <w:r w:rsidR="008E48AE"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_Ref215071534 \r \h </w:instrText>
      </w:r>
      <w:r w:rsidRPr="00305E0F">
        <w:rPr>
          <w:color w:val="auto"/>
          <w:lang w:val="en-GB"/>
        </w:rPr>
      </w:r>
      <w:r w:rsidRPr="00305E0F">
        <w:rPr>
          <w:color w:val="auto"/>
          <w:lang w:val="en-GB"/>
        </w:rPr>
        <w:fldChar w:fldCharType="separate"/>
      </w:r>
      <w:r w:rsidR="00594C05" w:rsidRPr="00305E0F">
        <w:rPr>
          <w:color w:val="auto"/>
          <w:lang w:val="en-GB"/>
        </w:rPr>
        <w:t>54.1</w:t>
      </w:r>
      <w:r w:rsidRPr="00305E0F">
        <w:rPr>
          <w:color w:val="auto"/>
          <w:lang w:val="en-GB"/>
        </w:rPr>
        <w:fldChar w:fldCharType="end"/>
      </w:r>
      <w:r w:rsidRPr="00305E0F">
        <w:rPr>
          <w:color w:val="auto"/>
          <w:lang w:val="en-GB"/>
        </w:rPr>
        <w:t>;</w:t>
      </w:r>
    </w:p>
    <w:p w14:paraId="238F9DD8" w14:textId="6E522A82"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Exposures to large corporates that are not assigned to the specialised lending exposure class referred to in </w:t>
      </w:r>
      <w:r w:rsidR="008E48AE"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_Ref214974472 \r \h </w:instrText>
      </w:r>
      <w:r w:rsidR="008E48AE" w:rsidRPr="00305E0F">
        <w:rPr>
          <w:color w:val="auto"/>
          <w:lang w:val="en-GB"/>
        </w:rPr>
        <w:instrText xml:space="preserve"> \* MERGEFORMAT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8E48AE"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_Ref214979076 \r \h </w:instrText>
      </w:r>
      <w:r w:rsidR="008E48AE" w:rsidRPr="00305E0F">
        <w:rPr>
          <w:color w:val="auto"/>
          <w:lang w:val="en-GB"/>
        </w:rPr>
        <w:instrText xml:space="preserve"> \* MERGEFORMAT </w:instrText>
      </w:r>
      <w:r w:rsidRPr="00305E0F">
        <w:rPr>
          <w:color w:val="auto"/>
          <w:lang w:val="en-GB"/>
        </w:rPr>
      </w:r>
      <w:r w:rsidRPr="00305E0F">
        <w:rPr>
          <w:color w:val="auto"/>
          <w:lang w:val="en-GB"/>
        </w:rPr>
        <w:fldChar w:fldCharType="separate"/>
      </w:r>
      <w:r w:rsidR="00594C05" w:rsidRPr="00305E0F">
        <w:rPr>
          <w:color w:val="auto"/>
          <w:lang w:val="en-GB"/>
        </w:rPr>
        <w:t>19.4.2</w:t>
      </w:r>
      <w:r w:rsidRPr="00305E0F">
        <w:rPr>
          <w:color w:val="auto"/>
          <w:lang w:val="en-GB"/>
        </w:rPr>
        <w:fldChar w:fldCharType="end"/>
      </w:r>
      <w:r w:rsidRPr="00305E0F">
        <w:rPr>
          <w:color w:val="auto"/>
          <w:lang w:val="en-GB"/>
        </w:rPr>
        <w:t>.</w:t>
      </w:r>
    </w:p>
    <w:p w14:paraId="4211D874" w14:textId="01C8794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57" w:name="_Ref215053773"/>
      <w:r w:rsidRPr="00305E0F">
        <w:rPr>
          <w:color w:val="auto"/>
          <w:lang w:val="en-GB"/>
        </w:rPr>
        <w:t xml:space="preserve">For exposures belonging to the exposure classes referred to in </w:t>
      </w:r>
      <w:r w:rsidR="00107CE8"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107CE8" w:rsidRPr="00305E0F">
        <w:rPr>
          <w:color w:val="auto"/>
          <w:lang w:val="en-GB"/>
        </w:rPr>
        <w:t xml:space="preserve">sub-paragraphs </w:t>
      </w:r>
      <w:r w:rsidRPr="00305E0F">
        <w:rPr>
          <w:color w:val="auto"/>
          <w:lang w:val="en-GB"/>
        </w:rPr>
        <w:fldChar w:fldCharType="begin"/>
      </w:r>
      <w:r w:rsidRPr="00305E0F">
        <w:rPr>
          <w:color w:val="auto"/>
          <w:lang w:val="en-GB"/>
        </w:rPr>
        <w:instrText xml:space="preserve"> REF _Ref214973612 \r \h </w:instrText>
      </w:r>
      <w:r w:rsidRPr="00305E0F">
        <w:rPr>
          <w:color w:val="auto"/>
          <w:lang w:val="en-GB"/>
        </w:rPr>
      </w:r>
      <w:r w:rsidRPr="00305E0F">
        <w:rPr>
          <w:color w:val="auto"/>
          <w:lang w:val="en-GB"/>
        </w:rPr>
        <w:fldChar w:fldCharType="separate"/>
      </w:r>
      <w:r w:rsidR="00594C05" w:rsidRPr="00305E0F">
        <w:rPr>
          <w:color w:val="auto"/>
          <w:lang w:val="en-GB"/>
        </w:rPr>
        <w:t>19.1</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_Ref214974754 \r \h </w:instrText>
      </w:r>
      <w:r w:rsidRPr="00305E0F">
        <w:rPr>
          <w:color w:val="auto"/>
          <w:lang w:val="en-GB"/>
        </w:rPr>
      </w:r>
      <w:r w:rsidRPr="00305E0F">
        <w:rPr>
          <w:color w:val="auto"/>
          <w:lang w:val="en-GB"/>
        </w:rPr>
        <w:fldChar w:fldCharType="separate"/>
      </w:r>
      <w:r w:rsidR="00594C05" w:rsidRPr="00305E0F">
        <w:rPr>
          <w:color w:val="auto"/>
          <w:lang w:val="en-GB"/>
        </w:rPr>
        <w:t>19.2</w:t>
      </w:r>
      <w:r w:rsidRPr="00305E0F">
        <w:rPr>
          <w:color w:val="auto"/>
          <w:lang w:val="en-GB"/>
        </w:rPr>
        <w:fldChar w:fldCharType="end"/>
      </w:r>
      <w:r w:rsidRPr="00305E0F">
        <w:rPr>
          <w:color w:val="auto"/>
          <w:lang w:val="en-GB"/>
        </w:rPr>
        <w:t xml:space="preserve"> or</w:t>
      </w:r>
      <w:r w:rsidR="00107CE8" w:rsidRPr="00305E0F">
        <w:rPr>
          <w:color w:val="auto"/>
          <w:lang w:val="en-GB"/>
        </w:rPr>
        <w:t xml:space="preserve"> </w:t>
      </w:r>
      <w:r w:rsidRPr="00305E0F">
        <w:rPr>
          <w:color w:val="auto"/>
          <w:lang w:val="en-GB"/>
        </w:rPr>
        <w:fldChar w:fldCharType="begin"/>
      </w:r>
      <w:r w:rsidRPr="00305E0F">
        <w:rPr>
          <w:color w:val="auto"/>
          <w:lang w:val="en-GB"/>
        </w:rPr>
        <w:instrText xml:space="preserve"> REF _Ref214978989 \r \h </w:instrText>
      </w:r>
      <w:r w:rsidRPr="00305E0F">
        <w:rPr>
          <w:color w:val="auto"/>
          <w:lang w:val="en-GB"/>
        </w:rPr>
      </w:r>
      <w:r w:rsidRPr="00305E0F">
        <w:rPr>
          <w:color w:val="auto"/>
          <w:lang w:val="en-GB"/>
        </w:rPr>
        <w:fldChar w:fldCharType="separate"/>
      </w:r>
      <w:r w:rsidR="00594C05" w:rsidRPr="00305E0F">
        <w:rPr>
          <w:color w:val="auto"/>
          <w:lang w:val="en-GB"/>
        </w:rPr>
        <w:t>19.4</w:t>
      </w:r>
      <w:r w:rsidRPr="00305E0F">
        <w:rPr>
          <w:color w:val="auto"/>
          <w:lang w:val="en-GB"/>
        </w:rPr>
        <w:fldChar w:fldCharType="end"/>
      </w:r>
      <w:r w:rsidRPr="00305E0F">
        <w:rPr>
          <w:color w:val="auto"/>
          <w:lang w:val="en-GB"/>
        </w:rPr>
        <w:t xml:space="preserve">, except for the exposures referred to in </w:t>
      </w:r>
      <w:r w:rsidR="00107CE8"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_Ref215053812 \r \h </w:instrText>
      </w:r>
      <w:r w:rsidRPr="00305E0F">
        <w:rPr>
          <w:color w:val="auto"/>
          <w:lang w:val="en-GB"/>
        </w:rPr>
      </w:r>
      <w:r w:rsidRPr="00305E0F">
        <w:rPr>
          <w:color w:val="auto"/>
          <w:lang w:val="en-GB"/>
        </w:rPr>
        <w:fldChar w:fldCharType="separate"/>
      </w:r>
      <w:r w:rsidR="00594C05" w:rsidRPr="00305E0F">
        <w:rPr>
          <w:color w:val="auto"/>
          <w:lang w:val="en-GB"/>
        </w:rPr>
        <w:t>54</w:t>
      </w:r>
      <w:r w:rsidRPr="00305E0F">
        <w:rPr>
          <w:color w:val="auto"/>
          <w:lang w:val="en-GB"/>
        </w:rPr>
        <w:fldChar w:fldCharType="end"/>
      </w:r>
      <w:r w:rsidRPr="00305E0F">
        <w:rPr>
          <w:color w:val="auto"/>
          <w:lang w:val="en-GB"/>
        </w:rPr>
        <w:t xml:space="preserve">, banks shall apply the LGD values set out in </w:t>
      </w:r>
      <w:r w:rsidR="00107CE8"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_Ref215503005 \r \h </w:instrText>
      </w:r>
      <w:r w:rsidRPr="00305E0F">
        <w:rPr>
          <w:color w:val="auto"/>
          <w:lang w:val="en-GB"/>
        </w:rPr>
      </w:r>
      <w:r w:rsidRPr="00305E0F">
        <w:rPr>
          <w:color w:val="auto"/>
          <w:lang w:val="en-GB"/>
        </w:rPr>
        <w:fldChar w:fldCharType="separate"/>
      </w:r>
      <w:r w:rsidR="00594C05" w:rsidRPr="00305E0F">
        <w:rPr>
          <w:color w:val="auto"/>
          <w:lang w:val="en-GB"/>
        </w:rPr>
        <w:t>114</w:t>
      </w:r>
      <w:r w:rsidRPr="00305E0F">
        <w:rPr>
          <w:color w:val="auto"/>
          <w:lang w:val="en-GB"/>
        </w:rPr>
        <w:fldChar w:fldCharType="end"/>
      </w:r>
      <w:r w:rsidRPr="00305E0F">
        <w:rPr>
          <w:color w:val="auto"/>
          <w:lang w:val="en-GB"/>
        </w:rPr>
        <w:t xml:space="preserve"> and the SA-CCF in accordance with </w:t>
      </w:r>
      <w:r w:rsidR="00107CE8"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_Ref215502511 \r \h </w:instrText>
      </w:r>
      <w:r w:rsidRPr="00305E0F">
        <w:rPr>
          <w:color w:val="auto"/>
          <w:lang w:val="en-GB"/>
        </w:rPr>
      </w:r>
      <w:r w:rsidRPr="00305E0F">
        <w:rPr>
          <w:color w:val="auto"/>
          <w:lang w:val="en-GB"/>
        </w:rPr>
        <w:fldChar w:fldCharType="separate"/>
      </w:r>
      <w:r w:rsidR="00594C05" w:rsidRPr="00305E0F">
        <w:rPr>
          <w:color w:val="auto"/>
          <w:lang w:val="en-GB"/>
        </w:rPr>
        <w:t>151</w:t>
      </w:r>
      <w:r w:rsidRPr="00305E0F">
        <w:rPr>
          <w:color w:val="auto"/>
          <w:lang w:val="en-GB"/>
        </w:rPr>
        <w:fldChar w:fldCharType="end"/>
      </w:r>
      <w:r w:rsidR="00107CE8" w:rsidRPr="00305E0F">
        <w:rPr>
          <w:color w:val="auto"/>
          <w:lang w:val="en-GB"/>
        </w:rPr>
        <w:t>-</w:t>
      </w:r>
      <w:r w:rsidRPr="00305E0F">
        <w:rPr>
          <w:color w:val="auto"/>
          <w:lang w:val="en-GB"/>
        </w:rPr>
        <w:fldChar w:fldCharType="begin"/>
      </w:r>
      <w:r w:rsidRPr="00305E0F">
        <w:rPr>
          <w:color w:val="auto"/>
          <w:lang w:val="en-GB"/>
        </w:rPr>
        <w:instrText xml:space="preserve"> REF _Ref215502520 \r \h  \* MERGEFORMAT </w:instrText>
      </w:r>
      <w:r w:rsidRPr="00305E0F">
        <w:rPr>
          <w:color w:val="auto"/>
          <w:lang w:val="en-GB"/>
        </w:rPr>
      </w:r>
      <w:r w:rsidRPr="00305E0F">
        <w:rPr>
          <w:color w:val="auto"/>
          <w:lang w:val="en-GB"/>
        </w:rPr>
        <w:fldChar w:fldCharType="separate"/>
      </w:r>
      <w:r w:rsidR="00594C05" w:rsidRPr="00305E0F">
        <w:rPr>
          <w:color w:val="auto"/>
          <w:lang w:val="en-GB"/>
        </w:rPr>
        <w:t>154</w:t>
      </w:r>
      <w:r w:rsidRPr="00305E0F">
        <w:rPr>
          <w:color w:val="auto"/>
          <w:lang w:val="en-GB"/>
        </w:rPr>
        <w:fldChar w:fldCharType="end"/>
      </w:r>
      <w:r w:rsidR="00107CE8" w:rsidRPr="00305E0F">
        <w:rPr>
          <w:color w:val="auto"/>
          <w:lang w:val="en-GB"/>
        </w:rPr>
        <w:t xml:space="preserve">, </w:t>
      </w:r>
      <w:r w:rsidRPr="00305E0F">
        <w:rPr>
          <w:color w:val="auto"/>
          <w:lang w:val="en-GB"/>
        </w:rPr>
        <w:fldChar w:fldCharType="begin"/>
      </w:r>
      <w:r w:rsidRPr="00305E0F">
        <w:rPr>
          <w:color w:val="auto"/>
          <w:lang w:val="en-GB"/>
        </w:rPr>
        <w:instrText xml:space="preserve"> REF _Ref215235759 \r \h </w:instrText>
      </w:r>
      <w:r w:rsidRPr="00305E0F">
        <w:rPr>
          <w:color w:val="auto"/>
          <w:lang w:val="en-GB"/>
        </w:rPr>
      </w:r>
      <w:r w:rsidRPr="00305E0F">
        <w:rPr>
          <w:color w:val="auto"/>
          <w:lang w:val="en-GB"/>
        </w:rPr>
        <w:fldChar w:fldCharType="separate"/>
      </w:r>
      <w:r w:rsidR="00594C05" w:rsidRPr="00305E0F">
        <w:rPr>
          <w:color w:val="auto"/>
          <w:lang w:val="en-GB"/>
        </w:rPr>
        <w:t>155</w:t>
      </w:r>
      <w:r w:rsidRPr="00305E0F">
        <w:rPr>
          <w:color w:val="auto"/>
          <w:lang w:val="en-GB"/>
        </w:rPr>
        <w:fldChar w:fldCharType="end"/>
      </w:r>
      <w:r w:rsidRPr="00305E0F">
        <w:rPr>
          <w:color w:val="auto"/>
          <w:lang w:val="en-GB"/>
        </w:rPr>
        <w:t xml:space="preserve">, and </w:t>
      </w:r>
      <w:r w:rsidR="00107CE8" w:rsidRPr="00305E0F">
        <w:rPr>
          <w:color w:val="auto"/>
          <w:highlight w:val="yellow"/>
          <w:lang w:val="en-GB"/>
        </w:rPr>
        <w:fldChar w:fldCharType="begin"/>
      </w:r>
      <w:r w:rsidR="00107CE8" w:rsidRPr="00305E0F">
        <w:rPr>
          <w:color w:val="auto"/>
          <w:lang w:val="en-GB"/>
        </w:rPr>
        <w:instrText xml:space="preserve"> REF _Ref215235767 \r \h </w:instrText>
      </w:r>
      <w:r w:rsidR="00107CE8" w:rsidRPr="00305E0F">
        <w:rPr>
          <w:color w:val="auto"/>
          <w:highlight w:val="yellow"/>
          <w:lang w:val="en-GB"/>
        </w:rPr>
      </w:r>
      <w:r w:rsidR="00107CE8" w:rsidRPr="00305E0F">
        <w:rPr>
          <w:color w:val="auto"/>
          <w:highlight w:val="yellow"/>
          <w:lang w:val="en-GB"/>
        </w:rPr>
        <w:fldChar w:fldCharType="separate"/>
      </w:r>
      <w:r w:rsidR="00107CE8" w:rsidRPr="00305E0F">
        <w:rPr>
          <w:color w:val="auto"/>
          <w:lang w:val="en-GB"/>
        </w:rPr>
        <w:t>156</w:t>
      </w:r>
      <w:r w:rsidR="00107CE8" w:rsidRPr="00305E0F">
        <w:rPr>
          <w:color w:val="auto"/>
          <w:highlight w:val="yellow"/>
          <w:lang w:val="en-GB"/>
        </w:rPr>
        <w:fldChar w:fldCharType="end"/>
      </w:r>
      <w:r w:rsidR="00107CE8" w:rsidRPr="00305E0F">
        <w:rPr>
          <w:color w:val="auto"/>
          <w:lang w:val="en-GB"/>
        </w:rPr>
        <w:t>-</w:t>
      </w:r>
      <w:r w:rsidRPr="00305E0F">
        <w:rPr>
          <w:color w:val="auto"/>
          <w:highlight w:val="yellow"/>
          <w:lang w:val="en-GB"/>
        </w:rPr>
        <w:fldChar w:fldCharType="begin"/>
      </w:r>
      <w:r w:rsidRPr="00305E0F">
        <w:rPr>
          <w:color w:val="auto"/>
          <w:lang w:val="en-GB"/>
        </w:rPr>
        <w:instrText xml:space="preserve"> REF _Ref215502546 \r \h </w:instrText>
      </w:r>
      <w:r w:rsidRPr="00305E0F">
        <w:rPr>
          <w:color w:val="auto"/>
          <w:highlight w:val="yellow"/>
          <w:lang w:val="en-GB"/>
        </w:rPr>
      </w:r>
      <w:r w:rsidRPr="00305E0F">
        <w:rPr>
          <w:color w:val="auto"/>
          <w:highlight w:val="yellow"/>
          <w:lang w:val="en-GB"/>
        </w:rPr>
        <w:fldChar w:fldCharType="separate"/>
      </w:r>
      <w:r w:rsidR="00594C05" w:rsidRPr="00305E0F">
        <w:rPr>
          <w:color w:val="auto"/>
          <w:lang w:val="en-GB"/>
        </w:rPr>
        <w:t>157</w:t>
      </w:r>
      <w:r w:rsidRPr="00305E0F">
        <w:rPr>
          <w:color w:val="auto"/>
          <w:highlight w:val="yellow"/>
          <w:lang w:val="en-GB"/>
        </w:rPr>
        <w:fldChar w:fldCharType="end"/>
      </w:r>
      <w:r w:rsidRPr="00305E0F">
        <w:rPr>
          <w:color w:val="auto"/>
          <w:lang w:val="en-GB"/>
        </w:rPr>
        <w:t xml:space="preserve">, unless they have been permitted to use their own estimates of LGD and IRB-CCF for those exposures in accordance with </w:t>
      </w:r>
      <w:r w:rsidR="00107CE8"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_Ref215053732 \r \h </w:instrText>
      </w:r>
      <w:r w:rsidRPr="00305E0F">
        <w:rPr>
          <w:color w:val="auto"/>
          <w:lang w:val="en-GB"/>
        </w:rPr>
      </w:r>
      <w:r w:rsidRPr="00305E0F">
        <w:rPr>
          <w:color w:val="auto"/>
          <w:lang w:val="en-GB"/>
        </w:rPr>
        <w:fldChar w:fldCharType="separate"/>
      </w:r>
      <w:r w:rsidR="00594C05" w:rsidRPr="00305E0F">
        <w:rPr>
          <w:color w:val="auto"/>
          <w:lang w:val="en-GB"/>
        </w:rPr>
        <w:t>56</w:t>
      </w:r>
      <w:r w:rsidRPr="00305E0F">
        <w:rPr>
          <w:color w:val="auto"/>
          <w:lang w:val="en-GB"/>
        </w:rPr>
        <w:fldChar w:fldCharType="end"/>
      </w:r>
      <w:r w:rsidRPr="00305E0F">
        <w:rPr>
          <w:color w:val="auto"/>
          <w:lang w:val="en-GB"/>
        </w:rPr>
        <w:t>.</w:t>
      </w:r>
      <w:bookmarkEnd w:id="57"/>
    </w:p>
    <w:p w14:paraId="28D47A0D" w14:textId="02E1D790"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58" w:name="_Ref215053732"/>
      <w:r w:rsidRPr="00305E0F">
        <w:rPr>
          <w:color w:val="auto"/>
          <w:lang w:val="en-GB"/>
        </w:rPr>
        <w:t>For the exposures referred to in paragraph</w:t>
      </w:r>
      <w:r w:rsidR="00107CE8" w:rsidRPr="00305E0F">
        <w:rPr>
          <w:color w:val="auto"/>
          <w:lang w:val="en-GB"/>
        </w:rPr>
        <w:t xml:space="preserve"> </w:t>
      </w:r>
      <w:r w:rsidRPr="00305E0F">
        <w:rPr>
          <w:color w:val="auto"/>
          <w:lang w:val="en-GB"/>
        </w:rPr>
        <w:fldChar w:fldCharType="begin"/>
      </w:r>
      <w:r w:rsidRPr="00305E0F">
        <w:rPr>
          <w:color w:val="auto"/>
          <w:lang w:val="en-GB"/>
        </w:rPr>
        <w:instrText xml:space="preserve"> REF _Ref215053773 \r \h </w:instrText>
      </w:r>
      <w:r w:rsidRPr="00305E0F">
        <w:rPr>
          <w:color w:val="auto"/>
          <w:lang w:val="en-GB"/>
        </w:rPr>
      </w:r>
      <w:r w:rsidRPr="00305E0F">
        <w:rPr>
          <w:color w:val="auto"/>
          <w:lang w:val="en-GB"/>
        </w:rPr>
        <w:fldChar w:fldCharType="separate"/>
      </w:r>
      <w:r w:rsidR="00594C05" w:rsidRPr="00305E0F">
        <w:rPr>
          <w:color w:val="auto"/>
          <w:lang w:val="en-GB"/>
        </w:rPr>
        <w:t>55</w:t>
      </w:r>
      <w:r w:rsidRPr="00305E0F">
        <w:rPr>
          <w:color w:val="auto"/>
          <w:lang w:val="en-GB"/>
        </w:rPr>
        <w:fldChar w:fldCharType="end"/>
      </w:r>
      <w:r w:rsidRPr="00305E0F">
        <w:rPr>
          <w:color w:val="auto"/>
          <w:lang w:val="en-GB"/>
        </w:rPr>
        <w:t xml:space="preserve">, the National Bank of Moldova shall allow banks to use own estimates of LGD as well as IRB-CCF, where applicable, pursuant to paragraphs </w:t>
      </w:r>
      <w:r w:rsidRPr="00305E0F">
        <w:rPr>
          <w:color w:val="auto"/>
          <w:lang w:val="en-GB"/>
        </w:rPr>
        <w:fldChar w:fldCharType="begin"/>
      </w:r>
      <w:r w:rsidRPr="00305E0F">
        <w:rPr>
          <w:color w:val="auto"/>
          <w:lang w:val="en-GB"/>
        </w:rPr>
        <w:instrText xml:space="preserve"> REF _Ref215502511 \r \h </w:instrText>
      </w:r>
      <w:r w:rsidRPr="00305E0F">
        <w:rPr>
          <w:color w:val="auto"/>
          <w:lang w:val="en-GB"/>
        </w:rPr>
      </w:r>
      <w:r w:rsidRPr="00305E0F">
        <w:rPr>
          <w:color w:val="auto"/>
          <w:lang w:val="en-GB"/>
        </w:rPr>
        <w:fldChar w:fldCharType="separate"/>
      </w:r>
      <w:r w:rsidR="00594C05" w:rsidRPr="00305E0F">
        <w:rPr>
          <w:color w:val="auto"/>
          <w:lang w:val="en-GB"/>
        </w:rPr>
        <w:t>151</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_Ref215502520 \r \h  \* MERGEFORMAT </w:instrText>
      </w:r>
      <w:r w:rsidRPr="00305E0F">
        <w:rPr>
          <w:color w:val="auto"/>
          <w:lang w:val="en-GB"/>
        </w:rPr>
      </w:r>
      <w:r w:rsidRPr="00305E0F">
        <w:rPr>
          <w:color w:val="auto"/>
          <w:lang w:val="en-GB"/>
        </w:rPr>
        <w:fldChar w:fldCharType="separate"/>
      </w:r>
      <w:r w:rsidR="00594C05" w:rsidRPr="00305E0F">
        <w:rPr>
          <w:color w:val="auto"/>
          <w:lang w:val="en-GB"/>
        </w:rPr>
        <w:t>154</w:t>
      </w:r>
      <w:r w:rsidRPr="00305E0F">
        <w:rPr>
          <w:color w:val="auto"/>
          <w:lang w:val="en-GB"/>
        </w:rPr>
        <w:fldChar w:fldCharType="end"/>
      </w:r>
      <w:r w:rsidRPr="00305E0F">
        <w:rPr>
          <w:color w:val="auto"/>
          <w:lang w:val="en-GB"/>
        </w:rPr>
        <w:t xml:space="preserve"> and </w:t>
      </w:r>
      <w:r w:rsidRPr="00305E0F">
        <w:rPr>
          <w:color w:val="auto"/>
          <w:highlight w:val="yellow"/>
          <w:lang w:val="en-GB"/>
        </w:rPr>
        <w:fldChar w:fldCharType="begin"/>
      </w:r>
      <w:r w:rsidRPr="00305E0F">
        <w:rPr>
          <w:color w:val="auto"/>
          <w:lang w:val="en-GB"/>
        </w:rPr>
        <w:instrText xml:space="preserve"> REF _Ref215235767 \r \h </w:instrText>
      </w:r>
      <w:r w:rsidRPr="00305E0F">
        <w:rPr>
          <w:color w:val="auto"/>
          <w:highlight w:val="yellow"/>
          <w:lang w:val="en-GB"/>
        </w:rPr>
      </w:r>
      <w:r w:rsidRPr="00305E0F">
        <w:rPr>
          <w:color w:val="auto"/>
          <w:highlight w:val="yellow"/>
          <w:lang w:val="en-GB"/>
        </w:rPr>
        <w:fldChar w:fldCharType="separate"/>
      </w:r>
      <w:r w:rsidR="00594C05" w:rsidRPr="00305E0F">
        <w:rPr>
          <w:color w:val="auto"/>
          <w:lang w:val="en-GB"/>
        </w:rPr>
        <w:t>156</w:t>
      </w:r>
      <w:r w:rsidRPr="00305E0F">
        <w:rPr>
          <w:color w:val="auto"/>
          <w:highlight w:val="yellow"/>
          <w:lang w:val="en-GB"/>
        </w:rPr>
        <w:fldChar w:fldCharType="end"/>
      </w:r>
      <w:r w:rsidRPr="00305E0F">
        <w:rPr>
          <w:color w:val="auto"/>
          <w:lang w:val="en-GB"/>
        </w:rPr>
        <w:t>-</w:t>
      </w:r>
      <w:r w:rsidRPr="00305E0F">
        <w:rPr>
          <w:color w:val="auto"/>
          <w:highlight w:val="yellow"/>
          <w:lang w:val="en-GB"/>
        </w:rPr>
        <w:fldChar w:fldCharType="begin"/>
      </w:r>
      <w:r w:rsidRPr="00305E0F">
        <w:rPr>
          <w:color w:val="auto"/>
          <w:lang w:val="en-GB"/>
        </w:rPr>
        <w:instrText xml:space="preserve"> REF _Ref215502546 \r \h </w:instrText>
      </w:r>
      <w:r w:rsidRPr="00305E0F">
        <w:rPr>
          <w:color w:val="auto"/>
          <w:highlight w:val="yellow"/>
          <w:lang w:val="en-GB"/>
        </w:rPr>
      </w:r>
      <w:r w:rsidRPr="00305E0F">
        <w:rPr>
          <w:color w:val="auto"/>
          <w:highlight w:val="yellow"/>
          <w:lang w:val="en-GB"/>
        </w:rPr>
        <w:fldChar w:fldCharType="separate"/>
      </w:r>
      <w:r w:rsidR="00594C05" w:rsidRPr="00305E0F">
        <w:rPr>
          <w:color w:val="auto"/>
          <w:lang w:val="en-GB"/>
        </w:rPr>
        <w:t>157</w:t>
      </w:r>
      <w:r w:rsidRPr="00305E0F">
        <w:rPr>
          <w:color w:val="auto"/>
          <w:highlight w:val="yellow"/>
          <w:lang w:val="en-GB"/>
        </w:rPr>
        <w:fldChar w:fldCharType="end"/>
      </w:r>
      <w:r w:rsidRPr="00305E0F">
        <w:rPr>
          <w:color w:val="auto"/>
          <w:lang w:val="en-GB"/>
        </w:rPr>
        <w:t xml:space="preserve">, in accordance with paragraphs </w:t>
      </w:r>
      <w:r w:rsidRPr="00305E0F">
        <w:rPr>
          <w:color w:val="auto"/>
          <w:lang w:val="en-GB"/>
        </w:rPr>
        <w:fldChar w:fldCharType="begin"/>
      </w:r>
      <w:r w:rsidRPr="00305E0F">
        <w:rPr>
          <w:color w:val="auto"/>
          <w:lang w:val="en-GB"/>
        </w:rPr>
        <w:instrText xml:space="preserve"> REF _Ref215069496 \r \h </w:instrText>
      </w:r>
      <w:r w:rsidRPr="00305E0F">
        <w:rPr>
          <w:color w:val="auto"/>
          <w:lang w:val="en-GB"/>
        </w:rPr>
      </w:r>
      <w:r w:rsidRPr="00305E0F">
        <w:rPr>
          <w:color w:val="auto"/>
          <w:lang w:val="en-GB"/>
        </w:rPr>
        <w:fldChar w:fldCharType="separate"/>
      </w:r>
      <w:r w:rsidR="00594C05" w:rsidRPr="00305E0F">
        <w:rPr>
          <w:color w:val="auto"/>
          <w:lang w:val="en-GB"/>
        </w:rPr>
        <w:t>4</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_Ref215069507 \r \h </w:instrText>
      </w:r>
      <w:r w:rsidRPr="00305E0F">
        <w:rPr>
          <w:color w:val="auto"/>
          <w:lang w:val="en-GB"/>
        </w:rPr>
      </w:r>
      <w:r w:rsidRPr="00305E0F">
        <w:rPr>
          <w:color w:val="auto"/>
          <w:lang w:val="en-GB"/>
        </w:rPr>
        <w:fldChar w:fldCharType="separate"/>
      </w:r>
      <w:r w:rsidR="00594C05" w:rsidRPr="00305E0F">
        <w:rPr>
          <w:color w:val="auto"/>
          <w:lang w:val="en-GB"/>
        </w:rPr>
        <w:t>7</w:t>
      </w:r>
      <w:r w:rsidRPr="00305E0F">
        <w:rPr>
          <w:color w:val="auto"/>
          <w:lang w:val="en-GB"/>
        </w:rPr>
        <w:fldChar w:fldCharType="end"/>
      </w:r>
      <w:r w:rsidRPr="00305E0F">
        <w:rPr>
          <w:color w:val="auto"/>
          <w:lang w:val="en-GB"/>
        </w:rPr>
        <w:t xml:space="preserve"> and Chapter VI.</w:t>
      </w:r>
      <w:bookmarkEnd w:id="58"/>
    </w:p>
    <w:p w14:paraId="49BC56DB" w14:textId="236EAE2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For securit</w:t>
      </w:r>
      <w:r w:rsidR="00107CE8" w:rsidRPr="00305E0F">
        <w:rPr>
          <w:color w:val="auto"/>
          <w:lang w:val="en-GB"/>
        </w:rPr>
        <w:t>ised</w:t>
      </w:r>
      <w:r w:rsidRPr="00305E0F">
        <w:rPr>
          <w:color w:val="auto"/>
          <w:lang w:val="en-GB"/>
        </w:rPr>
        <w:t xml:space="preserve"> exposures and those assigned to the exposure class </w:t>
      </w:r>
      <w:r w:rsidR="00107CE8" w:rsidRPr="00305E0F">
        <w:rPr>
          <w:color w:val="auto"/>
          <w:lang w:val="en-GB"/>
        </w:rPr>
        <w:t>“</w:t>
      </w:r>
      <w:r w:rsidRPr="00305E0F">
        <w:rPr>
          <w:color w:val="auto"/>
          <w:lang w:val="en-GB"/>
        </w:rPr>
        <w:t>items representing securitisation positions</w:t>
      </w:r>
      <w:r w:rsidR="00107CE8" w:rsidRPr="00305E0F">
        <w:rPr>
          <w:color w:val="auto"/>
          <w:lang w:val="en-GB"/>
        </w:rPr>
        <w:t>”</w:t>
      </w:r>
      <w:r w:rsidRPr="00305E0F">
        <w:rPr>
          <w:color w:val="auto"/>
          <w:lang w:val="en-GB"/>
        </w:rPr>
        <w:t xml:space="preserve"> referred to in</w:t>
      </w:r>
      <w:r w:rsidR="00107CE8" w:rsidRPr="00305E0F">
        <w:rPr>
          <w:color w:val="auto"/>
          <w:lang w:val="en-GB"/>
        </w:rPr>
        <w:t xml:space="preserve"> 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_Ref214974472 \r \h </w:instrText>
      </w:r>
      <w:r w:rsidR="00107CE8" w:rsidRPr="00305E0F">
        <w:rPr>
          <w:color w:val="auto"/>
          <w:lang w:val="en-GB"/>
        </w:rPr>
        <w:instrText xml:space="preserve"> \* MERGEFORMAT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107CE8"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_Ref214984969 \r \h </w:instrText>
      </w:r>
      <w:r w:rsidR="00107CE8" w:rsidRPr="00305E0F">
        <w:rPr>
          <w:color w:val="auto"/>
          <w:lang w:val="en-GB"/>
        </w:rPr>
        <w:instrText xml:space="preserve"> \* MERGEFORMAT </w:instrText>
      </w:r>
      <w:r w:rsidRPr="00305E0F">
        <w:rPr>
          <w:color w:val="auto"/>
          <w:lang w:val="en-GB"/>
        </w:rPr>
      </w:r>
      <w:r w:rsidRPr="00305E0F">
        <w:rPr>
          <w:color w:val="auto"/>
          <w:lang w:val="en-GB"/>
        </w:rPr>
        <w:fldChar w:fldCharType="separate"/>
      </w:r>
      <w:r w:rsidR="00594C05" w:rsidRPr="00305E0F">
        <w:rPr>
          <w:color w:val="auto"/>
          <w:lang w:val="en-GB"/>
        </w:rPr>
        <w:t>19.8</w:t>
      </w:r>
      <w:r w:rsidRPr="00305E0F">
        <w:rPr>
          <w:color w:val="auto"/>
          <w:lang w:val="en-GB"/>
        </w:rPr>
        <w:fldChar w:fldCharType="end"/>
      </w:r>
      <w:r w:rsidRPr="00305E0F">
        <w:rPr>
          <w:color w:val="auto"/>
          <w:lang w:val="en-GB"/>
        </w:rPr>
        <w:t>, risk-weighted exposure amounts shall be calculated in accordance with the normative acts of the National Bank of Moldova related to the prudential treatment of securitisations.</w:t>
      </w:r>
    </w:p>
    <w:p w14:paraId="4F8E135D" w14:textId="6F6BCAC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 </w:t>
      </w:r>
      <w:bookmarkStart w:id="59" w:name="_Ref215084092"/>
      <w:r w:rsidRPr="00305E0F">
        <w:rPr>
          <w:color w:val="auto"/>
          <w:lang w:val="en-GB"/>
        </w:rPr>
        <w:t>For exposures in the form of shares or units in a CIU that belong to the exposure class referred to in</w:t>
      </w:r>
      <w:r w:rsidR="00107CE8" w:rsidRPr="00305E0F">
        <w:rPr>
          <w:color w:val="auto"/>
          <w:lang w:val="en-GB"/>
        </w:rPr>
        <w:t xml:space="preserve"> 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_Ref214974472 \r \h  \* MERGEFORMAT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107CE8"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_Ref214984959 \r \h  \* MERGEFORMAT </w:instrText>
      </w:r>
      <w:r w:rsidRPr="00305E0F">
        <w:rPr>
          <w:color w:val="auto"/>
          <w:lang w:val="en-GB"/>
        </w:rPr>
      </w:r>
      <w:r w:rsidRPr="00305E0F">
        <w:rPr>
          <w:color w:val="auto"/>
          <w:lang w:val="en-GB"/>
        </w:rPr>
        <w:fldChar w:fldCharType="separate"/>
      </w:r>
      <w:r w:rsidR="00594C05" w:rsidRPr="00305E0F">
        <w:rPr>
          <w:color w:val="auto"/>
          <w:lang w:val="en-GB"/>
        </w:rPr>
        <w:t>19.7</w:t>
      </w:r>
      <w:r w:rsidRPr="00305E0F">
        <w:rPr>
          <w:color w:val="auto"/>
          <w:lang w:val="en-GB"/>
        </w:rPr>
        <w:fldChar w:fldCharType="end"/>
      </w:r>
      <w:r w:rsidRPr="00305E0F">
        <w:rPr>
          <w:color w:val="auto"/>
          <w:lang w:val="en-GB"/>
        </w:rPr>
        <w:t xml:space="preserve">, banks shall apply the treatment set out in </w:t>
      </w:r>
      <w:r w:rsidR="00704220" w:rsidRPr="00305E0F">
        <w:rPr>
          <w:color w:val="auto"/>
          <w:lang w:val="en-GB"/>
        </w:rPr>
        <w:t>paragraph</w:t>
      </w:r>
      <w:r w:rsidRPr="00305E0F">
        <w:rPr>
          <w:color w:val="auto"/>
          <w:lang w:val="en-GB"/>
        </w:rPr>
        <w:t xml:space="preserve">s </w:t>
      </w:r>
      <w:r w:rsidRPr="00305E0F">
        <w:rPr>
          <w:color w:val="auto"/>
          <w:lang w:val="en-GB"/>
        </w:rPr>
        <w:fldChar w:fldCharType="begin"/>
      </w:r>
      <w:r w:rsidRPr="00305E0F">
        <w:rPr>
          <w:color w:val="auto"/>
          <w:lang w:val="en-GB"/>
        </w:rPr>
        <w:instrText xml:space="preserve"> REF _Ref215041959 \r \h </w:instrText>
      </w:r>
      <w:r w:rsidRPr="00305E0F">
        <w:rPr>
          <w:color w:val="auto"/>
          <w:lang w:val="en-GB"/>
        </w:rPr>
      </w:r>
      <w:r w:rsidRPr="00305E0F">
        <w:rPr>
          <w:color w:val="auto"/>
          <w:lang w:val="en-GB"/>
        </w:rPr>
        <w:fldChar w:fldCharType="separate"/>
      </w:r>
      <w:r w:rsidR="00594C05" w:rsidRPr="00305E0F">
        <w:rPr>
          <w:color w:val="auto"/>
          <w:lang w:val="en-GB"/>
        </w:rPr>
        <w:t>59</w:t>
      </w:r>
      <w:r w:rsidRPr="00305E0F">
        <w:rPr>
          <w:color w:val="auto"/>
          <w:lang w:val="en-GB"/>
        </w:rPr>
        <w:fldChar w:fldCharType="end"/>
      </w:r>
      <w:r w:rsidR="00107CE8" w:rsidRPr="00305E0F">
        <w:rPr>
          <w:color w:val="auto"/>
          <w:lang w:val="en-GB"/>
        </w:rPr>
        <w:t>-</w:t>
      </w:r>
      <w:r w:rsidRPr="00305E0F">
        <w:rPr>
          <w:color w:val="auto"/>
          <w:lang w:val="en-GB"/>
        </w:rPr>
        <w:fldChar w:fldCharType="begin"/>
      </w:r>
      <w:r w:rsidRPr="00305E0F">
        <w:rPr>
          <w:color w:val="auto"/>
          <w:lang w:val="en-GB"/>
        </w:rPr>
        <w:instrText xml:space="preserve"> REF _Ref215069159 \r \h </w:instrText>
      </w:r>
      <w:r w:rsidRPr="00305E0F">
        <w:rPr>
          <w:color w:val="auto"/>
          <w:lang w:val="en-GB"/>
        </w:rPr>
      </w:r>
      <w:r w:rsidRPr="00305E0F">
        <w:rPr>
          <w:color w:val="auto"/>
          <w:lang w:val="en-GB"/>
        </w:rPr>
        <w:fldChar w:fldCharType="separate"/>
      </w:r>
      <w:r w:rsidR="00594C05" w:rsidRPr="00305E0F">
        <w:rPr>
          <w:color w:val="auto"/>
          <w:lang w:val="en-GB"/>
        </w:rPr>
        <w:t>70</w:t>
      </w:r>
      <w:r w:rsidRPr="00305E0F">
        <w:rPr>
          <w:color w:val="auto"/>
          <w:lang w:val="en-GB"/>
        </w:rPr>
        <w:fldChar w:fldCharType="end"/>
      </w:r>
      <w:r w:rsidRPr="00305E0F">
        <w:rPr>
          <w:color w:val="auto"/>
          <w:lang w:val="en-GB"/>
        </w:rPr>
        <w:t>, unless those exposures are deducted from own funds or are subject to deduction from eligible liabilities items under Regulation No 109/2018.</w:t>
      </w:r>
      <w:bookmarkEnd w:id="59"/>
    </w:p>
    <w:p w14:paraId="60651AB7" w14:textId="2BB2F3F8"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bCs/>
          <w:iCs/>
          <w:color w:val="auto"/>
          <w:lang w:val="en-GB"/>
        </w:rPr>
      </w:pPr>
      <w:r w:rsidRPr="00305E0F">
        <w:rPr>
          <w:color w:val="auto"/>
          <w:lang w:val="en-GB"/>
        </w:rPr>
        <w:t>Subsection 2</w:t>
      </w:r>
    </w:p>
    <w:p w14:paraId="5C310A4D" w14:textId="1333774D" w:rsidR="00EB0050" w:rsidRPr="00305E0F" w:rsidRDefault="00B02122">
      <w:pPr>
        <w:pStyle w:val="P68B1DB1-ListParagraph15"/>
        <w:shd w:val="clear" w:color="auto" w:fill="FFFFFF"/>
        <w:tabs>
          <w:tab w:val="left" w:pos="0"/>
          <w:tab w:val="left" w:pos="567"/>
        </w:tabs>
        <w:spacing w:after="120" w:line="240" w:lineRule="auto"/>
        <w:ind w:left="0"/>
        <w:contextualSpacing w:val="0"/>
        <w:jc w:val="center"/>
        <w:rPr>
          <w:color w:val="auto"/>
          <w:lang w:val="en-GB"/>
        </w:rPr>
      </w:pPr>
      <w:r w:rsidRPr="00305E0F">
        <w:rPr>
          <w:color w:val="auto"/>
          <w:lang w:val="en-GB"/>
        </w:rPr>
        <w:t>Treatment of exposures in the form of units or shares in CIUs</w:t>
      </w:r>
    </w:p>
    <w:p w14:paraId="45BEABAC" w14:textId="10B828A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60" w:name="_Ref215041959"/>
      <w:r w:rsidRPr="00305E0F">
        <w:rPr>
          <w:color w:val="auto"/>
          <w:lang w:val="en-GB"/>
        </w:rPr>
        <w:t xml:space="preserve">Banks shall calculate risk-weighted exposure amounts for their exposures in the form of units or shares in a CIU by multiplying the risk-weighted exposure amount for the CIU calculated in accordance with the approaches set out in </w:t>
      </w:r>
      <w:r w:rsidR="00107CE8" w:rsidRPr="00305E0F">
        <w:rPr>
          <w:color w:val="auto"/>
          <w:lang w:val="en-GB"/>
        </w:rPr>
        <w:t>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_Ref215041769 \r \h </w:instrText>
      </w:r>
      <w:r w:rsidRPr="00305E0F">
        <w:rPr>
          <w:color w:val="auto"/>
          <w:lang w:val="en-GB"/>
        </w:rPr>
      </w:r>
      <w:r w:rsidRPr="00305E0F">
        <w:rPr>
          <w:color w:val="auto"/>
          <w:lang w:val="en-GB"/>
        </w:rPr>
        <w:fldChar w:fldCharType="separate"/>
      </w:r>
      <w:r w:rsidR="00594C05" w:rsidRPr="00305E0F">
        <w:rPr>
          <w:color w:val="auto"/>
          <w:lang w:val="en-GB"/>
        </w:rPr>
        <w:t>60</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_Ref215041869 \r \h </w:instrText>
      </w:r>
      <w:r w:rsidRPr="00305E0F">
        <w:rPr>
          <w:color w:val="auto"/>
          <w:lang w:val="en-GB"/>
        </w:rPr>
      </w:r>
      <w:r w:rsidRPr="00305E0F">
        <w:rPr>
          <w:color w:val="auto"/>
          <w:lang w:val="en-GB"/>
        </w:rPr>
        <w:fldChar w:fldCharType="separate"/>
      </w:r>
      <w:r w:rsidR="00594C05" w:rsidRPr="00305E0F">
        <w:rPr>
          <w:color w:val="auto"/>
          <w:lang w:val="en-GB"/>
        </w:rPr>
        <w:t>64</w:t>
      </w:r>
      <w:r w:rsidRPr="00305E0F">
        <w:rPr>
          <w:color w:val="auto"/>
          <w:lang w:val="en-GB"/>
        </w:rPr>
        <w:fldChar w:fldCharType="end"/>
      </w:r>
      <w:r w:rsidR="00107CE8" w:rsidRPr="00305E0F">
        <w:rPr>
          <w:color w:val="auto"/>
          <w:lang w:val="en-GB"/>
        </w:rPr>
        <w:t xml:space="preserve"> </w:t>
      </w:r>
      <w:r w:rsidRPr="00305E0F">
        <w:rPr>
          <w:color w:val="auto"/>
          <w:lang w:val="en-GB"/>
        </w:rPr>
        <w:t>by the percentage of units or shares held by those banks.</w:t>
      </w:r>
      <w:bookmarkEnd w:id="60"/>
    </w:p>
    <w:p w14:paraId="3ECCB8A8" w14:textId="21D2B6A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61" w:name="_Ref215041769"/>
      <w:bookmarkStart w:id="62" w:name="_Ref215041980"/>
      <w:r w:rsidRPr="00305E0F">
        <w:rPr>
          <w:color w:val="auto"/>
          <w:lang w:val="en-GB"/>
        </w:rPr>
        <w:t xml:space="preserve">Where the conditions for determining the risk-weighted exposure amount of a CIU’s exposures laid down in Regulation </w:t>
      </w:r>
      <w:r w:rsidR="00107CE8" w:rsidRPr="00305E0F">
        <w:rPr>
          <w:color w:val="auto"/>
          <w:lang w:val="en-GB"/>
        </w:rPr>
        <w:t>No</w:t>
      </w:r>
      <w:r w:rsidRPr="00305E0F">
        <w:rPr>
          <w:color w:val="auto"/>
          <w:lang w:val="en-GB"/>
        </w:rPr>
        <w:t xml:space="preserve"> 111</w:t>
      </w:r>
      <w:r w:rsidR="00107CE8" w:rsidRPr="00305E0F">
        <w:rPr>
          <w:color w:val="auto"/>
          <w:lang w:val="en-GB"/>
        </w:rPr>
        <w:t>/2018</w:t>
      </w:r>
      <w:r w:rsidRPr="00305E0F">
        <w:rPr>
          <w:color w:val="auto"/>
          <w:lang w:val="en-GB"/>
        </w:rPr>
        <w:t xml:space="preserve"> are met, banks that have sufficient information about the individual underlying exposures of a CIU shall take those underlying exposures into </w:t>
      </w:r>
      <w:r w:rsidRPr="00305E0F">
        <w:rPr>
          <w:color w:val="auto"/>
          <w:lang w:val="en-GB"/>
        </w:rPr>
        <w:lastRenderedPageBreak/>
        <w:t>account in order to calculate the risk-weighted exposure amount of the CIU by risk-weighting all the underlying exposures of the CIU as if they were held directly by those banks.</w:t>
      </w:r>
      <w:bookmarkEnd w:id="61"/>
      <w:bookmarkEnd w:id="62"/>
    </w:p>
    <w:p w14:paraId="4ED4D055" w14:textId="6D3530C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63" w:name="_Ref215042582"/>
      <w:r w:rsidRPr="00305E0F">
        <w:rPr>
          <w:color w:val="auto"/>
          <w:lang w:val="en-GB"/>
        </w:rPr>
        <w:t xml:space="preserve">By way of derogation from </w:t>
      </w:r>
      <w:r w:rsidR="00107CE8" w:rsidRPr="00305E0F">
        <w:rPr>
          <w:color w:val="auto"/>
          <w:lang w:val="en-GB"/>
        </w:rPr>
        <w:t>paragraph</w:t>
      </w:r>
      <w:r w:rsidRPr="00305E0F">
        <w:rPr>
          <w:color w:val="auto"/>
          <w:lang w:val="en-GB"/>
        </w:rPr>
        <w:t xml:space="preserve"> 132</w:t>
      </w:r>
      <w:r w:rsidR="00107CE8" w:rsidRPr="00305E0F">
        <w:rPr>
          <w:color w:val="auto"/>
          <w:lang w:val="en-GB"/>
        </w:rPr>
        <w:t xml:space="preserve"> sub-paragraph </w:t>
      </w:r>
      <w:r w:rsidRPr="00305E0F">
        <w:rPr>
          <w:color w:val="auto"/>
          <w:lang w:val="en-GB"/>
        </w:rPr>
        <w:t xml:space="preserve">5) of Regulation No 109/2018, banks that calculate the risk-weighted exposure amount for CIUs in accordance with </w:t>
      </w:r>
      <w:r w:rsidR="00107CE8" w:rsidRPr="00305E0F">
        <w:rPr>
          <w:color w:val="auto"/>
          <w:lang w:val="en-GB"/>
        </w:rPr>
        <w:t>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_Ref215041959 \r \h </w:instrText>
      </w:r>
      <w:r w:rsidRPr="00305E0F">
        <w:rPr>
          <w:color w:val="auto"/>
          <w:lang w:val="en-GB"/>
        </w:rPr>
      </w:r>
      <w:r w:rsidRPr="00305E0F">
        <w:rPr>
          <w:color w:val="auto"/>
          <w:lang w:val="en-GB"/>
        </w:rPr>
        <w:fldChar w:fldCharType="separate"/>
      </w:r>
      <w:r w:rsidR="00594C05" w:rsidRPr="00305E0F">
        <w:rPr>
          <w:color w:val="auto"/>
          <w:lang w:val="en-GB"/>
        </w:rPr>
        <w:t>59</w:t>
      </w:r>
      <w:r w:rsidRPr="00305E0F">
        <w:rPr>
          <w:color w:val="auto"/>
          <w:lang w:val="en-GB"/>
        </w:rPr>
        <w:fldChar w:fldCharType="end"/>
      </w:r>
      <w:r w:rsidRPr="00305E0F">
        <w:rPr>
          <w:color w:val="auto"/>
          <w:lang w:val="en-GB"/>
        </w:rPr>
        <w:t xml:space="preserve"> or </w:t>
      </w:r>
      <w:r w:rsidRPr="00305E0F">
        <w:rPr>
          <w:color w:val="auto"/>
          <w:lang w:val="en-GB"/>
        </w:rPr>
        <w:fldChar w:fldCharType="begin"/>
      </w:r>
      <w:r w:rsidRPr="00305E0F">
        <w:rPr>
          <w:color w:val="auto"/>
          <w:lang w:val="en-GB"/>
        </w:rPr>
        <w:instrText xml:space="preserve"> REF _Ref215041980 \r \h </w:instrText>
      </w:r>
      <w:r w:rsidRPr="00305E0F">
        <w:rPr>
          <w:color w:val="auto"/>
          <w:lang w:val="en-GB"/>
        </w:rPr>
      </w:r>
      <w:r w:rsidRPr="00305E0F">
        <w:rPr>
          <w:color w:val="auto"/>
          <w:lang w:val="en-GB"/>
        </w:rPr>
        <w:fldChar w:fldCharType="separate"/>
      </w:r>
      <w:r w:rsidR="00594C05" w:rsidRPr="00305E0F">
        <w:rPr>
          <w:color w:val="auto"/>
          <w:lang w:val="en-GB"/>
        </w:rPr>
        <w:t>60</w:t>
      </w:r>
      <w:r w:rsidRPr="00305E0F">
        <w:rPr>
          <w:color w:val="auto"/>
          <w:lang w:val="en-GB"/>
        </w:rPr>
        <w:fldChar w:fldCharType="end"/>
      </w:r>
      <w:r w:rsidRPr="00305E0F">
        <w:rPr>
          <w:color w:val="auto"/>
          <w:lang w:val="en-GB"/>
        </w:rPr>
        <w:t xml:space="preserve"> may calculate the own funds requirement for credit valuation adjustment risk for derivative exposures of that CIU as an amount equal to 50% of the own funds requirement for exposures from those derivatives, calculated in accordance with the approaches and methods set out in the normative acts of the National Bank of Moldova for the treatment of counterparty credit risk, as applicable.</w:t>
      </w:r>
      <w:bookmarkEnd w:id="63"/>
    </w:p>
    <w:p w14:paraId="4F46C652" w14:textId="302F538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64" w:name="_Ref215043349"/>
      <w:r w:rsidRPr="00305E0F">
        <w:rPr>
          <w:color w:val="auto"/>
          <w:lang w:val="en-GB"/>
        </w:rPr>
        <w:t>By way of derogation from paragraph</w:t>
      </w:r>
      <w:r w:rsidR="00EA7F20" w:rsidRPr="00305E0F">
        <w:rPr>
          <w:color w:val="auto"/>
          <w:lang w:val="en-GB"/>
        </w:rPr>
        <w:t xml:space="preserve"> </w:t>
      </w:r>
      <w:r w:rsidRPr="00305E0F">
        <w:rPr>
          <w:color w:val="auto"/>
          <w:lang w:val="en-GB"/>
        </w:rPr>
        <w:fldChar w:fldCharType="begin"/>
      </w:r>
      <w:r w:rsidRPr="00305E0F">
        <w:rPr>
          <w:color w:val="auto"/>
          <w:lang w:val="en-GB"/>
        </w:rPr>
        <w:instrText xml:space="preserve"> REF _Ref215042582 \r \h </w:instrText>
      </w:r>
      <w:r w:rsidRPr="00305E0F">
        <w:rPr>
          <w:color w:val="auto"/>
          <w:lang w:val="en-GB"/>
        </w:rPr>
      </w:r>
      <w:r w:rsidRPr="00305E0F">
        <w:rPr>
          <w:color w:val="auto"/>
          <w:lang w:val="en-GB"/>
        </w:rPr>
        <w:fldChar w:fldCharType="separate"/>
      </w:r>
      <w:r w:rsidR="00594C05" w:rsidRPr="00305E0F">
        <w:rPr>
          <w:color w:val="auto"/>
          <w:lang w:val="en-GB"/>
        </w:rPr>
        <w:t>61</w:t>
      </w:r>
      <w:r w:rsidRPr="00305E0F">
        <w:rPr>
          <w:color w:val="auto"/>
          <w:lang w:val="en-GB"/>
        </w:rPr>
        <w:fldChar w:fldCharType="end"/>
      </w:r>
      <w:r w:rsidRPr="00305E0F">
        <w:rPr>
          <w:color w:val="auto"/>
          <w:lang w:val="en-GB"/>
        </w:rPr>
        <w:t>, a bank may exclude from the calculation of the own funds requirement for credit valuation adjustment risk derivative exposures that would not be subject to that requirement if they were directly assumed by the bank.</w:t>
      </w:r>
      <w:bookmarkEnd w:id="64"/>
    </w:p>
    <w:p w14:paraId="69331958" w14:textId="404B7AA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65" w:name="_Ref215044416"/>
      <w:r w:rsidRPr="00305E0F">
        <w:rPr>
          <w:color w:val="auto"/>
          <w:lang w:val="en-GB"/>
        </w:rPr>
        <w:t xml:space="preserve">Banks that apply the look-through approach in accordance with </w:t>
      </w:r>
      <w:r w:rsidR="00EA7F20" w:rsidRPr="00305E0F">
        <w:rPr>
          <w:color w:val="auto"/>
          <w:lang w:val="en-GB"/>
        </w:rPr>
        <w:t xml:space="preserve">paragraphs </w:t>
      </w:r>
      <w:r w:rsidRPr="00305E0F">
        <w:rPr>
          <w:color w:val="auto"/>
          <w:lang w:val="en-GB"/>
        </w:rPr>
        <w:fldChar w:fldCharType="begin"/>
      </w:r>
      <w:r w:rsidRPr="00305E0F">
        <w:rPr>
          <w:color w:val="auto"/>
          <w:lang w:val="en-GB"/>
        </w:rPr>
        <w:instrText xml:space="preserve"> REF _Ref215041980 \r \h </w:instrText>
      </w:r>
      <w:r w:rsidRPr="00305E0F">
        <w:rPr>
          <w:color w:val="auto"/>
          <w:lang w:val="en-GB"/>
        </w:rPr>
      </w:r>
      <w:r w:rsidRPr="00305E0F">
        <w:rPr>
          <w:color w:val="auto"/>
          <w:lang w:val="en-GB"/>
        </w:rPr>
        <w:fldChar w:fldCharType="separate"/>
      </w:r>
      <w:r w:rsidR="00594C05" w:rsidRPr="00305E0F">
        <w:rPr>
          <w:color w:val="auto"/>
          <w:lang w:val="en-GB"/>
        </w:rPr>
        <w:t>60</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_Ref215042582 \r \h </w:instrText>
      </w:r>
      <w:r w:rsidRPr="00305E0F">
        <w:rPr>
          <w:color w:val="auto"/>
          <w:lang w:val="en-GB"/>
        </w:rPr>
      </w:r>
      <w:r w:rsidRPr="00305E0F">
        <w:rPr>
          <w:color w:val="auto"/>
          <w:lang w:val="en-GB"/>
        </w:rPr>
        <w:fldChar w:fldCharType="separate"/>
      </w:r>
      <w:r w:rsidR="00594C05" w:rsidRPr="00305E0F">
        <w:rPr>
          <w:color w:val="auto"/>
          <w:lang w:val="en-GB"/>
        </w:rPr>
        <w:t>61</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_Ref215043349 \r \h </w:instrText>
      </w:r>
      <w:r w:rsidRPr="00305E0F">
        <w:rPr>
          <w:color w:val="auto"/>
          <w:lang w:val="en-GB"/>
        </w:rPr>
      </w:r>
      <w:r w:rsidRPr="00305E0F">
        <w:rPr>
          <w:color w:val="auto"/>
          <w:lang w:val="en-GB"/>
        </w:rPr>
        <w:fldChar w:fldCharType="separate"/>
      </w:r>
      <w:r w:rsidR="00594C05" w:rsidRPr="00305E0F">
        <w:rPr>
          <w:color w:val="auto"/>
          <w:lang w:val="en-GB"/>
        </w:rPr>
        <w:t>62</w:t>
      </w:r>
      <w:r w:rsidRPr="00305E0F">
        <w:rPr>
          <w:color w:val="auto"/>
          <w:lang w:val="en-GB"/>
        </w:rPr>
        <w:fldChar w:fldCharType="end"/>
      </w:r>
      <w:r w:rsidRPr="00305E0F">
        <w:rPr>
          <w:color w:val="auto"/>
          <w:lang w:val="en-GB"/>
        </w:rPr>
        <w:t xml:space="preserve"> that do not use the methods set out in this Regulation or, where applicable, in the normative acts of the National Bank of Moldova related to the prudential treatment of securitisations, for all or part of the underlying exposures of the CIU, shall calculate risk-weighted exposure amounts and expected loss amounts for all or part of those underlying exposures in accordance with the following principles:</w:t>
      </w:r>
      <w:bookmarkEnd w:id="65"/>
    </w:p>
    <w:p w14:paraId="4D64DC06" w14:textId="0163CE5D"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66" w:name="_Ref215044396"/>
      <w:r w:rsidRPr="00305E0F">
        <w:rPr>
          <w:color w:val="auto"/>
          <w:lang w:val="en-GB"/>
        </w:rPr>
        <w:t>For the underlying exposures that would be assigned to the equity exposure class referred to in</w:t>
      </w:r>
      <w:r w:rsidR="00EA7F20" w:rsidRPr="00305E0F">
        <w:rPr>
          <w:color w:val="auto"/>
          <w:lang w:val="en-GB"/>
        </w:rPr>
        <w:t xml:space="preserve"> 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EA7F20"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_Ref214984449 \r \h </w:instrText>
      </w:r>
      <w:r w:rsidRPr="00305E0F">
        <w:rPr>
          <w:color w:val="auto"/>
          <w:lang w:val="en-GB"/>
        </w:rPr>
      </w:r>
      <w:r w:rsidRPr="00305E0F">
        <w:rPr>
          <w:color w:val="auto"/>
          <w:lang w:val="en-GB"/>
        </w:rPr>
        <w:fldChar w:fldCharType="separate"/>
      </w:r>
      <w:r w:rsidR="00594C05" w:rsidRPr="00305E0F">
        <w:rPr>
          <w:color w:val="auto"/>
          <w:lang w:val="en-GB"/>
        </w:rPr>
        <w:t>19.6</w:t>
      </w:r>
      <w:r w:rsidRPr="00305E0F">
        <w:rPr>
          <w:color w:val="auto"/>
          <w:lang w:val="en-GB"/>
        </w:rPr>
        <w:fldChar w:fldCharType="end"/>
      </w:r>
      <w:r w:rsidRPr="00305E0F">
        <w:rPr>
          <w:color w:val="auto"/>
          <w:lang w:val="en-GB"/>
        </w:rPr>
        <w:t>, banks shall apply the Standardised Approach set out in Regulation No 111/2018;</w:t>
      </w:r>
      <w:bookmarkEnd w:id="66"/>
    </w:p>
    <w:p w14:paraId="40286E6B" w14:textId="3D608B9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For exposures belonging to the class of items representing securitisation positions referred to in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_Ref214984969 \r \h </w:instrText>
      </w:r>
      <w:r w:rsidRPr="00305E0F">
        <w:rPr>
          <w:color w:val="auto"/>
          <w:lang w:val="en-GB"/>
        </w:rPr>
      </w:r>
      <w:r w:rsidRPr="00305E0F">
        <w:rPr>
          <w:color w:val="auto"/>
          <w:lang w:val="en-GB"/>
        </w:rPr>
        <w:fldChar w:fldCharType="separate"/>
      </w:r>
      <w:r w:rsidR="00594C05" w:rsidRPr="00305E0F">
        <w:rPr>
          <w:color w:val="auto"/>
          <w:lang w:val="en-GB"/>
        </w:rPr>
        <w:t>19.8</w:t>
      </w:r>
      <w:r w:rsidRPr="00305E0F">
        <w:rPr>
          <w:color w:val="auto"/>
          <w:lang w:val="en-GB"/>
        </w:rPr>
        <w:fldChar w:fldCharType="end"/>
      </w:r>
      <w:r w:rsidRPr="00305E0F">
        <w:rPr>
          <w:color w:val="auto"/>
          <w:lang w:val="en-GB"/>
        </w:rPr>
        <w:t>, banks shall apply the treatment regarding the hierarchy of methods set out in the normative acts of the National Bank of Moldova related to the prudential treatment of securitisations as if those exposures were held directly by those banks;</w:t>
      </w:r>
    </w:p>
    <w:p w14:paraId="1B6227DB" w14:textId="66E42C9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67" w:name="_Ref215044408"/>
      <w:r w:rsidRPr="00305E0F">
        <w:rPr>
          <w:color w:val="auto"/>
          <w:lang w:val="en-GB"/>
        </w:rPr>
        <w:t xml:space="preserve">For all other underlying exposures, banks shall apply the standardised approach set out in Regulation </w:t>
      </w:r>
      <w:r w:rsidR="00EA7F20" w:rsidRPr="00305E0F">
        <w:rPr>
          <w:color w:val="auto"/>
          <w:lang w:val="en-GB"/>
        </w:rPr>
        <w:t>No</w:t>
      </w:r>
      <w:r w:rsidRPr="00305E0F">
        <w:rPr>
          <w:color w:val="auto"/>
          <w:lang w:val="en-GB"/>
        </w:rPr>
        <w:t xml:space="preserve"> 111</w:t>
      </w:r>
      <w:r w:rsidR="00EA7F20" w:rsidRPr="00305E0F">
        <w:rPr>
          <w:color w:val="auto"/>
          <w:lang w:val="en-GB"/>
        </w:rPr>
        <w:t>/2018</w:t>
      </w:r>
      <w:r w:rsidRPr="00305E0F">
        <w:rPr>
          <w:color w:val="auto"/>
          <w:lang w:val="en-GB"/>
        </w:rPr>
        <w:t>.</w:t>
      </w:r>
      <w:bookmarkEnd w:id="67"/>
    </w:p>
    <w:p w14:paraId="3F7FE2DB" w14:textId="3A8FC599"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68" w:name="_Ref215041869"/>
      <w:bookmarkStart w:id="69" w:name="_Ref215044675"/>
      <w:r w:rsidRPr="00305E0F">
        <w:rPr>
          <w:color w:val="auto"/>
          <w:lang w:val="en-GB"/>
        </w:rPr>
        <w:t xml:space="preserve">Where the conditions for determining the risk-weighted exposure amount for a CIU’s exposures laid down in Regulation </w:t>
      </w:r>
      <w:r w:rsidR="00EA7F20" w:rsidRPr="00305E0F">
        <w:rPr>
          <w:color w:val="auto"/>
          <w:lang w:val="en-GB"/>
        </w:rPr>
        <w:t>No</w:t>
      </w:r>
      <w:r w:rsidRPr="00305E0F">
        <w:rPr>
          <w:color w:val="auto"/>
          <w:lang w:val="en-GB"/>
        </w:rPr>
        <w:t xml:space="preserve"> 111</w:t>
      </w:r>
      <w:r w:rsidR="00EA7F20" w:rsidRPr="00305E0F">
        <w:rPr>
          <w:color w:val="auto"/>
          <w:lang w:val="en-GB"/>
        </w:rPr>
        <w:t>/2018</w:t>
      </w:r>
      <w:r w:rsidRPr="00305E0F">
        <w:rPr>
          <w:color w:val="auto"/>
          <w:lang w:val="en-GB"/>
        </w:rPr>
        <w:t xml:space="preserve"> are met, banks that do not have sufficient information on the individual underlying exposures of a CIU may calculate the risk-weighted exposure amount for those exposures in accordance with the limits set out in the mandate-based approach set out in paragraphs 82</w:t>
      </w:r>
      <w:r w:rsidRPr="00305E0F">
        <w:rPr>
          <w:color w:val="auto"/>
          <w:vertAlign w:val="superscript"/>
          <w:lang w:val="en-GB"/>
        </w:rPr>
        <w:t>15</w:t>
      </w:r>
      <w:r w:rsidR="00EA7F20" w:rsidRPr="00305E0F">
        <w:rPr>
          <w:color w:val="auto"/>
          <w:lang w:val="en-GB"/>
        </w:rPr>
        <w:t>-</w:t>
      </w:r>
      <w:r w:rsidRPr="00305E0F">
        <w:rPr>
          <w:color w:val="auto"/>
          <w:lang w:val="en-GB"/>
        </w:rPr>
        <w:t>82</w:t>
      </w:r>
      <w:r w:rsidRPr="00305E0F">
        <w:rPr>
          <w:color w:val="auto"/>
          <w:vertAlign w:val="superscript"/>
          <w:lang w:val="en-GB"/>
        </w:rPr>
        <w:t>17</w:t>
      </w:r>
      <w:r w:rsidRPr="00305E0F">
        <w:rPr>
          <w:color w:val="auto"/>
          <w:lang w:val="en-GB"/>
        </w:rPr>
        <w:t xml:space="preserve"> of Regulation </w:t>
      </w:r>
      <w:r w:rsidR="00EA7F20" w:rsidRPr="00305E0F">
        <w:rPr>
          <w:color w:val="auto"/>
          <w:lang w:val="en-GB"/>
        </w:rPr>
        <w:t>No</w:t>
      </w:r>
      <w:r w:rsidRPr="00305E0F">
        <w:rPr>
          <w:color w:val="auto"/>
          <w:lang w:val="en-GB"/>
        </w:rPr>
        <w:t xml:space="preserve"> 111</w:t>
      </w:r>
      <w:r w:rsidR="00EA7F20" w:rsidRPr="00305E0F">
        <w:rPr>
          <w:color w:val="auto"/>
          <w:lang w:val="en-GB"/>
        </w:rPr>
        <w:t>/2018</w:t>
      </w:r>
      <w:r w:rsidRPr="00305E0F">
        <w:rPr>
          <w:color w:val="auto"/>
          <w:lang w:val="en-GB"/>
        </w:rPr>
        <w:t xml:space="preserve">. However, for the exposures listed in </w:t>
      </w:r>
      <w:r w:rsidR="00EA7F20"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_Ref215044416 \r \h </w:instrText>
      </w:r>
      <w:r w:rsidRPr="00305E0F">
        <w:rPr>
          <w:color w:val="auto"/>
          <w:lang w:val="en-GB"/>
        </w:rPr>
      </w:r>
      <w:r w:rsidRPr="00305E0F">
        <w:rPr>
          <w:color w:val="auto"/>
          <w:lang w:val="en-GB"/>
        </w:rPr>
        <w:fldChar w:fldCharType="separate"/>
      </w:r>
      <w:r w:rsidR="00594C05" w:rsidRPr="00305E0F">
        <w:rPr>
          <w:color w:val="auto"/>
          <w:lang w:val="en-GB"/>
        </w:rPr>
        <w:t>63</w:t>
      </w:r>
      <w:r w:rsidRPr="00305E0F">
        <w:rPr>
          <w:color w:val="auto"/>
          <w:lang w:val="en-GB"/>
        </w:rPr>
        <w:fldChar w:fldCharType="end"/>
      </w:r>
      <w:r w:rsidR="00EA7F20" w:rsidRPr="00305E0F">
        <w:rPr>
          <w:color w:val="auto"/>
          <w:lang w:val="en-GB"/>
        </w:rPr>
        <w:t xml:space="preserve"> sub-paragraphs </w:t>
      </w:r>
      <w:r w:rsidRPr="00305E0F">
        <w:rPr>
          <w:color w:val="auto"/>
          <w:lang w:val="en-GB"/>
        </w:rPr>
        <w:fldChar w:fldCharType="begin"/>
      </w:r>
      <w:r w:rsidRPr="00305E0F">
        <w:rPr>
          <w:color w:val="auto"/>
          <w:lang w:val="en-GB"/>
        </w:rPr>
        <w:instrText xml:space="preserve"> REF _Ref215044396 \r \h </w:instrText>
      </w:r>
      <w:r w:rsidRPr="00305E0F">
        <w:rPr>
          <w:color w:val="auto"/>
          <w:lang w:val="en-GB"/>
        </w:rPr>
      </w:r>
      <w:r w:rsidRPr="00305E0F">
        <w:rPr>
          <w:color w:val="auto"/>
          <w:lang w:val="en-GB"/>
        </w:rPr>
        <w:fldChar w:fldCharType="separate"/>
      </w:r>
      <w:r w:rsidR="00594C05" w:rsidRPr="00305E0F">
        <w:rPr>
          <w:color w:val="auto"/>
          <w:lang w:val="en-GB"/>
        </w:rPr>
        <w:t>63.1</w:t>
      </w:r>
      <w:r w:rsidRPr="00305E0F">
        <w:rPr>
          <w:color w:val="auto"/>
          <w:lang w:val="en-GB"/>
        </w:rPr>
        <w:fldChar w:fldCharType="end"/>
      </w:r>
      <w:r w:rsidR="00EA7F20" w:rsidRPr="00305E0F">
        <w:rPr>
          <w:color w:val="auto"/>
          <w:lang w:val="en-GB"/>
        </w:rPr>
        <w:t>-</w:t>
      </w:r>
      <w:r w:rsidRPr="00305E0F">
        <w:rPr>
          <w:color w:val="auto"/>
          <w:lang w:val="en-GB"/>
        </w:rPr>
        <w:fldChar w:fldCharType="begin"/>
      </w:r>
      <w:r w:rsidRPr="00305E0F">
        <w:rPr>
          <w:color w:val="auto"/>
          <w:lang w:val="en-GB"/>
        </w:rPr>
        <w:instrText xml:space="preserve"> REF _Ref215044408 \r \h </w:instrText>
      </w:r>
      <w:r w:rsidRPr="00305E0F">
        <w:rPr>
          <w:color w:val="auto"/>
          <w:lang w:val="en-GB"/>
        </w:rPr>
      </w:r>
      <w:r w:rsidRPr="00305E0F">
        <w:rPr>
          <w:color w:val="auto"/>
          <w:lang w:val="en-GB"/>
        </w:rPr>
        <w:fldChar w:fldCharType="separate"/>
      </w:r>
      <w:r w:rsidR="00594C05" w:rsidRPr="00305E0F">
        <w:rPr>
          <w:color w:val="auto"/>
          <w:lang w:val="en-GB"/>
        </w:rPr>
        <w:t>63.3</w:t>
      </w:r>
      <w:r w:rsidRPr="00305E0F">
        <w:rPr>
          <w:color w:val="auto"/>
          <w:lang w:val="en-GB"/>
        </w:rPr>
        <w:fldChar w:fldCharType="end"/>
      </w:r>
      <w:r w:rsidRPr="00305E0F">
        <w:rPr>
          <w:color w:val="auto"/>
          <w:lang w:val="en-GB"/>
        </w:rPr>
        <w:t xml:space="preserve">, banks shall apply the approaches set out in those </w:t>
      </w:r>
      <w:r w:rsidR="00EA7F20" w:rsidRPr="00305E0F">
        <w:rPr>
          <w:color w:val="auto"/>
          <w:lang w:val="en-GB"/>
        </w:rPr>
        <w:t>paragraphs</w:t>
      </w:r>
      <w:r w:rsidRPr="00305E0F">
        <w:rPr>
          <w:color w:val="auto"/>
          <w:lang w:val="en-GB"/>
        </w:rPr>
        <w:t>.</w:t>
      </w:r>
      <w:bookmarkEnd w:id="68"/>
      <w:bookmarkEnd w:id="69"/>
    </w:p>
    <w:p w14:paraId="282EBEF5" w14:textId="1CE2D3A0"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Subject to paragraph 82</w:t>
      </w:r>
      <w:r w:rsidRPr="00305E0F">
        <w:rPr>
          <w:color w:val="auto"/>
          <w:vertAlign w:val="superscript"/>
          <w:lang w:val="en-GB"/>
        </w:rPr>
        <w:t>21</w:t>
      </w:r>
      <w:r w:rsidRPr="00305E0F">
        <w:rPr>
          <w:color w:val="auto"/>
          <w:lang w:val="en-GB"/>
        </w:rPr>
        <w:t xml:space="preserve"> of Regulation No 111/2018, banks that do not apply the look-through approach in accordance with paragraphs </w:t>
      </w:r>
      <w:r w:rsidRPr="00305E0F">
        <w:rPr>
          <w:color w:val="auto"/>
          <w:lang w:val="en-GB"/>
        </w:rPr>
        <w:fldChar w:fldCharType="begin"/>
      </w:r>
      <w:r w:rsidRPr="00305E0F">
        <w:rPr>
          <w:color w:val="auto"/>
          <w:lang w:val="en-GB"/>
        </w:rPr>
        <w:instrText xml:space="preserve"> REF _Ref215041980 \r \h </w:instrText>
      </w:r>
      <w:r w:rsidRPr="00305E0F">
        <w:rPr>
          <w:color w:val="auto"/>
          <w:lang w:val="en-GB"/>
        </w:rPr>
      </w:r>
      <w:r w:rsidRPr="00305E0F">
        <w:rPr>
          <w:color w:val="auto"/>
          <w:lang w:val="en-GB"/>
        </w:rPr>
        <w:fldChar w:fldCharType="separate"/>
      </w:r>
      <w:r w:rsidR="00594C05" w:rsidRPr="00305E0F">
        <w:rPr>
          <w:color w:val="auto"/>
          <w:lang w:val="en-GB"/>
        </w:rPr>
        <w:t>60</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_Ref215043349 \r \h </w:instrText>
      </w:r>
      <w:r w:rsidRPr="00305E0F">
        <w:rPr>
          <w:color w:val="auto"/>
          <w:lang w:val="en-GB"/>
        </w:rPr>
      </w:r>
      <w:r w:rsidRPr="00305E0F">
        <w:rPr>
          <w:color w:val="auto"/>
          <w:lang w:val="en-GB"/>
        </w:rPr>
        <w:fldChar w:fldCharType="separate"/>
      </w:r>
      <w:r w:rsidR="00594C05" w:rsidRPr="00305E0F">
        <w:rPr>
          <w:color w:val="auto"/>
          <w:lang w:val="en-GB"/>
        </w:rPr>
        <w:t>62</w:t>
      </w:r>
      <w:r w:rsidRPr="00305E0F">
        <w:rPr>
          <w:color w:val="auto"/>
          <w:lang w:val="en-GB"/>
        </w:rPr>
        <w:fldChar w:fldCharType="end"/>
      </w:r>
      <w:r w:rsidRPr="00305E0F">
        <w:rPr>
          <w:color w:val="auto"/>
          <w:lang w:val="en-GB"/>
        </w:rPr>
        <w:t xml:space="preserve"> or the mandate-based approach in accordance with paragraph </w:t>
      </w:r>
      <w:r w:rsidRPr="00305E0F">
        <w:rPr>
          <w:color w:val="auto"/>
          <w:lang w:val="en-GB"/>
        </w:rPr>
        <w:fldChar w:fldCharType="begin"/>
      </w:r>
      <w:r w:rsidRPr="00305E0F">
        <w:rPr>
          <w:color w:val="auto"/>
          <w:lang w:val="en-GB"/>
        </w:rPr>
        <w:instrText xml:space="preserve"> REF _Ref215044675 \r \h </w:instrText>
      </w:r>
      <w:r w:rsidRPr="00305E0F">
        <w:rPr>
          <w:color w:val="auto"/>
          <w:lang w:val="en-GB"/>
        </w:rPr>
      </w:r>
      <w:r w:rsidRPr="00305E0F">
        <w:rPr>
          <w:color w:val="auto"/>
          <w:lang w:val="en-GB"/>
        </w:rPr>
        <w:fldChar w:fldCharType="separate"/>
      </w:r>
      <w:r w:rsidR="00594C05" w:rsidRPr="00305E0F">
        <w:rPr>
          <w:color w:val="auto"/>
          <w:lang w:val="en-GB"/>
        </w:rPr>
        <w:t>64</w:t>
      </w:r>
      <w:r w:rsidRPr="00305E0F">
        <w:rPr>
          <w:color w:val="auto"/>
          <w:lang w:val="en-GB"/>
        </w:rPr>
        <w:fldChar w:fldCharType="end"/>
      </w:r>
      <w:r w:rsidRPr="00305E0F">
        <w:rPr>
          <w:color w:val="auto"/>
          <w:lang w:val="en-GB"/>
        </w:rPr>
        <w:t xml:space="preserve"> shall apply the fall-back approach referred to in paragraphs 82</w:t>
      </w:r>
      <w:r w:rsidRPr="00305E0F">
        <w:rPr>
          <w:color w:val="auto"/>
          <w:vertAlign w:val="superscript"/>
          <w:lang w:val="en-GB"/>
        </w:rPr>
        <w:t>1</w:t>
      </w:r>
      <w:r w:rsidR="00EA7F20" w:rsidRPr="00305E0F">
        <w:rPr>
          <w:color w:val="auto"/>
          <w:lang w:val="en-GB"/>
        </w:rPr>
        <w:t>-</w:t>
      </w:r>
      <w:r w:rsidRPr="00305E0F">
        <w:rPr>
          <w:color w:val="auto"/>
          <w:lang w:val="en-GB"/>
        </w:rPr>
        <w:t>82</w:t>
      </w:r>
      <w:r w:rsidRPr="00305E0F">
        <w:rPr>
          <w:color w:val="auto"/>
          <w:vertAlign w:val="superscript"/>
          <w:lang w:val="en-GB"/>
        </w:rPr>
        <w:t>3</w:t>
      </w:r>
      <w:r w:rsidRPr="00305E0F">
        <w:rPr>
          <w:color w:val="auto"/>
          <w:lang w:val="en-GB"/>
        </w:rPr>
        <w:t xml:space="preserve"> of Regulation No 111/2018.</w:t>
      </w:r>
    </w:p>
    <w:p w14:paraId="246076DA" w14:textId="1A1EBFD7"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Banks may calculate the risk-weighted exposure amount for their exposures in the form of units or shares in a CIU using a combination of the approaches referred to in this Section, to the extent that the conditions for using those approaches are met.</w:t>
      </w:r>
    </w:p>
    <w:p w14:paraId="23BC455D" w14:textId="6C113E9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Banks that do not have adequate data or information to calculate the risk-weighted amount for a CIU in accordance with the approaches described in paragraphs </w:t>
      </w:r>
      <w:r w:rsidRPr="00305E0F">
        <w:rPr>
          <w:color w:val="auto"/>
          <w:lang w:val="en-GB"/>
        </w:rPr>
        <w:fldChar w:fldCharType="begin"/>
      </w:r>
      <w:r w:rsidRPr="00305E0F">
        <w:rPr>
          <w:color w:val="auto"/>
          <w:lang w:val="en-GB"/>
        </w:rPr>
        <w:instrText xml:space="preserve"> REF _Ref215041980 \r \h </w:instrText>
      </w:r>
      <w:r w:rsidRPr="00305E0F">
        <w:rPr>
          <w:color w:val="auto"/>
          <w:lang w:val="en-GB"/>
        </w:rPr>
      </w:r>
      <w:r w:rsidRPr="00305E0F">
        <w:rPr>
          <w:color w:val="auto"/>
          <w:lang w:val="en-GB"/>
        </w:rPr>
        <w:fldChar w:fldCharType="separate"/>
      </w:r>
      <w:r w:rsidR="00594C05" w:rsidRPr="00305E0F">
        <w:rPr>
          <w:color w:val="auto"/>
          <w:lang w:val="en-GB"/>
        </w:rPr>
        <w:t>60</w:t>
      </w:r>
      <w:r w:rsidRPr="00305E0F">
        <w:rPr>
          <w:color w:val="auto"/>
          <w:lang w:val="en-GB"/>
        </w:rPr>
        <w:fldChar w:fldCharType="end"/>
      </w:r>
      <w:r w:rsidR="00EA7F20" w:rsidRPr="00305E0F">
        <w:rPr>
          <w:color w:val="auto"/>
          <w:lang w:val="en-GB"/>
        </w:rPr>
        <w:t>-</w:t>
      </w:r>
      <w:r w:rsidRPr="00305E0F">
        <w:rPr>
          <w:color w:val="auto"/>
          <w:lang w:val="en-GB"/>
        </w:rPr>
        <w:fldChar w:fldCharType="begin"/>
      </w:r>
      <w:r w:rsidRPr="00305E0F">
        <w:rPr>
          <w:color w:val="auto"/>
          <w:lang w:val="en-GB"/>
        </w:rPr>
        <w:instrText xml:space="preserve"> REF _Ref215044675 \r \h </w:instrText>
      </w:r>
      <w:r w:rsidRPr="00305E0F">
        <w:rPr>
          <w:color w:val="auto"/>
          <w:lang w:val="en-GB"/>
        </w:rPr>
      </w:r>
      <w:r w:rsidRPr="00305E0F">
        <w:rPr>
          <w:color w:val="auto"/>
          <w:lang w:val="en-GB"/>
        </w:rPr>
        <w:fldChar w:fldCharType="separate"/>
      </w:r>
      <w:r w:rsidR="00594C05" w:rsidRPr="00305E0F">
        <w:rPr>
          <w:color w:val="auto"/>
          <w:lang w:val="en-GB"/>
        </w:rPr>
        <w:t>64</w:t>
      </w:r>
      <w:r w:rsidRPr="00305E0F">
        <w:rPr>
          <w:color w:val="auto"/>
          <w:lang w:val="en-GB"/>
        </w:rPr>
        <w:fldChar w:fldCharType="end"/>
      </w:r>
      <w:r w:rsidRPr="00305E0F">
        <w:rPr>
          <w:color w:val="auto"/>
          <w:lang w:val="en-GB"/>
        </w:rPr>
        <w:t xml:space="preserve"> </w:t>
      </w:r>
      <w:r w:rsidR="00EA7F20" w:rsidRPr="00305E0F">
        <w:rPr>
          <w:color w:val="auto"/>
          <w:lang w:val="en-GB"/>
        </w:rPr>
        <w:t xml:space="preserve">may </w:t>
      </w:r>
      <w:r w:rsidRPr="00305E0F">
        <w:rPr>
          <w:color w:val="auto"/>
          <w:lang w:val="en-GB"/>
        </w:rPr>
        <w:t>rely on third-party calculations provided that all of the following conditions are met:</w:t>
      </w:r>
    </w:p>
    <w:p w14:paraId="75A7273C" w14:textId="5CE0A2CE"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third party is</w:t>
      </w:r>
      <w:r w:rsidR="00EA7F20" w:rsidRPr="00305E0F">
        <w:rPr>
          <w:color w:val="auto"/>
          <w:lang w:val="en-GB"/>
        </w:rPr>
        <w:t xml:space="preserve"> one of the following</w:t>
      </w:r>
      <w:r w:rsidRPr="00305E0F">
        <w:rPr>
          <w:color w:val="auto"/>
          <w:lang w:val="en-GB"/>
        </w:rPr>
        <w:t>:</w:t>
      </w:r>
    </w:p>
    <w:p w14:paraId="666CC162" w14:textId="14BB61B7" w:rsidR="00EB0050" w:rsidRPr="00305E0F" w:rsidRDefault="00B02122">
      <w:pPr>
        <w:pStyle w:val="P68B1DB1-ListParagraph8"/>
        <w:numPr>
          <w:ilvl w:val="2"/>
          <w:numId w:val="2"/>
        </w:numPr>
        <w:shd w:val="clear" w:color="auto" w:fill="FFFFFF"/>
        <w:tabs>
          <w:tab w:val="left" w:pos="0"/>
          <w:tab w:val="left" w:pos="567"/>
        </w:tabs>
        <w:spacing w:before="60" w:after="0" w:line="240" w:lineRule="auto"/>
        <w:ind w:left="0"/>
        <w:jc w:val="both"/>
        <w:rPr>
          <w:color w:val="auto"/>
          <w:lang w:val="en-GB"/>
        </w:rPr>
      </w:pPr>
      <w:bookmarkStart w:id="70" w:name="_Ref215045179"/>
      <w:r w:rsidRPr="00305E0F">
        <w:rPr>
          <w:color w:val="auto"/>
          <w:lang w:val="en-GB"/>
        </w:rPr>
        <w:t xml:space="preserve">The depository institution or the depository financial institution of the CIU, provided that the CIU exclusively invests in securities and deposits all securities </w:t>
      </w:r>
      <w:r w:rsidR="00EA7F20" w:rsidRPr="00305E0F">
        <w:rPr>
          <w:color w:val="auto"/>
          <w:lang w:val="en-GB"/>
        </w:rPr>
        <w:t>at</w:t>
      </w:r>
      <w:r w:rsidRPr="00305E0F">
        <w:rPr>
          <w:color w:val="auto"/>
          <w:lang w:val="en-GB"/>
        </w:rPr>
        <w:t xml:space="preserve"> that depository institution or depository financial institution;</w:t>
      </w:r>
      <w:bookmarkEnd w:id="70"/>
    </w:p>
    <w:p w14:paraId="30822D25" w14:textId="2C35C2B1" w:rsidR="00EB0050" w:rsidRPr="00305E0F" w:rsidRDefault="00B02122">
      <w:pPr>
        <w:pStyle w:val="P68B1DB1-ListParagraph8"/>
        <w:numPr>
          <w:ilvl w:val="2"/>
          <w:numId w:val="2"/>
        </w:numPr>
        <w:shd w:val="clear" w:color="auto" w:fill="FFFFFF"/>
        <w:tabs>
          <w:tab w:val="left" w:pos="0"/>
          <w:tab w:val="left" w:pos="567"/>
        </w:tabs>
        <w:spacing w:before="60" w:after="0" w:line="240" w:lineRule="auto"/>
        <w:ind w:left="0"/>
        <w:jc w:val="both"/>
        <w:rPr>
          <w:color w:val="auto"/>
          <w:lang w:val="en-GB"/>
        </w:rPr>
      </w:pPr>
      <w:r w:rsidRPr="00305E0F">
        <w:rPr>
          <w:color w:val="auto"/>
          <w:lang w:val="en-GB"/>
        </w:rPr>
        <w:t xml:space="preserve">For CIUs that do not fall under </w:t>
      </w:r>
      <w:r w:rsidR="00EA7F20"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_Ref215045179 \r \h </w:instrText>
      </w:r>
      <w:r w:rsidRPr="00305E0F">
        <w:rPr>
          <w:color w:val="auto"/>
          <w:lang w:val="en-GB"/>
        </w:rPr>
      </w:r>
      <w:r w:rsidRPr="00305E0F">
        <w:rPr>
          <w:color w:val="auto"/>
          <w:lang w:val="en-GB"/>
        </w:rPr>
        <w:fldChar w:fldCharType="separate"/>
      </w:r>
      <w:r w:rsidR="00594C05" w:rsidRPr="00305E0F">
        <w:rPr>
          <w:color w:val="auto"/>
          <w:lang w:val="en-GB"/>
        </w:rPr>
        <w:t>67.1.1</w:t>
      </w:r>
      <w:r w:rsidRPr="00305E0F">
        <w:rPr>
          <w:color w:val="auto"/>
          <w:lang w:val="en-GB"/>
        </w:rPr>
        <w:fldChar w:fldCharType="end"/>
      </w:r>
      <w:r w:rsidRPr="00305E0F">
        <w:rPr>
          <w:color w:val="auto"/>
          <w:lang w:val="en-GB"/>
        </w:rPr>
        <w:t xml:space="preserve">, the CIU management company, provided that the CIU management company meets the criteria set out in </w:t>
      </w:r>
      <w:r w:rsidR="00EA7F20" w:rsidRPr="00305E0F">
        <w:rPr>
          <w:color w:val="auto"/>
          <w:lang w:val="en-GB"/>
        </w:rPr>
        <w:t>paragraph</w:t>
      </w:r>
      <w:r w:rsidRPr="00305E0F">
        <w:rPr>
          <w:color w:val="auto"/>
          <w:lang w:val="en-GB"/>
        </w:rPr>
        <w:t xml:space="preserve"> </w:t>
      </w:r>
      <w:r w:rsidR="00EA7F20" w:rsidRPr="00305E0F">
        <w:rPr>
          <w:color w:val="auto"/>
          <w:lang w:val="en-GB"/>
        </w:rPr>
        <w:t>82</w:t>
      </w:r>
      <w:r w:rsidR="00EA7F20" w:rsidRPr="00305E0F">
        <w:rPr>
          <w:color w:val="auto"/>
          <w:vertAlign w:val="superscript"/>
          <w:lang w:val="en-GB"/>
        </w:rPr>
        <w:t xml:space="preserve">4 </w:t>
      </w:r>
      <w:r w:rsidR="00EA7F20" w:rsidRPr="00305E0F">
        <w:rPr>
          <w:color w:val="auto"/>
          <w:lang w:val="en-GB"/>
        </w:rPr>
        <w:t>sub-paragraph 1</w:t>
      </w:r>
      <w:r w:rsidRPr="00305E0F">
        <w:rPr>
          <w:color w:val="auto"/>
          <w:lang w:val="en-GB"/>
        </w:rPr>
        <w:t>) of Regulation No</w:t>
      </w:r>
      <w:r w:rsidR="00EA7F20" w:rsidRPr="00305E0F">
        <w:rPr>
          <w:color w:val="auto"/>
          <w:lang w:val="en-GB"/>
        </w:rPr>
        <w:t xml:space="preserve"> </w:t>
      </w:r>
      <w:r w:rsidRPr="00305E0F">
        <w:rPr>
          <w:color w:val="auto"/>
          <w:lang w:val="en-GB"/>
        </w:rPr>
        <w:t>111/2018;</w:t>
      </w:r>
    </w:p>
    <w:p w14:paraId="2A637504" w14:textId="71CE3F48"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lastRenderedPageBreak/>
        <w:t>For exposures other than those referred to in</w:t>
      </w:r>
      <w:r w:rsidR="00EA7F20" w:rsidRPr="00305E0F">
        <w:rPr>
          <w:color w:val="auto"/>
          <w:lang w:val="en-GB"/>
        </w:rPr>
        <w:t xml:space="preserve"> 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_Ref215044416 \r \h </w:instrText>
      </w:r>
      <w:r w:rsidRPr="00305E0F">
        <w:rPr>
          <w:color w:val="auto"/>
          <w:lang w:val="en-GB"/>
        </w:rPr>
      </w:r>
      <w:r w:rsidRPr="00305E0F">
        <w:rPr>
          <w:color w:val="auto"/>
          <w:lang w:val="en-GB"/>
        </w:rPr>
        <w:fldChar w:fldCharType="separate"/>
      </w:r>
      <w:r w:rsidR="00594C05" w:rsidRPr="00305E0F">
        <w:rPr>
          <w:color w:val="auto"/>
          <w:lang w:val="en-GB"/>
        </w:rPr>
        <w:t>63</w:t>
      </w:r>
      <w:r w:rsidRPr="00305E0F">
        <w:rPr>
          <w:color w:val="auto"/>
          <w:lang w:val="en-GB"/>
        </w:rPr>
        <w:fldChar w:fldCharType="end"/>
      </w:r>
      <w:r w:rsidRPr="00305E0F">
        <w:rPr>
          <w:color w:val="auto"/>
          <w:lang w:val="en-GB"/>
        </w:rPr>
        <w:t xml:space="preserve"> </w:t>
      </w:r>
      <w:r w:rsidR="00EA7F20" w:rsidRPr="00305E0F">
        <w:rPr>
          <w:color w:val="auto"/>
          <w:lang w:val="en-GB"/>
        </w:rPr>
        <w:t>sub-paragraphs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_Ref215044396 \r \h </w:instrText>
      </w:r>
      <w:r w:rsidRPr="00305E0F">
        <w:rPr>
          <w:color w:val="auto"/>
          <w:lang w:val="en-GB"/>
        </w:rPr>
      </w:r>
      <w:r w:rsidRPr="00305E0F">
        <w:rPr>
          <w:color w:val="auto"/>
          <w:lang w:val="en-GB"/>
        </w:rPr>
        <w:fldChar w:fldCharType="separate"/>
      </w:r>
      <w:r w:rsidR="00594C05" w:rsidRPr="00305E0F">
        <w:rPr>
          <w:color w:val="auto"/>
          <w:lang w:val="en-GB"/>
        </w:rPr>
        <w:t>63.1</w:t>
      </w:r>
      <w:r w:rsidRPr="00305E0F">
        <w:rPr>
          <w:color w:val="auto"/>
          <w:lang w:val="en-GB"/>
        </w:rPr>
        <w:fldChar w:fldCharType="end"/>
      </w:r>
      <w:r w:rsidR="00EA7F20" w:rsidRPr="00305E0F">
        <w:rPr>
          <w:color w:val="auto"/>
          <w:lang w:val="en-GB"/>
        </w:rPr>
        <w:t>-</w:t>
      </w:r>
      <w:r w:rsidRPr="00305E0F">
        <w:rPr>
          <w:color w:val="auto"/>
          <w:lang w:val="en-GB"/>
        </w:rPr>
        <w:fldChar w:fldCharType="begin"/>
      </w:r>
      <w:r w:rsidRPr="00305E0F">
        <w:rPr>
          <w:color w:val="auto"/>
          <w:lang w:val="en-GB"/>
        </w:rPr>
        <w:instrText xml:space="preserve"> REF _Ref215044408 \r \h </w:instrText>
      </w:r>
      <w:r w:rsidRPr="00305E0F">
        <w:rPr>
          <w:color w:val="auto"/>
          <w:lang w:val="en-GB"/>
        </w:rPr>
      </w:r>
      <w:r w:rsidRPr="00305E0F">
        <w:rPr>
          <w:color w:val="auto"/>
          <w:lang w:val="en-GB"/>
        </w:rPr>
        <w:fldChar w:fldCharType="separate"/>
      </w:r>
      <w:r w:rsidR="00594C05" w:rsidRPr="00305E0F">
        <w:rPr>
          <w:color w:val="auto"/>
          <w:lang w:val="en-GB"/>
        </w:rPr>
        <w:t>63.3</w:t>
      </w:r>
      <w:r w:rsidRPr="00305E0F">
        <w:rPr>
          <w:color w:val="auto"/>
          <w:lang w:val="en-GB"/>
        </w:rPr>
        <w:fldChar w:fldCharType="end"/>
      </w:r>
      <w:r w:rsidRPr="00305E0F">
        <w:rPr>
          <w:color w:val="auto"/>
          <w:lang w:val="en-GB"/>
        </w:rPr>
        <w:t xml:space="preserve">, the third party shall perform the calculation in accordance with the look-through approach set out in </w:t>
      </w:r>
      <w:r w:rsidR="00EA7F20" w:rsidRPr="00305E0F">
        <w:rPr>
          <w:color w:val="auto"/>
          <w:lang w:val="en-GB"/>
        </w:rPr>
        <w:t>paragraph</w:t>
      </w:r>
      <w:r w:rsidRPr="00305E0F">
        <w:rPr>
          <w:color w:val="auto"/>
          <w:lang w:val="en-GB"/>
        </w:rPr>
        <w:t xml:space="preserve"> 82</w:t>
      </w:r>
      <w:r w:rsidRPr="00305E0F">
        <w:rPr>
          <w:color w:val="auto"/>
          <w:vertAlign w:val="superscript"/>
          <w:lang w:val="en-GB"/>
        </w:rPr>
        <w:t>14</w:t>
      </w:r>
      <w:r w:rsidRPr="00305E0F">
        <w:rPr>
          <w:color w:val="auto"/>
          <w:lang w:val="en-GB"/>
        </w:rPr>
        <w:t xml:space="preserve"> of Regulation </w:t>
      </w:r>
      <w:r w:rsidR="00EA7F20" w:rsidRPr="00305E0F">
        <w:rPr>
          <w:color w:val="auto"/>
          <w:lang w:val="en-GB"/>
        </w:rPr>
        <w:t>No</w:t>
      </w:r>
      <w:r w:rsidR="009269A1" w:rsidRPr="00305E0F">
        <w:rPr>
          <w:color w:val="auto"/>
          <w:lang w:val="en-GB"/>
        </w:rPr>
        <w:t xml:space="preserve"> 111/2018</w:t>
      </w:r>
      <w:r w:rsidRPr="00305E0F">
        <w:rPr>
          <w:color w:val="auto"/>
          <w:lang w:val="en-GB"/>
        </w:rPr>
        <w:t>;</w:t>
      </w:r>
    </w:p>
    <w:p w14:paraId="1BCC5DC0" w14:textId="154E4FBE"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For the exposures referred to in </w:t>
      </w:r>
      <w:r w:rsidR="00EA7F20"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_Ref215044416 \r \h </w:instrText>
      </w:r>
      <w:r w:rsidRPr="00305E0F">
        <w:rPr>
          <w:color w:val="auto"/>
          <w:lang w:val="en-GB"/>
        </w:rPr>
      </w:r>
      <w:r w:rsidRPr="00305E0F">
        <w:rPr>
          <w:color w:val="auto"/>
          <w:lang w:val="en-GB"/>
        </w:rPr>
        <w:fldChar w:fldCharType="separate"/>
      </w:r>
      <w:r w:rsidR="00594C05" w:rsidRPr="00305E0F">
        <w:rPr>
          <w:color w:val="auto"/>
          <w:lang w:val="en-GB"/>
        </w:rPr>
        <w:t>63</w:t>
      </w:r>
      <w:r w:rsidRPr="00305E0F">
        <w:rPr>
          <w:color w:val="auto"/>
          <w:lang w:val="en-GB"/>
        </w:rPr>
        <w:fldChar w:fldCharType="end"/>
      </w:r>
      <w:r w:rsidRPr="00305E0F">
        <w:rPr>
          <w:color w:val="auto"/>
          <w:lang w:val="en-GB"/>
        </w:rPr>
        <w:t xml:space="preserve"> </w:t>
      </w:r>
      <w:r w:rsidR="00EA7F20" w:rsidRPr="00305E0F">
        <w:rPr>
          <w:color w:val="auto"/>
          <w:lang w:val="en-GB"/>
        </w:rPr>
        <w:t xml:space="preserve">sub-paragraphs </w:t>
      </w:r>
      <w:r w:rsidRPr="00305E0F">
        <w:rPr>
          <w:color w:val="auto"/>
          <w:lang w:val="en-GB"/>
        </w:rPr>
        <w:fldChar w:fldCharType="begin"/>
      </w:r>
      <w:r w:rsidRPr="00305E0F">
        <w:rPr>
          <w:color w:val="auto"/>
          <w:lang w:val="en-GB"/>
        </w:rPr>
        <w:instrText xml:space="preserve"> REF _Ref215044396 \r \h </w:instrText>
      </w:r>
      <w:r w:rsidRPr="00305E0F">
        <w:rPr>
          <w:color w:val="auto"/>
          <w:lang w:val="en-GB"/>
        </w:rPr>
      </w:r>
      <w:r w:rsidRPr="00305E0F">
        <w:rPr>
          <w:color w:val="auto"/>
          <w:lang w:val="en-GB"/>
        </w:rPr>
        <w:fldChar w:fldCharType="separate"/>
      </w:r>
      <w:r w:rsidR="00594C05" w:rsidRPr="00305E0F">
        <w:rPr>
          <w:color w:val="auto"/>
          <w:lang w:val="en-GB"/>
        </w:rPr>
        <w:t>63.1</w:t>
      </w:r>
      <w:r w:rsidRPr="00305E0F">
        <w:rPr>
          <w:color w:val="auto"/>
          <w:lang w:val="en-GB"/>
        </w:rPr>
        <w:fldChar w:fldCharType="end"/>
      </w:r>
      <w:r w:rsidR="00EA7F20" w:rsidRPr="00305E0F">
        <w:rPr>
          <w:color w:val="auto"/>
          <w:lang w:val="en-GB"/>
        </w:rPr>
        <w:t>-</w:t>
      </w:r>
      <w:r w:rsidRPr="00305E0F">
        <w:rPr>
          <w:color w:val="auto"/>
          <w:lang w:val="en-GB"/>
        </w:rPr>
        <w:fldChar w:fldCharType="begin"/>
      </w:r>
      <w:r w:rsidRPr="00305E0F">
        <w:rPr>
          <w:color w:val="auto"/>
          <w:lang w:val="en-GB"/>
        </w:rPr>
        <w:instrText xml:space="preserve"> REF _Ref215044408 \r \h </w:instrText>
      </w:r>
      <w:r w:rsidRPr="00305E0F">
        <w:rPr>
          <w:color w:val="auto"/>
          <w:lang w:val="en-GB"/>
        </w:rPr>
      </w:r>
      <w:r w:rsidRPr="00305E0F">
        <w:rPr>
          <w:color w:val="auto"/>
          <w:lang w:val="en-GB"/>
        </w:rPr>
        <w:fldChar w:fldCharType="separate"/>
      </w:r>
      <w:r w:rsidR="00594C05" w:rsidRPr="00305E0F">
        <w:rPr>
          <w:color w:val="auto"/>
          <w:lang w:val="en-GB"/>
        </w:rPr>
        <w:t>63.3</w:t>
      </w:r>
      <w:r w:rsidRPr="00305E0F">
        <w:rPr>
          <w:color w:val="auto"/>
          <w:lang w:val="en-GB"/>
        </w:rPr>
        <w:fldChar w:fldCharType="end"/>
      </w:r>
      <w:r w:rsidRPr="00305E0F">
        <w:rPr>
          <w:color w:val="auto"/>
          <w:lang w:val="en-GB"/>
        </w:rPr>
        <w:t xml:space="preserve">, the third party shall perform the calculation in accordance with the approaches set out in those </w:t>
      </w:r>
      <w:r w:rsidR="00704220" w:rsidRPr="00305E0F">
        <w:rPr>
          <w:color w:val="auto"/>
          <w:lang w:val="en-GB"/>
        </w:rPr>
        <w:t>paragraph</w:t>
      </w:r>
      <w:r w:rsidRPr="00305E0F">
        <w:rPr>
          <w:color w:val="auto"/>
          <w:lang w:val="en-GB"/>
        </w:rPr>
        <w:t>s;</w:t>
      </w:r>
    </w:p>
    <w:p w14:paraId="5BADFA44" w14:textId="2AA1400B"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An external auditor confirmed the accuracy of the third party’s calculation.</w:t>
      </w:r>
    </w:p>
    <w:p w14:paraId="546C0C88" w14:textId="72C766A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71" w:name="_Ref215045615"/>
      <w:r w:rsidRPr="00305E0F">
        <w:rPr>
          <w:color w:val="auto"/>
          <w:lang w:val="en-GB"/>
        </w:rPr>
        <w:t>Banks that rely on third-party calculations shall multiply the risk-weighted exposure amount of a CIU's exposures resulting from those calculations by a factor of 1,2.</w:t>
      </w:r>
      <w:bookmarkEnd w:id="71"/>
    </w:p>
    <w:p w14:paraId="6ACC4D51" w14:textId="1B01554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By way of derogation from </w:t>
      </w:r>
      <w:r w:rsidR="004A3BAA"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_Ref215045615 \r \h </w:instrText>
      </w:r>
      <w:r w:rsidRPr="00305E0F">
        <w:rPr>
          <w:color w:val="auto"/>
          <w:lang w:val="en-GB"/>
        </w:rPr>
      </w:r>
      <w:r w:rsidRPr="00305E0F">
        <w:rPr>
          <w:color w:val="auto"/>
          <w:lang w:val="en-GB"/>
        </w:rPr>
        <w:fldChar w:fldCharType="separate"/>
      </w:r>
      <w:r w:rsidR="00594C05" w:rsidRPr="00305E0F">
        <w:rPr>
          <w:color w:val="auto"/>
          <w:lang w:val="en-GB"/>
        </w:rPr>
        <w:t>68</w:t>
      </w:r>
      <w:r w:rsidRPr="00305E0F">
        <w:rPr>
          <w:color w:val="auto"/>
          <w:lang w:val="en-GB"/>
        </w:rPr>
        <w:fldChar w:fldCharType="end"/>
      </w:r>
      <w:r w:rsidRPr="00305E0F">
        <w:rPr>
          <w:color w:val="auto"/>
          <w:lang w:val="en-GB"/>
        </w:rPr>
        <w:t xml:space="preserve">, where the bank has unrestricted access to detailed </w:t>
      </w:r>
      <w:r w:rsidR="004A3BAA" w:rsidRPr="00305E0F">
        <w:rPr>
          <w:color w:val="auto"/>
          <w:lang w:val="en-GB"/>
        </w:rPr>
        <w:t>third-party</w:t>
      </w:r>
      <w:r w:rsidRPr="00305E0F">
        <w:rPr>
          <w:color w:val="auto"/>
          <w:lang w:val="en-GB"/>
        </w:rPr>
        <w:t xml:space="preserve"> calculations, the factor of 1,2 shall not apply. The Bank shall provide, upon request, the respective calculations to the National Bank of Moldova.</w:t>
      </w:r>
    </w:p>
    <w:p w14:paraId="6A696340" w14:textId="6CCFECF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72" w:name="_Ref215069159"/>
      <w:r w:rsidRPr="00305E0F">
        <w:rPr>
          <w:color w:val="auto"/>
          <w:lang w:val="en-GB"/>
        </w:rPr>
        <w:t>For the purposes of this Subsection, the exclusions from the approaches for calculating risk-weighted exposure amounts for CIUs and paragraphs 82</w:t>
      </w:r>
      <w:r w:rsidRPr="00305E0F">
        <w:rPr>
          <w:color w:val="auto"/>
          <w:vertAlign w:val="superscript"/>
          <w:lang w:val="en-GB"/>
        </w:rPr>
        <w:t>11</w:t>
      </w:r>
      <w:r w:rsidR="004A3BAA" w:rsidRPr="00305E0F">
        <w:rPr>
          <w:color w:val="auto"/>
          <w:lang w:val="en-GB"/>
        </w:rPr>
        <w:t>-</w:t>
      </w:r>
      <w:r w:rsidRPr="00305E0F">
        <w:rPr>
          <w:color w:val="auto"/>
          <w:lang w:val="en-GB"/>
        </w:rPr>
        <w:t>82</w:t>
      </w:r>
      <w:r w:rsidRPr="00305E0F">
        <w:rPr>
          <w:color w:val="auto"/>
          <w:vertAlign w:val="superscript"/>
          <w:lang w:val="en-GB"/>
        </w:rPr>
        <w:t>12</w:t>
      </w:r>
      <w:r w:rsidRPr="00305E0F">
        <w:rPr>
          <w:color w:val="auto"/>
          <w:lang w:val="en-GB"/>
        </w:rPr>
        <w:t xml:space="preserve"> of Regulation </w:t>
      </w:r>
      <w:r w:rsidR="004A3BAA" w:rsidRPr="00305E0F">
        <w:rPr>
          <w:color w:val="auto"/>
          <w:lang w:val="en-GB"/>
        </w:rPr>
        <w:t>No</w:t>
      </w:r>
      <w:r w:rsidRPr="00305E0F">
        <w:rPr>
          <w:color w:val="auto"/>
          <w:lang w:val="en-GB"/>
        </w:rPr>
        <w:t xml:space="preserve"> 111</w:t>
      </w:r>
      <w:r w:rsidR="004A3BAA" w:rsidRPr="00305E0F">
        <w:rPr>
          <w:color w:val="auto"/>
          <w:lang w:val="en-GB"/>
        </w:rPr>
        <w:t>/2018</w:t>
      </w:r>
      <w:r w:rsidRPr="00305E0F">
        <w:rPr>
          <w:color w:val="auto"/>
          <w:lang w:val="en-GB"/>
        </w:rPr>
        <w:t xml:space="preserve"> shall apply. For the purposes of this Subsection, the treatment of off-balance sheet exposures to CIUs set out in Regulation </w:t>
      </w:r>
      <w:r w:rsidR="004A3BAA" w:rsidRPr="00305E0F">
        <w:rPr>
          <w:color w:val="auto"/>
          <w:lang w:val="en-GB"/>
        </w:rPr>
        <w:t>No</w:t>
      </w:r>
      <w:r w:rsidRPr="00305E0F">
        <w:rPr>
          <w:color w:val="auto"/>
          <w:lang w:val="en-GB"/>
        </w:rPr>
        <w:t xml:space="preserve"> 111</w:t>
      </w:r>
      <w:r w:rsidR="004A3BAA" w:rsidRPr="00305E0F">
        <w:rPr>
          <w:color w:val="auto"/>
          <w:lang w:val="en-GB"/>
        </w:rPr>
        <w:t>/2018</w:t>
      </w:r>
      <w:r w:rsidRPr="00305E0F">
        <w:rPr>
          <w:color w:val="auto"/>
          <w:lang w:val="en-GB"/>
        </w:rPr>
        <w:t xml:space="preserve"> shall apply, using the risk weights calculated in accordance with this Regulation.</w:t>
      </w:r>
      <w:bookmarkEnd w:id="72"/>
    </w:p>
    <w:p w14:paraId="37736A3C" w14:textId="5BF076DF"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color w:val="auto"/>
          <w:lang w:val="en-GB"/>
        </w:rPr>
      </w:pPr>
      <w:r w:rsidRPr="00305E0F">
        <w:rPr>
          <w:color w:val="auto"/>
          <w:lang w:val="en-GB"/>
        </w:rPr>
        <w:t>Section 2</w:t>
      </w:r>
    </w:p>
    <w:p w14:paraId="6C67623F" w14:textId="4DAC34D7" w:rsidR="00EB0050" w:rsidRPr="00305E0F" w:rsidRDefault="004A3BAA">
      <w:pPr>
        <w:pStyle w:val="P68B1DB1-ListParagraph15"/>
        <w:shd w:val="clear" w:color="auto" w:fill="FFFFFF"/>
        <w:tabs>
          <w:tab w:val="left" w:pos="0"/>
          <w:tab w:val="left" w:pos="567"/>
        </w:tabs>
        <w:spacing w:after="120" w:line="240" w:lineRule="auto"/>
        <w:ind w:left="0"/>
        <w:contextualSpacing w:val="0"/>
        <w:jc w:val="center"/>
        <w:rPr>
          <w:bCs/>
          <w:iCs/>
          <w:color w:val="auto"/>
          <w:lang w:val="en-GB"/>
        </w:rPr>
      </w:pPr>
      <w:r w:rsidRPr="00305E0F">
        <w:rPr>
          <w:bCs/>
          <w:color w:val="auto"/>
          <w:lang w:val="en-GB"/>
        </w:rPr>
        <w:t>Calculation of risk-weighted exposure amounts for credit risk</w:t>
      </w:r>
    </w:p>
    <w:p w14:paraId="52AC4BE8" w14:textId="77777777" w:rsidR="00EB0050" w:rsidRPr="00305E0F" w:rsidRDefault="00B02122">
      <w:pPr>
        <w:pStyle w:val="ListParagraph"/>
        <w:shd w:val="clear" w:color="auto" w:fill="FFFFFF"/>
        <w:tabs>
          <w:tab w:val="left" w:pos="0"/>
          <w:tab w:val="left" w:pos="567"/>
        </w:tabs>
        <w:spacing w:before="120" w:after="0" w:line="240" w:lineRule="auto"/>
        <w:ind w:left="0"/>
        <w:contextualSpacing w:val="0"/>
        <w:jc w:val="center"/>
        <w:rPr>
          <w:lang w:val="en-GB"/>
        </w:rPr>
      </w:pPr>
      <w:r w:rsidRPr="00305E0F">
        <w:rPr>
          <w:rFonts w:ascii="Times New Roman" w:hAnsi="Times New Roman" w:cs="Times New Roman"/>
          <w:b/>
          <w:i/>
          <w:sz w:val="24"/>
          <w:szCs w:val="24"/>
          <w:lang w:val="en-GB"/>
        </w:rPr>
        <w:t>Subsection 1</w:t>
      </w:r>
      <w:r w:rsidRPr="00305E0F">
        <w:rPr>
          <w:lang w:val="en-GB"/>
        </w:rPr>
        <w:t xml:space="preserve"> </w:t>
      </w:r>
    </w:p>
    <w:p w14:paraId="1C5A7BB6" w14:textId="25EF4F58" w:rsidR="00EB0050" w:rsidRPr="00305E0F" w:rsidRDefault="004A3BAA">
      <w:pPr>
        <w:pStyle w:val="P68B1DB1-ListParagraph15"/>
        <w:shd w:val="clear" w:color="auto" w:fill="FFFFFF"/>
        <w:tabs>
          <w:tab w:val="left" w:pos="0"/>
          <w:tab w:val="left" w:pos="567"/>
        </w:tabs>
        <w:spacing w:after="120" w:line="240" w:lineRule="auto"/>
        <w:ind w:left="0"/>
        <w:contextualSpacing w:val="0"/>
        <w:jc w:val="center"/>
        <w:rPr>
          <w:bCs/>
          <w:iCs/>
          <w:color w:val="auto"/>
          <w:lang w:val="en-GB"/>
        </w:rPr>
      </w:pPr>
      <w:r w:rsidRPr="00305E0F">
        <w:rPr>
          <w:bCs/>
          <w:color w:val="auto"/>
          <w:lang w:val="en-GB"/>
        </w:rPr>
        <w:t>Risk-weighted exposure amounts for exposures to central governments and central banks, exposures to regional governments, local authorities and public sector entities, exposures to institutions and exposures to corporates</w:t>
      </w:r>
    </w:p>
    <w:p w14:paraId="6D98FB01" w14:textId="437DB7B3"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73" w:name="_Ref215047688"/>
      <w:r w:rsidRPr="00305E0F">
        <w:rPr>
          <w:color w:val="auto"/>
          <w:lang w:val="en-GB"/>
        </w:rPr>
        <w:t>Subject to the</w:t>
      </w:r>
      <w:r w:rsidR="004A3BAA" w:rsidRPr="00305E0F">
        <w:rPr>
          <w:color w:val="auto"/>
          <w:lang w:val="en-GB"/>
        </w:rPr>
        <w:t xml:space="preserve"> application of</w:t>
      </w:r>
      <w:r w:rsidRPr="00305E0F">
        <w:rPr>
          <w:color w:val="auto"/>
          <w:lang w:val="en-GB"/>
        </w:rPr>
        <w:t xml:space="preserve"> specific treatments set out in </w:t>
      </w:r>
      <w:r w:rsidR="004A3BAA" w:rsidRPr="00305E0F">
        <w:rPr>
          <w:color w:val="auto"/>
          <w:lang w:val="en-GB"/>
        </w:rPr>
        <w:t>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_Ref222834949 \r \h </w:instrText>
      </w:r>
      <w:r w:rsidRPr="00305E0F">
        <w:rPr>
          <w:color w:val="auto"/>
          <w:lang w:val="en-GB"/>
        </w:rPr>
      </w:r>
      <w:r w:rsidRPr="00305E0F">
        <w:rPr>
          <w:color w:val="auto"/>
          <w:lang w:val="en-GB"/>
        </w:rPr>
        <w:fldChar w:fldCharType="separate"/>
      </w:r>
      <w:r w:rsidR="00594C05" w:rsidRPr="00305E0F">
        <w:rPr>
          <w:color w:val="auto"/>
          <w:lang w:val="en-GB"/>
        </w:rPr>
        <w:t>72</w:t>
      </w:r>
      <w:r w:rsidRPr="00305E0F">
        <w:rPr>
          <w:color w:val="auto"/>
          <w:lang w:val="en-GB"/>
        </w:rPr>
        <w:fldChar w:fldCharType="end"/>
      </w:r>
      <w:r w:rsidRPr="00305E0F">
        <w:rPr>
          <w:color w:val="auto"/>
          <w:lang w:val="en-GB"/>
        </w:rPr>
        <w:t xml:space="preserve"> and</w:t>
      </w:r>
      <w:r w:rsidR="004A3BAA" w:rsidRPr="00305E0F">
        <w:rPr>
          <w:color w:val="auto"/>
          <w:lang w:val="en-GB"/>
        </w:rPr>
        <w:t xml:space="preserve"> </w:t>
      </w:r>
      <w:r w:rsidRPr="00305E0F">
        <w:rPr>
          <w:color w:val="auto"/>
          <w:lang w:val="en-GB"/>
        </w:rPr>
        <w:fldChar w:fldCharType="begin"/>
      </w:r>
      <w:r w:rsidRPr="00305E0F">
        <w:rPr>
          <w:color w:val="auto"/>
          <w:lang w:val="en-GB"/>
        </w:rPr>
        <w:instrText xml:space="preserve"> REF _Ref215048481 \r \h </w:instrText>
      </w:r>
      <w:r w:rsidRPr="00305E0F">
        <w:rPr>
          <w:color w:val="auto"/>
          <w:lang w:val="en-GB"/>
        </w:rPr>
      </w:r>
      <w:r w:rsidRPr="00305E0F">
        <w:rPr>
          <w:color w:val="auto"/>
          <w:lang w:val="en-GB"/>
        </w:rPr>
        <w:fldChar w:fldCharType="separate"/>
      </w:r>
      <w:r w:rsidR="00594C05" w:rsidRPr="00305E0F">
        <w:rPr>
          <w:color w:val="auto"/>
          <w:lang w:val="en-GB"/>
        </w:rPr>
        <w:t>73</w:t>
      </w:r>
      <w:r w:rsidRPr="00305E0F">
        <w:rPr>
          <w:color w:val="auto"/>
          <w:lang w:val="en-GB"/>
        </w:rPr>
        <w:fldChar w:fldCharType="end"/>
      </w:r>
      <w:r w:rsidRPr="00305E0F">
        <w:rPr>
          <w:color w:val="auto"/>
          <w:lang w:val="en-GB"/>
        </w:rPr>
        <w:t xml:space="preserve">, risk-weighted exposure amounts for exposures to central governments and central banks, exposures to regional governments, local authorities and public sector entities, exposures to banks and exposures to corporates shall be calculated in accordance with the following formulae: </w:t>
      </w:r>
      <w:bookmarkEnd w:id="73"/>
    </w:p>
    <w:p w14:paraId="20E24FE0" w14:textId="66320D41" w:rsidR="00EB0050" w:rsidRPr="00305E0F" w:rsidRDefault="004A3BAA">
      <w:pPr>
        <w:pStyle w:val="P68B1DB1-ListParagraph18"/>
        <w:shd w:val="clear" w:color="auto" w:fill="FFFFFF"/>
        <w:tabs>
          <w:tab w:val="left" w:pos="0"/>
          <w:tab w:val="left" w:pos="567"/>
        </w:tabs>
        <w:spacing w:before="60" w:after="0" w:line="240" w:lineRule="auto"/>
        <w:ind w:left="0"/>
        <w:jc w:val="both"/>
        <w:rPr>
          <w:iCs/>
          <w:color w:val="auto"/>
          <w:lang w:val="en-GB"/>
        </w:rPr>
      </w:pPr>
      <w:r w:rsidRPr="00305E0F">
        <w:rPr>
          <w:iCs/>
          <w:color w:val="auto"/>
          <w:lang w:val="en-GB"/>
        </w:rPr>
        <w:t>Risk – weighted exposure amount = RW · exposure value</w:t>
      </w:r>
    </w:p>
    <w:p w14:paraId="300038E7" w14:textId="3E75A151" w:rsidR="00EB0050" w:rsidRPr="00305E0F" w:rsidRDefault="004A3BAA">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where the risk weight RW is defined as:</w:t>
      </w:r>
    </w:p>
    <w:p w14:paraId="078EA2BA" w14:textId="5C6ABCBE" w:rsidR="00EB0050" w:rsidRPr="00305E0F" w:rsidRDefault="004A3BAA">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if PD = 0, RW shall be 0;</w:t>
      </w:r>
    </w:p>
    <w:p w14:paraId="727960E7" w14:textId="7A33C2BB" w:rsidR="00EB0050" w:rsidRPr="00305E0F" w:rsidRDefault="004A3BAA">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if PD = 1, i.e., for defaulted exposures: </w:t>
      </w:r>
    </w:p>
    <w:p w14:paraId="4172F913" w14:textId="6CA2F68A" w:rsidR="00EB0050" w:rsidRPr="00305E0F" w:rsidRDefault="00B02122">
      <w:pPr>
        <w:pStyle w:val="P68B1DB1-ListParagraph8"/>
        <w:numPr>
          <w:ilvl w:val="2"/>
          <w:numId w:val="2"/>
        </w:numPr>
        <w:shd w:val="clear" w:color="auto" w:fill="FFFFFF"/>
        <w:tabs>
          <w:tab w:val="left" w:pos="0"/>
          <w:tab w:val="left" w:pos="567"/>
        </w:tabs>
        <w:spacing w:before="60" w:after="0" w:line="240" w:lineRule="auto"/>
        <w:ind w:left="0"/>
        <w:jc w:val="both"/>
        <w:rPr>
          <w:color w:val="auto"/>
          <w:lang w:val="en-GB"/>
        </w:rPr>
      </w:pPr>
      <w:r w:rsidRPr="00305E0F">
        <w:rPr>
          <w:color w:val="auto"/>
          <w:lang w:val="en-GB"/>
        </w:rPr>
        <w:t>when banks apply the LGD values set out in paragraph</w:t>
      </w:r>
      <w:r w:rsidR="004A3BAA" w:rsidRPr="00305E0F">
        <w:rPr>
          <w:color w:val="auto"/>
          <w:lang w:val="en-GB"/>
        </w:rPr>
        <w:t xml:space="preserve"> </w:t>
      </w:r>
      <w:r w:rsidRPr="00305E0F">
        <w:rPr>
          <w:color w:val="auto"/>
          <w:lang w:val="en-GB"/>
        </w:rPr>
        <w:fldChar w:fldCharType="begin"/>
      </w:r>
      <w:r w:rsidRPr="00305E0F">
        <w:rPr>
          <w:color w:val="auto"/>
          <w:lang w:val="en-GB"/>
        </w:rPr>
        <w:instrText xml:space="preserve"> REF _Ref215503005 \r \h </w:instrText>
      </w:r>
      <w:r w:rsidRPr="00305E0F">
        <w:rPr>
          <w:color w:val="auto"/>
          <w:lang w:val="en-GB"/>
        </w:rPr>
      </w:r>
      <w:r w:rsidRPr="00305E0F">
        <w:rPr>
          <w:color w:val="auto"/>
          <w:lang w:val="en-GB"/>
        </w:rPr>
        <w:fldChar w:fldCharType="separate"/>
      </w:r>
      <w:r w:rsidR="00594C05" w:rsidRPr="00305E0F">
        <w:rPr>
          <w:color w:val="auto"/>
          <w:lang w:val="en-GB"/>
        </w:rPr>
        <w:t>114</w:t>
      </w:r>
      <w:r w:rsidRPr="00305E0F">
        <w:rPr>
          <w:color w:val="auto"/>
          <w:lang w:val="en-GB"/>
        </w:rPr>
        <w:fldChar w:fldCharType="end"/>
      </w:r>
      <w:r w:rsidRPr="00305E0F">
        <w:rPr>
          <w:color w:val="auto"/>
          <w:lang w:val="en-GB"/>
        </w:rPr>
        <w:t xml:space="preserve">, RW </w:t>
      </w:r>
      <w:r w:rsidR="004A3BAA" w:rsidRPr="00305E0F">
        <w:rPr>
          <w:color w:val="auto"/>
          <w:lang w:val="en-GB"/>
        </w:rPr>
        <w:t>shall be</w:t>
      </w:r>
      <w:r w:rsidRPr="00305E0F">
        <w:rPr>
          <w:color w:val="auto"/>
          <w:lang w:val="en-GB"/>
        </w:rPr>
        <w:t xml:space="preserve"> 0;</w:t>
      </w:r>
    </w:p>
    <w:p w14:paraId="4D4FD921" w14:textId="1F36BBB7" w:rsidR="00EB0050" w:rsidRPr="00305E0F" w:rsidRDefault="00B02122">
      <w:pPr>
        <w:pStyle w:val="P68B1DB1-ListParagraph8"/>
        <w:numPr>
          <w:ilvl w:val="2"/>
          <w:numId w:val="2"/>
        </w:numPr>
        <w:shd w:val="clear" w:color="auto" w:fill="FFFFFF"/>
        <w:tabs>
          <w:tab w:val="left" w:pos="0"/>
          <w:tab w:val="left" w:pos="567"/>
        </w:tabs>
        <w:spacing w:before="60" w:after="0" w:line="240" w:lineRule="auto"/>
        <w:ind w:left="0"/>
        <w:jc w:val="both"/>
        <w:rPr>
          <w:color w:val="auto"/>
          <w:lang w:val="en-GB"/>
        </w:rPr>
      </w:pPr>
      <w:r w:rsidRPr="00305E0F">
        <w:rPr>
          <w:color w:val="auto"/>
          <w:lang w:val="en-GB"/>
        </w:rPr>
        <w:t xml:space="preserve">when banks use own estimates of LGD, RW </w:t>
      </w:r>
      <w:r w:rsidR="004A3BAA" w:rsidRPr="00305E0F">
        <w:rPr>
          <w:color w:val="auto"/>
          <w:lang w:val="en-GB"/>
        </w:rPr>
        <w:t>shall be</w:t>
      </w:r>
    </w:p>
    <w:p w14:paraId="0B49B104" w14:textId="585257CB" w:rsidR="00EB0050" w:rsidRPr="00305E0F" w:rsidRDefault="00B02122">
      <w:pPr>
        <w:pStyle w:val="ListParagraph"/>
        <w:shd w:val="clear" w:color="auto" w:fill="FFFFFF"/>
        <w:tabs>
          <w:tab w:val="left" w:pos="0"/>
          <w:tab w:val="left" w:pos="567"/>
        </w:tabs>
        <w:spacing w:before="60" w:after="0" w:line="240" w:lineRule="auto"/>
        <w:ind w:left="0"/>
        <w:jc w:val="center"/>
        <w:rPr>
          <w:rFonts w:ascii="Times New Roman" w:hAnsi="Times New Roman" w:cs="Times New Roman"/>
          <w:sz w:val="24"/>
          <w:szCs w:val="24"/>
          <w:lang w:val="en-GB"/>
        </w:rPr>
      </w:pPr>
      <m:oMathPara>
        <m:oMath>
          <m:r>
            <w:rPr>
              <w:rFonts w:ascii="Cambria Math" w:hAnsi="Cambria Math" w:cs="Times New Roman"/>
              <w:sz w:val="24"/>
              <w:szCs w:val="24"/>
              <w:lang w:val="en-GB"/>
            </w:rPr>
            <m:t>RW=max</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0;12,5∙</m:t>
              </m:r>
            </m:e>
          </m:d>
          <m:d>
            <m:dPr>
              <m:begChr m:val=""/>
              <m:endChr m:val="}"/>
              <m:ctrlPr>
                <w:rPr>
                  <w:rFonts w:ascii="Cambria Math" w:hAnsi="Cambria Math" w:cs="Times New Roman"/>
                  <w:i/>
                  <w:sz w:val="24"/>
                  <w:szCs w:val="24"/>
                  <w:lang w:val="en-GB"/>
                </w:rPr>
              </m:ctrlPr>
            </m:dPr>
            <m:e>
              <m:d>
                <m:dPr>
                  <m:ctrlPr>
                    <w:rPr>
                      <w:rFonts w:ascii="Cambria Math" w:hAnsi="Cambria Math" w:cs="Times New Roman"/>
                      <w:i/>
                      <w:sz w:val="24"/>
                      <w:szCs w:val="24"/>
                      <w:lang w:val="en-GB"/>
                    </w:rPr>
                  </m:ctrlPr>
                </m:dPr>
                <m:e>
                  <m:r>
                    <w:rPr>
                      <w:rFonts w:ascii="Cambria Math" w:hAnsi="Cambria Math" w:cs="Times New Roman"/>
                      <w:sz w:val="24"/>
                      <w:szCs w:val="24"/>
                      <w:lang w:val="en-GB"/>
                    </w:rPr>
                    <m:t>LGD-</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EL</m:t>
                      </m:r>
                    </m:e>
                    <m:sub>
                      <m:r>
                        <w:rPr>
                          <w:rFonts w:ascii="Cambria Math" w:hAnsi="Cambria Math" w:cs="Times New Roman"/>
                          <w:sz w:val="24"/>
                          <w:szCs w:val="24"/>
                          <w:lang w:val="en-GB"/>
                        </w:rPr>
                        <m:t>BE</m:t>
                      </m:r>
                    </m:sub>
                  </m:sSub>
                </m:e>
              </m:d>
            </m:e>
          </m:d>
        </m:oMath>
      </m:oMathPara>
    </w:p>
    <w:p w14:paraId="5B62AB89" w14:textId="23F2DE29"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 xml:space="preserve">where </w:t>
      </w:r>
      <w:r w:rsidR="004A3BAA" w:rsidRPr="00305E0F">
        <w:rPr>
          <w:color w:val="auto"/>
          <w:lang w:val="en-GB"/>
        </w:rPr>
        <w:t>e</w:t>
      </w:r>
      <w:r w:rsidRPr="00305E0F">
        <w:rPr>
          <w:color w:val="auto"/>
          <w:lang w:val="en-GB"/>
        </w:rPr>
        <w:t xml:space="preserve">xpected </w:t>
      </w:r>
      <w:r w:rsidR="004A3BAA" w:rsidRPr="00305E0F">
        <w:rPr>
          <w:color w:val="auto"/>
          <w:lang w:val="en-GB"/>
        </w:rPr>
        <w:t>l</w:t>
      </w:r>
      <w:r w:rsidRPr="00305E0F">
        <w:rPr>
          <w:color w:val="auto"/>
          <w:lang w:val="en-GB"/>
        </w:rPr>
        <w:t xml:space="preserve">oss </w:t>
      </w:r>
      <w:r w:rsidR="004A3BAA" w:rsidRPr="00305E0F">
        <w:rPr>
          <w:color w:val="auto"/>
          <w:lang w:val="en-GB"/>
        </w:rPr>
        <w:t>b</w:t>
      </w:r>
      <w:r w:rsidRPr="00305E0F">
        <w:rPr>
          <w:color w:val="auto"/>
          <w:lang w:val="en-GB"/>
        </w:rPr>
        <w:t xml:space="preserve">est </w:t>
      </w:r>
      <w:r w:rsidR="004A3BAA" w:rsidRPr="00305E0F">
        <w:rPr>
          <w:color w:val="auto"/>
          <w:lang w:val="en-GB"/>
        </w:rPr>
        <w:t>e</w:t>
      </w:r>
      <w:r w:rsidRPr="00305E0F">
        <w:rPr>
          <w:color w:val="auto"/>
          <w:lang w:val="en-GB"/>
        </w:rPr>
        <w:t>stimate (EL</w:t>
      </w:r>
      <w:r w:rsidRPr="00305E0F">
        <w:rPr>
          <w:color w:val="auto"/>
          <w:vertAlign w:val="subscript"/>
          <w:lang w:val="en-GB"/>
        </w:rPr>
        <w:t xml:space="preserve"> BE</w:t>
      </w:r>
      <w:r w:rsidR="004A3BAA" w:rsidRPr="00305E0F">
        <w:rPr>
          <w:color w:val="auto"/>
          <w:lang w:val="en-GB"/>
        </w:rPr>
        <w:t>)</w:t>
      </w:r>
      <w:r w:rsidRPr="00305E0F">
        <w:rPr>
          <w:i/>
          <w:color w:val="auto"/>
          <w:lang w:val="en-GB"/>
        </w:rPr>
        <w:t xml:space="preserve"> </w:t>
      </w:r>
      <w:r w:rsidR="004A3BAA" w:rsidRPr="00305E0F">
        <w:rPr>
          <w:iCs/>
          <w:color w:val="auto"/>
          <w:lang w:val="en-GB"/>
        </w:rPr>
        <w:t>shall be</w:t>
      </w:r>
      <w:r w:rsidRPr="00305E0F">
        <w:rPr>
          <w:iCs/>
          <w:color w:val="auto"/>
          <w:lang w:val="en-GB"/>
        </w:rPr>
        <w:t xml:space="preserve"> the bank’s</w:t>
      </w:r>
      <w:r w:rsidRPr="00305E0F">
        <w:rPr>
          <w:color w:val="auto"/>
          <w:lang w:val="en-GB"/>
        </w:rPr>
        <w:t xml:space="preserve"> best estimate of expected loss for defaulted exposures in accordance with </w:t>
      </w:r>
      <w:r w:rsidR="004A3BAA"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_Ref215505438 \r \h </w:instrText>
      </w:r>
      <w:r w:rsidRPr="00305E0F">
        <w:rPr>
          <w:color w:val="auto"/>
          <w:lang w:val="en-GB"/>
        </w:rPr>
      </w:r>
      <w:r w:rsidRPr="00305E0F">
        <w:rPr>
          <w:color w:val="auto"/>
          <w:lang w:val="en-GB"/>
        </w:rPr>
        <w:fldChar w:fldCharType="separate"/>
      </w:r>
      <w:r w:rsidR="00594C05" w:rsidRPr="00305E0F">
        <w:rPr>
          <w:color w:val="auto"/>
          <w:lang w:val="en-GB"/>
        </w:rPr>
        <w:t>202.9</w:t>
      </w:r>
      <w:r w:rsidRPr="00305E0F">
        <w:rPr>
          <w:color w:val="auto"/>
          <w:lang w:val="en-GB"/>
        </w:rPr>
        <w:fldChar w:fldCharType="end"/>
      </w:r>
      <w:r w:rsidRPr="00305E0F">
        <w:rPr>
          <w:color w:val="auto"/>
          <w:lang w:val="en-GB"/>
        </w:rPr>
        <w:t>;</w:t>
      </w:r>
    </w:p>
    <w:p w14:paraId="27AE8204" w14:textId="2CD33254"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74" w:name="_Ref215047700"/>
      <w:r w:rsidRPr="00305E0F">
        <w:rPr>
          <w:color w:val="auto"/>
          <w:lang w:val="en-GB"/>
        </w:rPr>
        <w:t>if 0 &lt; PD &lt; 1, then:</w:t>
      </w:r>
      <w:bookmarkEnd w:id="74"/>
    </w:p>
    <w:p w14:paraId="76471E38" w14:textId="77777777" w:rsidR="00EB0050" w:rsidRPr="00305E0F" w:rsidRDefault="00EB0050">
      <w:pPr>
        <w:pStyle w:val="ListParagraph"/>
        <w:shd w:val="clear" w:color="auto" w:fill="FFFFFF"/>
        <w:tabs>
          <w:tab w:val="left" w:pos="0"/>
          <w:tab w:val="left" w:pos="567"/>
        </w:tabs>
        <w:spacing w:before="60" w:after="0" w:line="240" w:lineRule="auto"/>
        <w:ind w:left="567"/>
        <w:jc w:val="both"/>
        <w:rPr>
          <w:rFonts w:ascii="Times New Roman" w:hAnsi="Times New Roman" w:cs="Times New Roman"/>
          <w:sz w:val="24"/>
          <w:szCs w:val="24"/>
          <w:lang w:val="en-GB"/>
        </w:rPr>
      </w:pPr>
    </w:p>
    <w:p w14:paraId="5CC1204E" w14:textId="69FEDEA2" w:rsidR="00EB0050" w:rsidRPr="00305E0F" w:rsidRDefault="00B02122">
      <w:pPr>
        <w:pStyle w:val="ListParagraph"/>
        <w:ind w:left="1077"/>
        <w:jc w:val="both"/>
        <w:rPr>
          <w:rFonts w:ascii="Times New Roman" w:eastAsiaTheme="minorEastAsia" w:hAnsi="Times New Roman" w:cs="Times New Roman"/>
          <w:sz w:val="24"/>
          <w:szCs w:val="24"/>
          <w:lang w:val="en-GB"/>
        </w:rPr>
      </w:pPr>
      <m:oMathPara>
        <m:oMathParaPr>
          <m:jc m:val="left"/>
        </m:oMathParaPr>
        <m:oMath>
          <m:r>
            <w:rPr>
              <w:rFonts w:ascii="Cambria Math" w:eastAsiaTheme="minorEastAsia" w:hAnsi="Cambria Math" w:cs="Times New Roman"/>
              <w:sz w:val="24"/>
              <w:szCs w:val="24"/>
              <w:lang w:val="en-GB"/>
            </w:rPr>
            <m:t>RW=</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LGD∙N</m:t>
              </m:r>
              <m:d>
                <m:dPr>
                  <m:ctrlPr>
                    <w:rPr>
                      <w:rFonts w:ascii="Cambria Math" w:eastAsiaTheme="minorEastAsia" w:hAnsi="Cambria Math" w:cs="Times New Roman"/>
                      <w:i/>
                      <w:sz w:val="24"/>
                      <w:szCs w:val="24"/>
                      <w:lang w:val="en-GB"/>
                    </w:rPr>
                  </m:ctrlPr>
                </m:dPr>
                <m:e>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1-R</m:t>
                          </m:r>
                        </m:e>
                      </m:rad>
                    </m:den>
                  </m:f>
                  <m:r>
                    <w:rPr>
                      <w:rFonts w:ascii="Cambria Math" w:eastAsiaTheme="minorEastAsia" w:hAnsi="Cambria Math" w:cs="Calibri"/>
                      <w:sz w:val="24"/>
                      <w:szCs w:val="24"/>
                      <w:rtl/>
                      <w:lang w:val="en-GB"/>
                    </w:rPr>
                    <m:t>٠</m:t>
                  </m:r>
                  <m:r>
                    <w:rPr>
                      <w:rFonts w:ascii="Cambria Math" w:eastAsiaTheme="minorEastAsia" w:hAnsi="Cambria Math" w:cs="Times New Roman"/>
                      <w:sz w:val="24"/>
                      <w:szCs w:val="24"/>
                      <w:lang w:val="en-GB"/>
                    </w:rPr>
                    <m:t>G</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PD</m:t>
                      </m:r>
                    </m:e>
                  </m:d>
                  <m:r>
                    <w:rPr>
                      <w:rFonts w:ascii="Cambria Math" w:eastAsiaTheme="minorEastAsia" w:hAnsi="Cambria Math" w:cs="Times New Roman"/>
                      <w:sz w:val="24"/>
                      <w:szCs w:val="24"/>
                      <w:lang w:val="en-GB"/>
                    </w:rPr>
                    <m:t>*</m:t>
                  </m:r>
                  <m:rad>
                    <m:radPr>
                      <m:degHide m:val="1"/>
                      <m:ctrlPr>
                        <w:rPr>
                          <w:rFonts w:ascii="Cambria Math" w:eastAsiaTheme="minorEastAsia" w:hAnsi="Cambria Math" w:cs="Times New Roman"/>
                          <w:i/>
                          <w:sz w:val="24"/>
                          <w:szCs w:val="24"/>
                          <w:lang w:val="en-GB"/>
                        </w:rPr>
                      </m:ctrlPr>
                    </m:radPr>
                    <m:deg/>
                    <m:e>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R</m:t>
                          </m:r>
                        </m:num>
                        <m:den>
                          <m:r>
                            <w:rPr>
                              <w:rFonts w:ascii="Cambria Math" w:eastAsiaTheme="minorEastAsia" w:hAnsi="Cambria Math" w:cs="Times New Roman"/>
                              <w:sz w:val="24"/>
                              <w:szCs w:val="24"/>
                              <w:lang w:val="en-GB"/>
                            </w:rPr>
                            <m:t>1-R</m:t>
                          </m:r>
                        </m:den>
                      </m:f>
                    </m:e>
                  </m:rad>
                  <m:r>
                    <w:rPr>
                      <w:rFonts w:ascii="Cambria Math" w:eastAsiaTheme="minorEastAsia" w:hAnsi="Cambria Math" w:cs="Times New Roman"/>
                      <w:sz w:val="24"/>
                      <w:szCs w:val="24"/>
                      <w:lang w:val="en-GB"/>
                    </w:rPr>
                    <m:t>·G</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0.999</m:t>
                      </m:r>
                    </m:e>
                  </m:d>
                </m:e>
              </m:d>
              <m:r>
                <w:rPr>
                  <w:rFonts w:ascii="Cambria Math" w:eastAsiaTheme="minorEastAsia" w:hAnsi="Cambria Math" w:cs="Times New Roman"/>
                  <w:sz w:val="24"/>
                  <w:szCs w:val="24"/>
                  <w:lang w:val="en-GB"/>
                </w:rPr>
                <m:t>-LGD∙PD</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M-2,5</m:t>
                  </m:r>
                </m:e>
              </m:d>
              <m:r>
                <w:rPr>
                  <w:rFonts w:ascii="Cambria Math" w:eastAsiaTheme="minorEastAsia" w:hAnsi="Cambria Math" w:cs="Calibri"/>
                  <w:sz w:val="24"/>
                  <w:szCs w:val="24"/>
                  <w:rtl/>
                  <w:lang w:val="en-GB"/>
                </w:rPr>
                <m:t>٠</m:t>
              </m:r>
              <m:r>
                <w:rPr>
                  <w:rFonts w:ascii="Cambria Math" w:eastAsiaTheme="minorEastAsia" w:hAnsi="Cambria Math" w:cs="Times New Roman"/>
                  <w:sz w:val="24"/>
                  <w:szCs w:val="24"/>
                  <w:lang w:val="en-GB"/>
                </w:rPr>
                <m:t>b</m:t>
              </m:r>
            </m:num>
            <m:den>
              <m:r>
                <w:rPr>
                  <w:rFonts w:ascii="Cambria Math" w:eastAsiaTheme="minorEastAsia" w:hAnsi="Cambria Math" w:cs="Times New Roman"/>
                  <w:sz w:val="24"/>
                  <w:szCs w:val="24"/>
                  <w:lang w:val="en-GB"/>
                </w:rPr>
                <m:t>1-1,5∙b</m:t>
              </m:r>
            </m:den>
          </m:f>
          <m:r>
            <w:rPr>
              <w:rFonts w:ascii="Cambria Math" w:eastAsiaTheme="minorEastAsia" w:hAnsi="Cambria Math" w:cs="Calibri"/>
              <w:sz w:val="24"/>
              <w:szCs w:val="24"/>
              <w:rtl/>
              <w:lang w:val="en-GB"/>
            </w:rPr>
            <m:t>٠</m:t>
          </m:r>
          <m:r>
            <w:rPr>
              <w:rFonts w:ascii="Cambria Math" w:eastAsiaTheme="minorEastAsia" w:hAnsi="Cambria Math" w:cs="Times New Roman"/>
              <w:sz w:val="24"/>
              <w:szCs w:val="24"/>
              <w:lang w:val="en-GB"/>
            </w:rPr>
            <m:t>12,5</m:t>
          </m:r>
        </m:oMath>
      </m:oMathPara>
    </w:p>
    <w:p w14:paraId="78014179" w14:textId="75F4C1E6" w:rsidR="00EB0050" w:rsidRPr="00305E0F" w:rsidRDefault="00B02122">
      <w:pPr>
        <w:pStyle w:val="P68B1DB1-ListParagraph19"/>
        <w:spacing w:line="360" w:lineRule="auto"/>
        <w:ind w:left="0"/>
        <w:jc w:val="both"/>
        <w:rPr>
          <w:lang w:val="en-GB"/>
        </w:rPr>
      </w:pPr>
      <w:r w:rsidRPr="00305E0F">
        <w:rPr>
          <w:lang w:val="en-GB"/>
        </w:rPr>
        <w:t>where:</w:t>
      </w:r>
    </w:p>
    <w:p w14:paraId="6603BA4B" w14:textId="0732A057"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 xml:space="preserve">N = the cumulative distribution function of a standard normal random variable, i.e. N(x) </w:t>
      </w:r>
      <w:r w:rsidR="004A3BAA" w:rsidRPr="00305E0F">
        <w:rPr>
          <w:color w:val="auto"/>
          <w:lang w:val="en-GB"/>
        </w:rPr>
        <w:t>equals</w:t>
      </w:r>
      <w:r w:rsidRPr="00305E0F">
        <w:rPr>
          <w:color w:val="auto"/>
          <w:lang w:val="en-GB"/>
        </w:rPr>
        <w:t xml:space="preserve"> the probability that a normally random variable with mean </w:t>
      </w:r>
      <w:r w:rsidR="004A3BAA" w:rsidRPr="00305E0F">
        <w:rPr>
          <w:color w:val="auto"/>
          <w:lang w:val="en-GB"/>
        </w:rPr>
        <w:t>of 0</w:t>
      </w:r>
      <w:r w:rsidRPr="00305E0F">
        <w:rPr>
          <w:color w:val="auto"/>
          <w:lang w:val="en-GB"/>
        </w:rPr>
        <w:t xml:space="preserve"> and variance</w:t>
      </w:r>
      <w:r w:rsidR="004A3BAA" w:rsidRPr="00305E0F">
        <w:rPr>
          <w:color w:val="auto"/>
          <w:lang w:val="en-GB"/>
        </w:rPr>
        <w:t xml:space="preserve"> of</w:t>
      </w:r>
      <w:r w:rsidRPr="00305E0F">
        <w:rPr>
          <w:color w:val="auto"/>
          <w:lang w:val="en-GB"/>
        </w:rPr>
        <w:t xml:space="preserve"> 1 is less than or equal to x;</w:t>
      </w:r>
    </w:p>
    <w:p w14:paraId="1723047B" w14:textId="55970C24"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lastRenderedPageBreak/>
        <w:t xml:space="preserve">G = the inverse of the cumulative distribution function for a standard normal random variable, i.e. if x = G(z), x </w:t>
      </w:r>
      <w:r w:rsidR="004A3BAA" w:rsidRPr="00305E0F">
        <w:rPr>
          <w:color w:val="auto"/>
          <w:lang w:val="en-GB"/>
        </w:rPr>
        <w:t>is</w:t>
      </w:r>
      <w:r w:rsidRPr="00305E0F">
        <w:rPr>
          <w:color w:val="auto"/>
          <w:lang w:val="en-GB"/>
        </w:rPr>
        <w:t xml:space="preserve"> the value </w:t>
      </w:r>
      <w:r w:rsidR="004A3BAA" w:rsidRPr="00305E0F">
        <w:rPr>
          <w:color w:val="auto"/>
          <w:lang w:val="en-GB"/>
        </w:rPr>
        <w:t xml:space="preserve">such </w:t>
      </w:r>
      <w:r w:rsidRPr="00305E0F">
        <w:rPr>
          <w:color w:val="auto"/>
          <w:lang w:val="en-GB"/>
        </w:rPr>
        <w:t>that N(x) = z;</w:t>
      </w:r>
    </w:p>
    <w:p w14:paraId="46EF7A88" w14:textId="53C7742E"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 xml:space="preserve">R = </w:t>
      </w:r>
      <w:r w:rsidR="004A3BAA" w:rsidRPr="00305E0F">
        <w:rPr>
          <w:color w:val="auto"/>
          <w:lang w:val="en-GB"/>
        </w:rPr>
        <w:t xml:space="preserve">the </w:t>
      </w:r>
      <w:r w:rsidRPr="00305E0F">
        <w:rPr>
          <w:color w:val="auto"/>
          <w:lang w:val="en-GB"/>
        </w:rPr>
        <w:t>coefficient of correlation, which is defined as:</w:t>
      </w:r>
    </w:p>
    <w:p w14:paraId="4D150B27" w14:textId="77777777" w:rsidR="00EB0050" w:rsidRPr="00305E0F" w:rsidRDefault="00EB0050">
      <w:pPr>
        <w:pStyle w:val="ListParagraph"/>
        <w:shd w:val="clear" w:color="auto" w:fill="FFFFFF"/>
        <w:tabs>
          <w:tab w:val="left" w:pos="0"/>
          <w:tab w:val="left" w:pos="567"/>
        </w:tabs>
        <w:spacing w:before="60" w:after="0" w:line="240" w:lineRule="auto"/>
        <w:ind w:left="0"/>
        <w:jc w:val="both"/>
        <w:rPr>
          <w:rFonts w:ascii="Times New Roman" w:hAnsi="Times New Roman" w:cs="Times New Roman"/>
          <w:sz w:val="24"/>
          <w:szCs w:val="24"/>
          <w:lang w:val="en-GB"/>
        </w:rPr>
      </w:pPr>
    </w:p>
    <w:p w14:paraId="20D74F09" w14:textId="507BC086" w:rsidR="00EB0050" w:rsidRPr="00305E0F" w:rsidRDefault="00B02122">
      <w:pPr>
        <w:pStyle w:val="ListParagraph"/>
        <w:spacing w:line="360" w:lineRule="auto"/>
        <w:ind w:left="1077"/>
        <w:jc w:val="both"/>
        <w:rPr>
          <w:rFonts w:ascii="Times New Roman" w:eastAsiaTheme="minorEastAsia" w:hAnsi="Times New Roman" w:cs="Times New Roman"/>
          <w:sz w:val="24"/>
          <w:szCs w:val="24"/>
          <w:lang w:val="en-GB"/>
        </w:rPr>
      </w:pPr>
      <m:oMathPara>
        <m:oMathParaPr>
          <m:jc m:val="left"/>
        </m:oMathParaPr>
        <m:oMath>
          <m:r>
            <w:rPr>
              <w:rFonts w:ascii="Cambria Math" w:eastAsiaTheme="minorEastAsia" w:hAnsi="Cambria Math" w:cs="Times New Roman"/>
              <w:sz w:val="24"/>
              <w:szCs w:val="24"/>
              <w:lang w:val="en-GB"/>
            </w:rPr>
            <m:t>R=0.12·</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-50</m:t>
                  </m:r>
                  <m:r>
                    <w:rPr>
                      <w:rFonts w:ascii="Cambria Math" w:eastAsiaTheme="minorEastAsia" w:hAnsi="Cambria Math" w:cs="Calibri"/>
                      <w:sz w:val="24"/>
                      <w:szCs w:val="24"/>
                      <w:rtl/>
                      <w:lang w:val="en-GB"/>
                    </w:rPr>
                    <m:t>٠</m:t>
                  </m:r>
                  <m:r>
                    <w:rPr>
                      <w:rFonts w:ascii="Cambria Math" w:eastAsiaTheme="minorEastAsia" w:hAnsi="Cambria Math" w:cs="Times New Roman"/>
                      <w:sz w:val="24"/>
                      <w:szCs w:val="24"/>
                      <w:lang w:val="en-GB"/>
                    </w:rPr>
                    <m:t>PD</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-50</m:t>
                  </m:r>
                </m:sup>
              </m:sSup>
            </m:den>
          </m:f>
          <m:r>
            <w:rPr>
              <w:rFonts w:ascii="Cambria Math" w:eastAsiaTheme="minorEastAsia" w:hAnsi="Cambria Math" w:cs="Times New Roman"/>
              <w:sz w:val="24"/>
              <w:szCs w:val="24"/>
              <w:lang w:val="en-GB"/>
            </w:rPr>
            <m:t>+0.24∙(1-</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-50·PD</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-50</m:t>
                  </m:r>
                </m:sup>
              </m:sSup>
            </m:den>
          </m:f>
          <m:r>
            <w:rPr>
              <w:rFonts w:ascii="Cambria Math" w:eastAsiaTheme="minorEastAsia" w:hAnsi="Cambria Math" w:cs="Times New Roman"/>
              <w:sz w:val="24"/>
              <w:szCs w:val="24"/>
              <w:lang w:val="en-GB"/>
            </w:rPr>
            <m:t>)</m:t>
          </m:r>
        </m:oMath>
      </m:oMathPara>
    </w:p>
    <w:p w14:paraId="6C3C8214" w14:textId="77777777" w:rsidR="00EB0050" w:rsidRPr="00305E0F" w:rsidRDefault="00EB0050">
      <w:pPr>
        <w:pStyle w:val="ListParagraph"/>
        <w:shd w:val="clear" w:color="auto" w:fill="FFFFFF"/>
        <w:tabs>
          <w:tab w:val="left" w:pos="0"/>
          <w:tab w:val="left" w:pos="567"/>
        </w:tabs>
        <w:spacing w:before="60" w:after="0" w:line="240" w:lineRule="auto"/>
        <w:ind w:left="0"/>
        <w:jc w:val="both"/>
        <w:rPr>
          <w:rFonts w:ascii="Times New Roman" w:hAnsi="Times New Roman" w:cs="Times New Roman"/>
          <w:sz w:val="24"/>
          <w:szCs w:val="24"/>
          <w:lang w:val="en-GB"/>
        </w:rPr>
      </w:pPr>
    </w:p>
    <w:p w14:paraId="68BE5B78" w14:textId="053E498F"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b = the maturity adjustment factor, which is defined as:</w:t>
      </w:r>
    </w:p>
    <w:p w14:paraId="69565BAB" w14:textId="7733036F" w:rsidR="00EB0050" w:rsidRPr="00305E0F" w:rsidRDefault="00B02122">
      <w:pPr>
        <w:pStyle w:val="P68B1DB1-ListParagraph8"/>
        <w:spacing w:line="360" w:lineRule="auto"/>
        <w:ind w:left="1077"/>
        <w:jc w:val="both"/>
        <w:rPr>
          <w:rFonts w:eastAsiaTheme="minorEastAsia"/>
          <w:color w:val="auto"/>
          <w:lang w:val="en-GB"/>
        </w:rPr>
      </w:pPr>
      <w:r w:rsidRPr="00305E0F">
        <w:rPr>
          <w:color w:val="auto"/>
          <w:lang w:val="en-GB"/>
        </w:rPr>
        <w:t xml:space="preserve"> </w:t>
      </w:r>
      <m:oMath>
        <m:r>
          <w:rPr>
            <w:rFonts w:ascii="Cambria Math" w:eastAsiaTheme="minorEastAsia" w:hAnsi="Cambria Math"/>
            <w:color w:val="auto"/>
            <w:lang w:val="en-GB"/>
          </w:rPr>
          <m:t>b=</m:t>
        </m:r>
        <m:sSup>
          <m:sSupPr>
            <m:ctrlPr>
              <w:rPr>
                <w:rFonts w:ascii="Cambria Math" w:eastAsiaTheme="minorEastAsia" w:hAnsi="Cambria Math"/>
                <w:i/>
                <w:color w:val="auto"/>
                <w:lang w:val="en-GB"/>
              </w:rPr>
            </m:ctrlPr>
          </m:sSupPr>
          <m:e>
            <m:r>
              <w:rPr>
                <w:rFonts w:ascii="Cambria Math" w:eastAsiaTheme="minorEastAsia" w:hAnsi="Cambria Math"/>
                <w:color w:val="auto"/>
                <w:lang w:val="en-GB"/>
              </w:rPr>
              <m:t>(0.11852-0.05478·</m:t>
            </m:r>
            <m:func>
              <m:funcPr>
                <m:ctrlPr>
                  <w:rPr>
                    <w:rFonts w:ascii="Cambria Math" w:eastAsiaTheme="minorEastAsia" w:hAnsi="Cambria Math"/>
                    <w:color w:val="auto"/>
                    <w:lang w:val="en-GB"/>
                  </w:rPr>
                </m:ctrlPr>
              </m:funcPr>
              <m:fName>
                <m:r>
                  <m:rPr>
                    <m:sty m:val="p"/>
                  </m:rPr>
                  <w:rPr>
                    <w:rFonts w:ascii="Cambria Math" w:eastAsiaTheme="minorEastAsia" w:hAnsi="Cambria Math"/>
                    <w:color w:val="auto"/>
                    <w:lang w:val="en-GB"/>
                  </w:rPr>
                  <m:t>ln</m:t>
                </m:r>
                <m:ctrlPr>
                  <w:rPr>
                    <w:rFonts w:ascii="Cambria Math" w:eastAsiaTheme="minorEastAsia" w:hAnsi="Cambria Math"/>
                    <w:i/>
                    <w:color w:val="auto"/>
                    <w:lang w:val="en-GB"/>
                  </w:rPr>
                </m:ctrlPr>
              </m:fName>
              <m:e>
                <m:d>
                  <m:dPr>
                    <m:ctrlPr>
                      <w:rPr>
                        <w:rFonts w:ascii="Cambria Math" w:eastAsiaTheme="minorEastAsia" w:hAnsi="Cambria Math"/>
                        <w:i/>
                        <w:color w:val="auto"/>
                        <w:lang w:val="en-GB"/>
                      </w:rPr>
                    </m:ctrlPr>
                  </m:dPr>
                  <m:e>
                    <m:r>
                      <w:rPr>
                        <w:rFonts w:ascii="Cambria Math" w:eastAsiaTheme="minorEastAsia" w:hAnsi="Cambria Math"/>
                        <w:color w:val="auto"/>
                        <w:lang w:val="en-GB"/>
                      </w:rPr>
                      <m:t>PD</m:t>
                    </m:r>
                  </m:e>
                </m:d>
              </m:e>
            </m:func>
            <m:r>
              <w:rPr>
                <w:rFonts w:ascii="Cambria Math" w:eastAsiaTheme="minorEastAsia" w:hAnsi="Cambria Math"/>
                <w:color w:val="auto"/>
                <w:lang w:val="en-GB"/>
              </w:rPr>
              <m:t>)</m:t>
            </m:r>
          </m:e>
          <m:sup>
            <m:r>
              <w:rPr>
                <w:rFonts w:ascii="Cambria Math" w:eastAsiaTheme="minorEastAsia" w:hAnsi="Cambria Math"/>
                <w:color w:val="auto"/>
                <w:lang w:val="en-GB"/>
              </w:rPr>
              <m:t>2</m:t>
            </m:r>
          </m:sup>
        </m:sSup>
      </m:oMath>
    </w:p>
    <w:p w14:paraId="409732BC" w14:textId="3BA2B963" w:rsidR="00EB0050" w:rsidRPr="00305E0F" w:rsidRDefault="00B02122">
      <w:pPr>
        <w:pStyle w:val="P68B1DB1-ListParagraph11"/>
        <w:shd w:val="clear" w:color="auto" w:fill="FFFFFF"/>
        <w:tabs>
          <w:tab w:val="left" w:pos="0"/>
          <w:tab w:val="left" w:pos="567"/>
        </w:tabs>
        <w:spacing w:before="60" w:after="0" w:line="240" w:lineRule="auto"/>
        <w:ind w:left="0"/>
        <w:jc w:val="both"/>
        <w:rPr>
          <w:color w:val="auto"/>
          <w:sz w:val="24"/>
          <w:szCs w:val="24"/>
          <w:lang w:val="en-GB"/>
        </w:rPr>
      </w:pPr>
      <w:r w:rsidRPr="00305E0F">
        <w:rPr>
          <w:color w:val="auto"/>
          <w:sz w:val="24"/>
          <w:szCs w:val="24"/>
          <w:lang w:val="en-GB"/>
        </w:rPr>
        <w:t>M =</w:t>
      </w:r>
      <w:r w:rsidR="00E86C01" w:rsidRPr="00305E0F">
        <w:rPr>
          <w:color w:val="auto"/>
          <w:sz w:val="24"/>
          <w:szCs w:val="24"/>
          <w:lang w:val="en-GB"/>
        </w:rPr>
        <w:t xml:space="preserve"> the</w:t>
      </w:r>
      <w:r w:rsidRPr="00305E0F">
        <w:rPr>
          <w:color w:val="auto"/>
          <w:sz w:val="24"/>
          <w:szCs w:val="24"/>
          <w:lang w:val="en-GB"/>
        </w:rPr>
        <w:t xml:space="preserve"> maturity, expressed in years and determined in accordance with paragraphs </w:t>
      </w:r>
      <w:r w:rsidRPr="00305E0F">
        <w:rPr>
          <w:color w:val="auto"/>
          <w:sz w:val="24"/>
          <w:szCs w:val="24"/>
          <w:lang w:val="en-GB"/>
        </w:rPr>
        <w:fldChar w:fldCharType="begin"/>
      </w:r>
      <w:r w:rsidRPr="00305E0F">
        <w:rPr>
          <w:color w:val="auto"/>
          <w:sz w:val="24"/>
          <w:szCs w:val="24"/>
          <w:lang w:val="en-GB"/>
        </w:rPr>
        <w:instrText xml:space="preserve"> REF _Ref215228830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123</w:t>
      </w:r>
      <w:r w:rsidRPr="00305E0F">
        <w:rPr>
          <w:color w:val="auto"/>
          <w:sz w:val="24"/>
          <w:szCs w:val="24"/>
          <w:lang w:val="en-GB"/>
        </w:rPr>
        <w:fldChar w:fldCharType="end"/>
      </w:r>
      <w:r w:rsidR="00E86C01" w:rsidRPr="00305E0F">
        <w:rPr>
          <w:color w:val="auto"/>
          <w:sz w:val="24"/>
          <w:szCs w:val="24"/>
          <w:lang w:val="en-GB"/>
        </w:rPr>
        <w:t>-</w:t>
      </w:r>
      <w:r w:rsidRPr="00305E0F">
        <w:rPr>
          <w:color w:val="auto"/>
          <w:sz w:val="24"/>
          <w:szCs w:val="24"/>
          <w:lang w:val="en-GB"/>
        </w:rPr>
        <w:fldChar w:fldCharType="begin"/>
      </w:r>
      <w:r w:rsidRPr="00305E0F">
        <w:rPr>
          <w:color w:val="auto"/>
          <w:sz w:val="24"/>
          <w:szCs w:val="24"/>
          <w:lang w:val="en-GB"/>
        </w:rPr>
        <w:instrText xml:space="preserve"> REF _Ref215505694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129</w:t>
      </w:r>
      <w:r w:rsidRPr="00305E0F">
        <w:rPr>
          <w:color w:val="auto"/>
          <w:sz w:val="24"/>
          <w:szCs w:val="24"/>
          <w:lang w:val="en-GB"/>
        </w:rPr>
        <w:fldChar w:fldCharType="end"/>
      </w:r>
      <w:r w:rsidRPr="00305E0F">
        <w:rPr>
          <w:color w:val="auto"/>
          <w:sz w:val="24"/>
          <w:szCs w:val="24"/>
          <w:lang w:val="en-GB"/>
        </w:rPr>
        <w:t>.</w:t>
      </w:r>
      <w:r w:rsidRPr="00305E0F">
        <w:rPr>
          <w:color w:val="auto"/>
          <w:sz w:val="18"/>
          <w:szCs w:val="18"/>
          <w:highlight w:val="lightGray"/>
          <w:lang w:val="en-GB"/>
        </w:rPr>
        <w:t xml:space="preserve"> </w:t>
      </w:r>
    </w:p>
    <w:p w14:paraId="72E47CF6" w14:textId="709E2516"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75" w:name="_Ref222834949"/>
      <w:r w:rsidRPr="00305E0F">
        <w:rPr>
          <w:color w:val="auto"/>
          <w:lang w:val="en-GB"/>
        </w:rPr>
        <w:t xml:space="preserve">For exposures to large regulated financial sector entities and unregulated financial sector entities, the coefficient of correlation R referred to in </w:t>
      </w:r>
      <w:r w:rsidR="00D81A3D"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_Ref215047688 \r \h </w:instrText>
      </w:r>
      <w:r w:rsidR="00C17DCC" w:rsidRPr="00305E0F">
        <w:rPr>
          <w:color w:val="auto"/>
          <w:lang w:val="en-GB"/>
        </w:rPr>
        <w:instrText xml:space="preserve"> \* MERGEFORMAT </w:instrText>
      </w:r>
      <w:r w:rsidRPr="00305E0F">
        <w:rPr>
          <w:color w:val="auto"/>
          <w:lang w:val="en-GB"/>
        </w:rPr>
      </w:r>
      <w:r w:rsidRPr="00305E0F">
        <w:rPr>
          <w:color w:val="auto"/>
          <w:lang w:val="en-GB"/>
        </w:rPr>
        <w:fldChar w:fldCharType="separate"/>
      </w:r>
      <w:r w:rsidR="00594C05" w:rsidRPr="00305E0F">
        <w:rPr>
          <w:color w:val="auto"/>
          <w:lang w:val="en-GB"/>
        </w:rPr>
        <w:t>71</w:t>
      </w:r>
      <w:r w:rsidRPr="00305E0F">
        <w:rPr>
          <w:color w:val="auto"/>
          <w:lang w:val="en-GB"/>
        </w:rPr>
        <w:fldChar w:fldCharType="end"/>
      </w:r>
      <w:r w:rsidR="00D81A3D" w:rsidRPr="00305E0F">
        <w:rPr>
          <w:color w:val="auto"/>
          <w:lang w:val="en-GB"/>
        </w:rPr>
        <w:t xml:space="preserve"> sub-paragraph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_Ref215047700 \r \h </w:instrText>
      </w:r>
      <w:r w:rsidR="00C17DCC" w:rsidRPr="00305E0F">
        <w:rPr>
          <w:color w:val="auto"/>
          <w:lang w:val="en-GB"/>
        </w:rPr>
        <w:instrText xml:space="preserve"> \* MERGEFORMAT </w:instrText>
      </w:r>
      <w:r w:rsidRPr="00305E0F">
        <w:rPr>
          <w:color w:val="auto"/>
          <w:lang w:val="en-GB"/>
        </w:rPr>
      </w:r>
      <w:r w:rsidRPr="00305E0F">
        <w:rPr>
          <w:color w:val="auto"/>
          <w:lang w:val="en-GB"/>
        </w:rPr>
        <w:fldChar w:fldCharType="separate"/>
      </w:r>
      <w:r w:rsidR="00594C05" w:rsidRPr="00305E0F">
        <w:rPr>
          <w:color w:val="auto"/>
          <w:lang w:val="en-GB"/>
        </w:rPr>
        <w:t>71.3</w:t>
      </w:r>
      <w:r w:rsidRPr="00305E0F">
        <w:rPr>
          <w:color w:val="auto"/>
          <w:lang w:val="en-GB"/>
        </w:rPr>
        <w:fldChar w:fldCharType="end"/>
      </w:r>
      <w:r w:rsidRPr="00305E0F">
        <w:rPr>
          <w:color w:val="auto"/>
          <w:lang w:val="en-GB"/>
        </w:rPr>
        <w:t xml:space="preserve"> or, where applicable, in </w:t>
      </w:r>
      <w:r w:rsidR="00D81A3D"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_Ref215048481 \r \h </w:instrText>
      </w:r>
      <w:r w:rsidR="00C17DCC" w:rsidRPr="00305E0F">
        <w:rPr>
          <w:color w:val="auto"/>
          <w:lang w:val="en-GB"/>
        </w:rPr>
        <w:instrText xml:space="preserve"> \* MERGEFORMAT </w:instrText>
      </w:r>
      <w:r w:rsidRPr="00305E0F">
        <w:rPr>
          <w:color w:val="auto"/>
          <w:lang w:val="en-GB"/>
        </w:rPr>
      </w:r>
      <w:r w:rsidRPr="00305E0F">
        <w:rPr>
          <w:color w:val="auto"/>
          <w:lang w:val="en-GB"/>
        </w:rPr>
        <w:fldChar w:fldCharType="separate"/>
      </w:r>
      <w:r w:rsidR="00594C05" w:rsidRPr="00305E0F">
        <w:rPr>
          <w:color w:val="auto"/>
          <w:lang w:val="en-GB"/>
        </w:rPr>
        <w:t>73</w:t>
      </w:r>
      <w:r w:rsidRPr="00305E0F">
        <w:rPr>
          <w:color w:val="auto"/>
          <w:lang w:val="en-GB"/>
        </w:rPr>
        <w:fldChar w:fldCharType="end"/>
      </w:r>
      <w:r w:rsidRPr="00305E0F">
        <w:rPr>
          <w:color w:val="auto"/>
          <w:lang w:val="en-GB"/>
        </w:rPr>
        <w:t xml:space="preserve"> shall be multiplied by 1,25 when calculating the risk weights of those exposures.</w:t>
      </w:r>
      <w:bookmarkEnd w:id="75"/>
    </w:p>
    <w:p w14:paraId="02F857B1" w14:textId="3F23ADF3" w:rsidR="00EB0050" w:rsidRPr="00305E0F" w:rsidRDefault="00D81A3D">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76" w:name="_Ref215048481"/>
      <w:r w:rsidRPr="00305E0F">
        <w:rPr>
          <w:color w:val="auto"/>
          <w:lang w:val="en-GB"/>
        </w:rPr>
        <w:t xml:space="preserve">For exposures to companies where the total annual sales for the consolidated group of which the firm is a part is less than than </w:t>
      </w:r>
      <w:bookmarkStart w:id="77" w:name="_Hlk232685417"/>
      <w:r w:rsidRPr="00305E0F">
        <w:rPr>
          <w:color w:val="auto"/>
          <w:lang w:val="en-GB"/>
        </w:rPr>
        <w:t>the equivalent in MDL of EUR 50 million</w:t>
      </w:r>
      <w:bookmarkEnd w:id="77"/>
      <w:r w:rsidRPr="00305E0F">
        <w:rPr>
          <w:color w:val="auto"/>
          <w:lang w:val="en-GB"/>
        </w:rPr>
        <w:t xml:space="preserve">, banks may use the following correlation formula in paragraph </w:t>
      </w:r>
      <w:r w:rsidRPr="00305E0F">
        <w:rPr>
          <w:color w:val="auto"/>
          <w:lang w:val="en-GB"/>
        </w:rPr>
        <w:fldChar w:fldCharType="begin"/>
      </w:r>
      <w:r w:rsidRPr="00305E0F">
        <w:rPr>
          <w:color w:val="auto"/>
          <w:lang w:val="en-GB"/>
        </w:rPr>
        <w:instrText xml:space="preserve"> REF _Ref215047688 \r \h </w:instrText>
      </w:r>
      <w:r w:rsidR="00C17DCC" w:rsidRPr="00305E0F">
        <w:rPr>
          <w:color w:val="auto"/>
          <w:lang w:val="en-GB"/>
        </w:rPr>
        <w:instrText xml:space="preserve"> \* MERGEFORMAT </w:instrText>
      </w:r>
      <w:r w:rsidRPr="00305E0F">
        <w:rPr>
          <w:color w:val="auto"/>
          <w:lang w:val="en-GB"/>
        </w:rPr>
      </w:r>
      <w:r w:rsidRPr="00305E0F">
        <w:rPr>
          <w:color w:val="auto"/>
          <w:lang w:val="en-GB"/>
        </w:rPr>
        <w:fldChar w:fldCharType="separate"/>
      </w:r>
      <w:r w:rsidR="00594C05" w:rsidRPr="00305E0F">
        <w:rPr>
          <w:color w:val="auto"/>
          <w:lang w:val="en-GB"/>
        </w:rPr>
        <w:t>71</w:t>
      </w:r>
      <w:r w:rsidRPr="00305E0F">
        <w:rPr>
          <w:color w:val="auto"/>
          <w:lang w:val="en-GB"/>
        </w:rPr>
        <w:fldChar w:fldCharType="end"/>
      </w:r>
      <w:r w:rsidRPr="00305E0F">
        <w:rPr>
          <w:color w:val="auto"/>
          <w:lang w:val="en-GB"/>
        </w:rPr>
        <w:t xml:space="preserve"> sub-paragraph </w:t>
      </w:r>
      <w:r w:rsidRPr="00305E0F">
        <w:rPr>
          <w:color w:val="auto"/>
          <w:lang w:val="en-GB"/>
        </w:rPr>
        <w:fldChar w:fldCharType="begin"/>
      </w:r>
      <w:r w:rsidRPr="00305E0F">
        <w:rPr>
          <w:color w:val="auto"/>
          <w:lang w:val="en-GB"/>
        </w:rPr>
        <w:instrText xml:space="preserve"> REF _Ref215047700 \r \h </w:instrText>
      </w:r>
      <w:r w:rsidR="00C17DCC" w:rsidRPr="00305E0F">
        <w:rPr>
          <w:color w:val="auto"/>
          <w:lang w:val="en-GB"/>
        </w:rPr>
        <w:instrText xml:space="preserve"> \* MERGEFORMAT </w:instrText>
      </w:r>
      <w:r w:rsidRPr="00305E0F">
        <w:rPr>
          <w:color w:val="auto"/>
          <w:lang w:val="en-GB"/>
        </w:rPr>
      </w:r>
      <w:r w:rsidRPr="00305E0F">
        <w:rPr>
          <w:color w:val="auto"/>
          <w:lang w:val="en-GB"/>
        </w:rPr>
        <w:fldChar w:fldCharType="separate"/>
      </w:r>
      <w:r w:rsidR="00594C05" w:rsidRPr="00305E0F">
        <w:rPr>
          <w:color w:val="auto"/>
          <w:lang w:val="en-GB"/>
        </w:rPr>
        <w:t>71.3</w:t>
      </w:r>
      <w:r w:rsidRPr="00305E0F">
        <w:rPr>
          <w:color w:val="auto"/>
          <w:lang w:val="en-GB"/>
        </w:rPr>
        <w:fldChar w:fldCharType="end"/>
      </w:r>
      <w:r w:rsidRPr="00305E0F">
        <w:rPr>
          <w:color w:val="auto"/>
          <w:lang w:val="en-GB"/>
        </w:rPr>
        <w:t xml:space="preserve"> for the calculation of risk weights for corporate exposures. In this formula S is expressed as total annual sales in millions of euro with EUR 5 million ≤ S ≤ EUR 50 million. Reported sales of less than EUR 5 million shall be treated as if they were equivalent to EUR 5 million. For purchased receivables the total annual sales shall be the weighted average by individual exposures of the pool.</w:t>
      </w:r>
      <w:bookmarkEnd w:id="76"/>
      <w:r w:rsidRPr="00305E0F">
        <w:rPr>
          <w:color w:val="auto"/>
          <w:lang w:val="en-GB"/>
        </w:rPr>
        <w:t xml:space="preserve"> </w:t>
      </w:r>
    </w:p>
    <w:p w14:paraId="5BC3F3C8" w14:textId="2EBBD57E" w:rsidR="00EB0050" w:rsidRPr="00305E0F" w:rsidRDefault="00B02122">
      <w:pPr>
        <w:pStyle w:val="P68B1DB1-ListParagraph19"/>
        <w:spacing w:line="360" w:lineRule="auto"/>
        <w:ind w:left="0"/>
        <w:jc w:val="center"/>
        <w:rPr>
          <w:lang w:val="en-GB"/>
        </w:rPr>
      </w:pPr>
      <m:oMath>
        <m:r>
          <w:rPr>
            <w:rFonts w:ascii="Cambria Math" w:hAnsi="Cambria Math"/>
            <w:lang w:val="en-GB"/>
          </w:rPr>
          <m:t>R=0.12·</m:t>
        </m:r>
        <m:f>
          <m:fPr>
            <m:ctrlPr>
              <w:rPr>
                <w:rFonts w:ascii="Cambria Math" w:hAnsi="Cambria Math"/>
                <w:i/>
                <w:lang w:val="en-GB"/>
              </w:rPr>
            </m:ctrlPr>
          </m:fPr>
          <m:num>
            <m:r>
              <w:rPr>
                <w:rFonts w:ascii="Cambria Math" w:hAnsi="Cambria Math"/>
                <w:lang w:val="en-GB"/>
              </w:rPr>
              <m:t>1-</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-50∙PD</m:t>
                </m:r>
              </m:sup>
            </m:sSup>
          </m:num>
          <m:den>
            <m:r>
              <w:rPr>
                <w:rFonts w:ascii="Cambria Math" w:hAnsi="Cambria Math"/>
                <w:lang w:val="en-GB"/>
              </w:rPr>
              <m:t>1-</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-50</m:t>
                </m:r>
              </m:sup>
            </m:sSup>
          </m:den>
        </m:f>
        <m:r>
          <w:rPr>
            <w:rFonts w:ascii="Cambria Math" w:hAnsi="Cambria Math"/>
            <w:lang w:val="en-GB"/>
          </w:rPr>
          <m:t>+0.24∙</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-50</m:t>
                    </m:r>
                    <m:r>
                      <w:rPr>
                        <w:rFonts w:ascii="Cambria Math" w:hAnsi="Cambria Math" w:cs="Calibri"/>
                        <w:rtl/>
                        <w:lang w:val="en-GB"/>
                      </w:rPr>
                      <m:t>٠</m:t>
                    </m:r>
                    <m:r>
                      <w:rPr>
                        <w:rFonts w:ascii="Cambria Math" w:hAnsi="Cambria Math"/>
                        <w:lang w:val="en-GB"/>
                      </w:rPr>
                      <m:t>PD</m:t>
                    </m:r>
                  </m:sup>
                </m:sSup>
              </m:num>
              <m:den>
                <m:r>
                  <w:rPr>
                    <w:rFonts w:ascii="Cambria Math" w:hAnsi="Cambria Math"/>
                    <w:lang w:val="en-GB"/>
                  </w:rPr>
                  <m:t>1-</m:t>
                </m:r>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-50</m:t>
                    </m:r>
                  </m:sup>
                </m:sSup>
              </m:den>
            </m:f>
          </m:e>
        </m:d>
        <m:r>
          <w:rPr>
            <w:rFonts w:ascii="Cambria Math" w:hAnsi="Cambria Math"/>
            <w:lang w:val="en-GB"/>
          </w:rPr>
          <m:t>-0.04·(1-</m:t>
        </m:r>
        <m:f>
          <m:fPr>
            <m:ctrlPr>
              <w:rPr>
                <w:rFonts w:ascii="Cambria Math" w:hAnsi="Cambria Math"/>
                <w:i/>
                <w:lang w:val="en-GB"/>
              </w:rPr>
            </m:ctrlPr>
          </m:fPr>
          <m:num>
            <m:func>
              <m:funcPr>
                <m:ctrlPr>
                  <w:rPr>
                    <w:rFonts w:ascii="Cambria Math" w:hAnsi="Cambria Math"/>
                    <w:lang w:val="en-GB"/>
                  </w:rPr>
                </m:ctrlPr>
              </m:funcPr>
              <m:fName>
                <m:r>
                  <m:rPr>
                    <m:sty m:val="p"/>
                  </m:rPr>
                  <w:rPr>
                    <w:rFonts w:ascii="Cambria Math" w:hAnsi="Cambria Math"/>
                    <w:lang w:val="en-GB"/>
                  </w:rPr>
                  <m:t>min</m:t>
                </m:r>
              </m:fName>
              <m:e>
                <m:d>
                  <m:dPr>
                    <m:begChr m:val="{"/>
                    <m:endChr m:val="}"/>
                    <m:ctrlPr>
                      <w:rPr>
                        <w:rFonts w:ascii="Cambria Math" w:hAnsi="Cambria Math"/>
                        <w:i/>
                        <w:lang w:val="en-GB"/>
                      </w:rPr>
                    </m:ctrlPr>
                  </m:dPr>
                  <m:e>
                    <m:func>
                      <m:funcPr>
                        <m:ctrlPr>
                          <w:rPr>
                            <w:rFonts w:ascii="Cambria Math" w:hAnsi="Cambria Math"/>
                            <w:lang w:val="en-GB"/>
                          </w:rPr>
                        </m:ctrlPr>
                      </m:funcPr>
                      <m:fName>
                        <m:r>
                          <m:rPr>
                            <m:sty m:val="p"/>
                          </m:rPr>
                          <w:rPr>
                            <w:rFonts w:ascii="Cambria Math" w:hAnsi="Cambria Math"/>
                            <w:lang w:val="en-GB"/>
                          </w:rPr>
                          <m:t>max</m:t>
                        </m:r>
                        <m:ctrlPr>
                          <w:rPr>
                            <w:rFonts w:ascii="Cambria Math" w:hAnsi="Cambria Math"/>
                            <w:i/>
                            <w:lang w:val="en-GB"/>
                          </w:rPr>
                        </m:ctrlPr>
                      </m:fName>
                      <m:e>
                        <m:d>
                          <m:dPr>
                            <m:begChr m:val="{"/>
                            <m:endChr m:val="}"/>
                            <m:ctrlPr>
                              <w:rPr>
                                <w:rFonts w:ascii="Cambria Math" w:hAnsi="Cambria Math"/>
                                <w:i/>
                                <w:lang w:val="en-GB"/>
                              </w:rPr>
                            </m:ctrlPr>
                          </m:dPr>
                          <m:e>
                            <m:r>
                              <w:rPr>
                                <w:rFonts w:ascii="Cambria Math" w:hAnsi="Cambria Math"/>
                                <w:lang w:val="en-GB"/>
                              </w:rPr>
                              <m:t>5,S</m:t>
                            </m:r>
                          </m:e>
                        </m:d>
                      </m:e>
                    </m:func>
                    <m:r>
                      <w:rPr>
                        <w:rFonts w:ascii="Cambria Math" w:hAnsi="Cambria Math"/>
                        <w:lang w:val="en-GB"/>
                      </w:rPr>
                      <m:t>,50</m:t>
                    </m:r>
                  </m:e>
                </m:d>
              </m:e>
            </m:func>
            <m:r>
              <w:rPr>
                <w:rFonts w:ascii="Cambria Math" w:hAnsi="Cambria Math"/>
                <w:lang w:val="en-GB"/>
              </w:rPr>
              <m:t>-5</m:t>
            </m:r>
          </m:num>
          <m:den>
            <m:r>
              <w:rPr>
                <w:rFonts w:ascii="Cambria Math" w:hAnsi="Cambria Math"/>
                <w:lang w:val="en-GB"/>
              </w:rPr>
              <m:t>45</m:t>
            </m:r>
          </m:den>
        </m:f>
      </m:oMath>
      <w:r w:rsidRPr="00305E0F">
        <w:rPr>
          <w:lang w:val="en-GB"/>
        </w:rPr>
        <w:t>).</w:t>
      </w:r>
    </w:p>
    <w:p w14:paraId="3AAA00EB" w14:textId="1AF3BCE6"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r w:rsidRPr="00305E0F">
        <w:rPr>
          <w:color w:val="auto"/>
          <w:sz w:val="24"/>
          <w:szCs w:val="24"/>
          <w:lang w:val="en-GB"/>
        </w:rPr>
        <w:t xml:space="preserve">Banks </w:t>
      </w:r>
      <w:r w:rsidR="00D81A3D" w:rsidRPr="00305E0F">
        <w:rPr>
          <w:color w:val="auto"/>
          <w:sz w:val="24"/>
          <w:szCs w:val="24"/>
          <w:lang w:val="en-GB"/>
        </w:rPr>
        <w:t>shall substitute total assets of the consolidated group for total annual sales when total annual sales are not a meaningful indicator of firm size and total assets are a more meaningful indicator than total annual sales</w:t>
      </w:r>
      <w:r w:rsidRPr="00305E0F">
        <w:rPr>
          <w:color w:val="auto"/>
          <w:sz w:val="24"/>
          <w:szCs w:val="24"/>
          <w:lang w:val="en-GB"/>
        </w:rPr>
        <w:t>.</w:t>
      </w:r>
      <w:r w:rsidRPr="00305E0F">
        <w:rPr>
          <w:color w:val="auto"/>
          <w:sz w:val="18"/>
          <w:szCs w:val="18"/>
          <w:highlight w:val="lightGray"/>
          <w:lang w:val="en-GB"/>
        </w:rPr>
        <w:t xml:space="preserve"> </w:t>
      </w:r>
    </w:p>
    <w:p w14:paraId="2E26A654" w14:textId="4E5852E8"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 </w:t>
      </w:r>
      <w:bookmarkStart w:id="78" w:name="_Ref215086557"/>
      <w:r w:rsidRPr="00305E0F">
        <w:rPr>
          <w:color w:val="auto"/>
          <w:lang w:val="en-GB"/>
        </w:rPr>
        <w:t xml:space="preserve">For specialised lending exposures for which a bank </w:t>
      </w:r>
      <w:r w:rsidR="00D81A3D" w:rsidRPr="00305E0F">
        <w:rPr>
          <w:color w:val="auto"/>
          <w:lang w:val="en-GB"/>
        </w:rPr>
        <w:t>is not able to</w:t>
      </w:r>
      <w:r w:rsidRPr="00305E0F">
        <w:rPr>
          <w:color w:val="auto"/>
          <w:lang w:val="en-GB"/>
        </w:rPr>
        <w:t xml:space="preserve"> estimate PD or the bank’s PD estimates do not meet the requirements set out in Chapter VI, the bank shall assign risk weights </w:t>
      </w:r>
      <w:r w:rsidR="00A5030F" w:rsidRPr="00305E0F">
        <w:rPr>
          <w:color w:val="auto"/>
          <w:lang w:val="en-GB"/>
        </w:rPr>
        <w:t xml:space="preserve">to these exposures </w:t>
      </w:r>
      <w:r w:rsidRPr="00305E0F">
        <w:rPr>
          <w:color w:val="auto"/>
          <w:lang w:val="en-GB"/>
        </w:rPr>
        <w:t>in accordance with Table 1</w:t>
      </w:r>
      <w:r w:rsidR="00A5030F" w:rsidRPr="00305E0F">
        <w:rPr>
          <w:color w:val="auto"/>
          <w:lang w:val="en-GB"/>
        </w:rPr>
        <w:t>,</w:t>
      </w:r>
      <w:r w:rsidRPr="00305E0F">
        <w:rPr>
          <w:color w:val="auto"/>
          <w:lang w:val="en-GB"/>
        </w:rPr>
        <w:t xml:space="preserve"> as follows:</w:t>
      </w:r>
      <w:bookmarkEnd w:id="78"/>
    </w:p>
    <w:p w14:paraId="3A0AFE63" w14:textId="6FE31744" w:rsidR="00EB0050" w:rsidRPr="00305E0F" w:rsidRDefault="00B02122">
      <w:pPr>
        <w:pStyle w:val="P68B1DB1-ListParagraph20"/>
        <w:spacing w:line="360" w:lineRule="auto"/>
        <w:ind w:left="357"/>
        <w:jc w:val="right"/>
        <w:rPr>
          <w:iCs/>
          <w:lang w:val="en-GB"/>
        </w:rPr>
      </w:pPr>
      <w:r w:rsidRPr="00305E0F">
        <w:rPr>
          <w:lang w:val="en-GB"/>
        </w:rPr>
        <w:t>Table 1</w:t>
      </w:r>
    </w:p>
    <w:tbl>
      <w:tblPr>
        <w:tblStyle w:val="TableGrid"/>
        <w:tblW w:w="0" w:type="auto"/>
        <w:jc w:val="center"/>
        <w:tblLook w:val="04A0" w:firstRow="1" w:lastRow="0" w:firstColumn="1" w:lastColumn="0" w:noHBand="0" w:noVBand="1"/>
      </w:tblPr>
      <w:tblGrid>
        <w:gridCol w:w="2122"/>
        <w:gridCol w:w="1417"/>
        <w:gridCol w:w="1418"/>
        <w:gridCol w:w="1399"/>
        <w:gridCol w:w="1494"/>
        <w:gridCol w:w="1494"/>
      </w:tblGrid>
      <w:tr w:rsidR="00305E0F" w:rsidRPr="00305E0F" w14:paraId="128BD058" w14:textId="77777777">
        <w:trPr>
          <w:jc w:val="center"/>
        </w:trPr>
        <w:tc>
          <w:tcPr>
            <w:tcW w:w="2122" w:type="dxa"/>
            <w:vAlign w:val="center"/>
          </w:tcPr>
          <w:p w14:paraId="52CDE9AA" w14:textId="74A2A8B0" w:rsidR="00EB0050" w:rsidRPr="00305E0F" w:rsidRDefault="00B02122">
            <w:pPr>
              <w:pStyle w:val="P68B1DB1-ListParagraph21"/>
              <w:spacing w:line="360" w:lineRule="auto"/>
              <w:ind w:left="0"/>
              <w:jc w:val="both"/>
              <w:rPr>
                <w:bCs/>
                <w:lang w:val="en-GB"/>
              </w:rPr>
            </w:pPr>
            <w:r w:rsidRPr="00305E0F">
              <w:rPr>
                <w:lang w:val="en-GB"/>
              </w:rPr>
              <w:t xml:space="preserve">Remaining </w:t>
            </w:r>
            <w:r w:rsidR="00A5030F" w:rsidRPr="00305E0F">
              <w:rPr>
                <w:lang w:val="en-GB"/>
              </w:rPr>
              <w:t>M</w:t>
            </w:r>
            <w:r w:rsidRPr="00305E0F">
              <w:rPr>
                <w:lang w:val="en-GB"/>
              </w:rPr>
              <w:t>aturity</w:t>
            </w:r>
          </w:p>
        </w:tc>
        <w:tc>
          <w:tcPr>
            <w:tcW w:w="1417" w:type="dxa"/>
            <w:vAlign w:val="center"/>
          </w:tcPr>
          <w:p w14:paraId="408A0675" w14:textId="77777777" w:rsidR="00EB0050" w:rsidRPr="00305E0F" w:rsidRDefault="00B02122">
            <w:pPr>
              <w:pStyle w:val="P68B1DB1-ListParagraph21"/>
              <w:spacing w:line="360" w:lineRule="auto"/>
              <w:ind w:left="0"/>
              <w:contextualSpacing w:val="0"/>
              <w:jc w:val="both"/>
              <w:rPr>
                <w:bCs/>
                <w:lang w:val="en-GB"/>
              </w:rPr>
            </w:pPr>
            <w:r w:rsidRPr="00305E0F">
              <w:rPr>
                <w:lang w:val="en-GB"/>
              </w:rPr>
              <w:t>Category 1</w:t>
            </w:r>
          </w:p>
        </w:tc>
        <w:tc>
          <w:tcPr>
            <w:tcW w:w="1418" w:type="dxa"/>
            <w:vAlign w:val="center"/>
          </w:tcPr>
          <w:p w14:paraId="0A269F55" w14:textId="77777777" w:rsidR="00EB0050" w:rsidRPr="00305E0F" w:rsidRDefault="00B02122">
            <w:pPr>
              <w:pStyle w:val="P68B1DB1-ListParagraph21"/>
              <w:spacing w:line="360" w:lineRule="auto"/>
              <w:ind w:left="0"/>
              <w:contextualSpacing w:val="0"/>
              <w:jc w:val="both"/>
              <w:rPr>
                <w:bCs/>
                <w:lang w:val="en-GB"/>
              </w:rPr>
            </w:pPr>
            <w:r w:rsidRPr="00305E0F">
              <w:rPr>
                <w:lang w:val="en-GB"/>
              </w:rPr>
              <w:t>Category 2</w:t>
            </w:r>
          </w:p>
        </w:tc>
        <w:tc>
          <w:tcPr>
            <w:tcW w:w="1399" w:type="dxa"/>
            <w:vAlign w:val="center"/>
          </w:tcPr>
          <w:p w14:paraId="06BB37C7" w14:textId="77777777" w:rsidR="00EB0050" w:rsidRPr="00305E0F" w:rsidRDefault="00B02122">
            <w:pPr>
              <w:pStyle w:val="P68B1DB1-ListParagraph21"/>
              <w:spacing w:line="360" w:lineRule="auto"/>
              <w:ind w:left="0"/>
              <w:contextualSpacing w:val="0"/>
              <w:jc w:val="both"/>
              <w:rPr>
                <w:bCs/>
                <w:lang w:val="en-GB"/>
              </w:rPr>
            </w:pPr>
            <w:r w:rsidRPr="00305E0F">
              <w:rPr>
                <w:lang w:val="en-GB"/>
              </w:rPr>
              <w:t>Category 3</w:t>
            </w:r>
          </w:p>
        </w:tc>
        <w:tc>
          <w:tcPr>
            <w:tcW w:w="1494" w:type="dxa"/>
            <w:vAlign w:val="center"/>
          </w:tcPr>
          <w:p w14:paraId="57579419" w14:textId="77777777" w:rsidR="00EB0050" w:rsidRPr="00305E0F" w:rsidRDefault="00B02122">
            <w:pPr>
              <w:pStyle w:val="P68B1DB1-ListParagraph21"/>
              <w:spacing w:line="360" w:lineRule="auto"/>
              <w:ind w:left="0"/>
              <w:contextualSpacing w:val="0"/>
              <w:jc w:val="both"/>
              <w:rPr>
                <w:bCs/>
                <w:lang w:val="en-GB"/>
              </w:rPr>
            </w:pPr>
            <w:r w:rsidRPr="00305E0F">
              <w:rPr>
                <w:lang w:val="en-GB"/>
              </w:rPr>
              <w:t>Category 4</w:t>
            </w:r>
          </w:p>
        </w:tc>
        <w:tc>
          <w:tcPr>
            <w:tcW w:w="1494" w:type="dxa"/>
            <w:vAlign w:val="center"/>
          </w:tcPr>
          <w:p w14:paraId="55D975DF" w14:textId="77777777" w:rsidR="00EB0050" w:rsidRPr="00305E0F" w:rsidRDefault="00B02122">
            <w:pPr>
              <w:pStyle w:val="P68B1DB1-ListParagraph21"/>
              <w:spacing w:line="360" w:lineRule="auto"/>
              <w:ind w:left="0"/>
              <w:contextualSpacing w:val="0"/>
              <w:jc w:val="both"/>
              <w:rPr>
                <w:bCs/>
                <w:lang w:val="en-GB"/>
              </w:rPr>
            </w:pPr>
            <w:r w:rsidRPr="00305E0F">
              <w:rPr>
                <w:lang w:val="en-GB"/>
              </w:rPr>
              <w:t>Category 5</w:t>
            </w:r>
          </w:p>
        </w:tc>
      </w:tr>
      <w:tr w:rsidR="00305E0F" w:rsidRPr="00305E0F" w14:paraId="534EA96A" w14:textId="77777777">
        <w:trPr>
          <w:jc w:val="center"/>
        </w:trPr>
        <w:tc>
          <w:tcPr>
            <w:tcW w:w="2122" w:type="dxa"/>
            <w:vAlign w:val="center"/>
          </w:tcPr>
          <w:p w14:paraId="18C47BC4" w14:textId="4F8F5F28" w:rsidR="00EB0050" w:rsidRPr="00305E0F" w:rsidRDefault="00B02122">
            <w:pPr>
              <w:pStyle w:val="P68B1DB1-ListParagraph19"/>
              <w:spacing w:line="360" w:lineRule="auto"/>
              <w:ind w:left="0"/>
              <w:jc w:val="both"/>
              <w:rPr>
                <w:lang w:val="en-GB"/>
              </w:rPr>
            </w:pPr>
            <w:r w:rsidRPr="00305E0F">
              <w:rPr>
                <w:lang w:val="en-GB"/>
              </w:rPr>
              <w:t>Less than 2</w:t>
            </w:r>
            <w:r w:rsidR="00A5030F" w:rsidRPr="00305E0F">
              <w:rPr>
                <w:lang w:val="en-GB"/>
              </w:rPr>
              <w:t>,</w:t>
            </w:r>
            <w:r w:rsidRPr="00305E0F">
              <w:rPr>
                <w:lang w:val="en-GB"/>
              </w:rPr>
              <w:t>5 years</w:t>
            </w:r>
          </w:p>
        </w:tc>
        <w:tc>
          <w:tcPr>
            <w:tcW w:w="1417" w:type="dxa"/>
            <w:vAlign w:val="center"/>
          </w:tcPr>
          <w:p w14:paraId="44CCBFBB" w14:textId="46DDA47A" w:rsidR="00EB0050" w:rsidRPr="00305E0F" w:rsidRDefault="00B02122">
            <w:pPr>
              <w:pStyle w:val="P68B1DB1-ListParagraph19"/>
              <w:spacing w:line="360" w:lineRule="auto"/>
              <w:ind w:left="0"/>
              <w:contextualSpacing w:val="0"/>
              <w:jc w:val="center"/>
              <w:rPr>
                <w:lang w:val="en-GB"/>
              </w:rPr>
            </w:pPr>
            <w:r w:rsidRPr="00305E0F">
              <w:rPr>
                <w:lang w:val="en-GB"/>
              </w:rPr>
              <w:t>50 %</w:t>
            </w:r>
          </w:p>
        </w:tc>
        <w:tc>
          <w:tcPr>
            <w:tcW w:w="1418" w:type="dxa"/>
            <w:vAlign w:val="center"/>
          </w:tcPr>
          <w:p w14:paraId="7DE4453E" w14:textId="3FFBBDCD" w:rsidR="00EB0050" w:rsidRPr="00305E0F" w:rsidRDefault="00B02122">
            <w:pPr>
              <w:pStyle w:val="P68B1DB1-ListParagraph19"/>
              <w:spacing w:line="360" w:lineRule="auto"/>
              <w:ind w:left="0"/>
              <w:contextualSpacing w:val="0"/>
              <w:jc w:val="center"/>
              <w:rPr>
                <w:lang w:val="en-GB"/>
              </w:rPr>
            </w:pPr>
            <w:r w:rsidRPr="00305E0F">
              <w:rPr>
                <w:lang w:val="en-GB"/>
              </w:rPr>
              <w:t>70 %</w:t>
            </w:r>
          </w:p>
        </w:tc>
        <w:tc>
          <w:tcPr>
            <w:tcW w:w="1399" w:type="dxa"/>
            <w:vAlign w:val="center"/>
          </w:tcPr>
          <w:p w14:paraId="39415356" w14:textId="37AD4760" w:rsidR="00EB0050" w:rsidRPr="00305E0F" w:rsidRDefault="00B02122">
            <w:pPr>
              <w:pStyle w:val="P68B1DB1-ListParagraph19"/>
              <w:spacing w:line="360" w:lineRule="auto"/>
              <w:ind w:left="0"/>
              <w:contextualSpacing w:val="0"/>
              <w:jc w:val="center"/>
              <w:rPr>
                <w:lang w:val="en-GB"/>
              </w:rPr>
            </w:pPr>
            <w:r w:rsidRPr="00305E0F">
              <w:rPr>
                <w:lang w:val="en-GB"/>
              </w:rPr>
              <w:t>115 %</w:t>
            </w:r>
          </w:p>
        </w:tc>
        <w:tc>
          <w:tcPr>
            <w:tcW w:w="1494" w:type="dxa"/>
            <w:vAlign w:val="center"/>
          </w:tcPr>
          <w:p w14:paraId="1A26CECE" w14:textId="0D9808EB" w:rsidR="00EB0050" w:rsidRPr="00305E0F" w:rsidRDefault="00B02122">
            <w:pPr>
              <w:pStyle w:val="P68B1DB1-ListParagraph19"/>
              <w:spacing w:line="360" w:lineRule="auto"/>
              <w:ind w:left="0"/>
              <w:contextualSpacing w:val="0"/>
              <w:jc w:val="center"/>
              <w:rPr>
                <w:lang w:val="en-GB"/>
              </w:rPr>
            </w:pPr>
            <w:r w:rsidRPr="00305E0F">
              <w:rPr>
                <w:lang w:val="en-GB"/>
              </w:rPr>
              <w:t>250 %</w:t>
            </w:r>
          </w:p>
        </w:tc>
        <w:tc>
          <w:tcPr>
            <w:tcW w:w="1494" w:type="dxa"/>
            <w:vAlign w:val="center"/>
          </w:tcPr>
          <w:p w14:paraId="5DD87007" w14:textId="1C9AC716" w:rsidR="00EB0050" w:rsidRPr="00305E0F" w:rsidRDefault="00B02122">
            <w:pPr>
              <w:pStyle w:val="P68B1DB1-ListParagraph19"/>
              <w:spacing w:line="360" w:lineRule="auto"/>
              <w:ind w:left="0"/>
              <w:contextualSpacing w:val="0"/>
              <w:jc w:val="center"/>
              <w:rPr>
                <w:lang w:val="en-GB"/>
              </w:rPr>
            </w:pPr>
            <w:r w:rsidRPr="00305E0F">
              <w:rPr>
                <w:lang w:val="en-GB"/>
              </w:rPr>
              <w:t>0 %</w:t>
            </w:r>
          </w:p>
        </w:tc>
      </w:tr>
      <w:tr w:rsidR="00305E0F" w:rsidRPr="00305E0F" w14:paraId="4C586AEA" w14:textId="77777777">
        <w:trPr>
          <w:jc w:val="center"/>
        </w:trPr>
        <w:tc>
          <w:tcPr>
            <w:tcW w:w="2122" w:type="dxa"/>
            <w:vAlign w:val="center"/>
          </w:tcPr>
          <w:p w14:paraId="0BC61E6E" w14:textId="2F2173F0" w:rsidR="00EB0050" w:rsidRPr="00305E0F" w:rsidRDefault="00B02122">
            <w:pPr>
              <w:pStyle w:val="P68B1DB1-ListParagraph19"/>
              <w:ind w:left="0"/>
              <w:jc w:val="both"/>
              <w:rPr>
                <w:lang w:val="en-GB"/>
              </w:rPr>
            </w:pPr>
            <w:r w:rsidRPr="00305E0F">
              <w:rPr>
                <w:lang w:val="en-GB"/>
              </w:rPr>
              <w:t xml:space="preserve">Equal or </w:t>
            </w:r>
            <w:r w:rsidR="00A5030F" w:rsidRPr="00305E0F">
              <w:rPr>
                <w:lang w:val="en-GB"/>
              </w:rPr>
              <w:t>more</w:t>
            </w:r>
            <w:r w:rsidRPr="00305E0F">
              <w:rPr>
                <w:lang w:val="en-GB"/>
              </w:rPr>
              <w:t xml:space="preserve"> than 2,5 years</w:t>
            </w:r>
          </w:p>
        </w:tc>
        <w:tc>
          <w:tcPr>
            <w:tcW w:w="1417" w:type="dxa"/>
            <w:vAlign w:val="center"/>
          </w:tcPr>
          <w:p w14:paraId="4A8A0A0C" w14:textId="0D4F7B97" w:rsidR="00EB0050" w:rsidRPr="00305E0F" w:rsidRDefault="00B02122">
            <w:pPr>
              <w:pStyle w:val="P68B1DB1-ListParagraph19"/>
              <w:spacing w:line="360" w:lineRule="auto"/>
              <w:ind w:left="0"/>
              <w:contextualSpacing w:val="0"/>
              <w:jc w:val="center"/>
              <w:rPr>
                <w:lang w:val="en-GB"/>
              </w:rPr>
            </w:pPr>
            <w:r w:rsidRPr="00305E0F">
              <w:rPr>
                <w:lang w:val="en-GB"/>
              </w:rPr>
              <w:t>70 %</w:t>
            </w:r>
          </w:p>
        </w:tc>
        <w:tc>
          <w:tcPr>
            <w:tcW w:w="1418" w:type="dxa"/>
            <w:vAlign w:val="center"/>
          </w:tcPr>
          <w:p w14:paraId="2CB04F05" w14:textId="548BABED" w:rsidR="00EB0050" w:rsidRPr="00305E0F" w:rsidRDefault="00B02122">
            <w:pPr>
              <w:pStyle w:val="P68B1DB1-ListParagraph19"/>
              <w:spacing w:line="360" w:lineRule="auto"/>
              <w:ind w:left="0"/>
              <w:contextualSpacing w:val="0"/>
              <w:jc w:val="center"/>
              <w:rPr>
                <w:lang w:val="en-GB"/>
              </w:rPr>
            </w:pPr>
            <w:r w:rsidRPr="00305E0F">
              <w:rPr>
                <w:lang w:val="en-GB"/>
              </w:rPr>
              <w:t>90 %</w:t>
            </w:r>
          </w:p>
        </w:tc>
        <w:tc>
          <w:tcPr>
            <w:tcW w:w="1399" w:type="dxa"/>
            <w:vAlign w:val="center"/>
          </w:tcPr>
          <w:p w14:paraId="02D4326F" w14:textId="48FAB201" w:rsidR="00EB0050" w:rsidRPr="00305E0F" w:rsidRDefault="00B02122">
            <w:pPr>
              <w:pStyle w:val="P68B1DB1-ListParagraph19"/>
              <w:spacing w:line="360" w:lineRule="auto"/>
              <w:ind w:left="0"/>
              <w:contextualSpacing w:val="0"/>
              <w:jc w:val="center"/>
              <w:rPr>
                <w:lang w:val="en-GB"/>
              </w:rPr>
            </w:pPr>
            <w:r w:rsidRPr="00305E0F">
              <w:rPr>
                <w:lang w:val="en-GB"/>
              </w:rPr>
              <w:t>115 %</w:t>
            </w:r>
          </w:p>
        </w:tc>
        <w:tc>
          <w:tcPr>
            <w:tcW w:w="1494" w:type="dxa"/>
            <w:vAlign w:val="center"/>
          </w:tcPr>
          <w:p w14:paraId="219F87F8" w14:textId="04C65D6C" w:rsidR="00EB0050" w:rsidRPr="00305E0F" w:rsidRDefault="00B02122">
            <w:pPr>
              <w:pStyle w:val="P68B1DB1-ListParagraph19"/>
              <w:spacing w:line="360" w:lineRule="auto"/>
              <w:ind w:left="0"/>
              <w:contextualSpacing w:val="0"/>
              <w:jc w:val="center"/>
              <w:rPr>
                <w:lang w:val="en-GB"/>
              </w:rPr>
            </w:pPr>
            <w:r w:rsidRPr="00305E0F">
              <w:rPr>
                <w:lang w:val="en-GB"/>
              </w:rPr>
              <w:t>250 %</w:t>
            </w:r>
          </w:p>
        </w:tc>
        <w:tc>
          <w:tcPr>
            <w:tcW w:w="1494" w:type="dxa"/>
            <w:vAlign w:val="center"/>
          </w:tcPr>
          <w:p w14:paraId="002FFF0E" w14:textId="78D454CE" w:rsidR="00EB0050" w:rsidRPr="00305E0F" w:rsidRDefault="00B02122">
            <w:pPr>
              <w:pStyle w:val="P68B1DB1-ListParagraph19"/>
              <w:spacing w:line="360" w:lineRule="auto"/>
              <w:ind w:left="0"/>
              <w:contextualSpacing w:val="0"/>
              <w:jc w:val="center"/>
              <w:rPr>
                <w:lang w:val="en-GB"/>
              </w:rPr>
            </w:pPr>
            <w:r w:rsidRPr="00305E0F">
              <w:rPr>
                <w:lang w:val="en-GB"/>
              </w:rPr>
              <w:t>0 %</w:t>
            </w:r>
          </w:p>
        </w:tc>
      </w:tr>
    </w:tbl>
    <w:p w14:paraId="77CCC1E9" w14:textId="666F65BB" w:rsidR="00EB0050" w:rsidRPr="00305E0F" w:rsidRDefault="00A5030F">
      <w:pPr>
        <w:pStyle w:val="P68B1DB1-ListParagraph8"/>
        <w:numPr>
          <w:ilvl w:val="0"/>
          <w:numId w:val="2"/>
        </w:numPr>
        <w:shd w:val="clear" w:color="auto" w:fill="FFFFFF"/>
        <w:tabs>
          <w:tab w:val="left" w:pos="0"/>
          <w:tab w:val="left" w:pos="567"/>
        </w:tabs>
        <w:spacing w:before="120" w:after="0" w:line="240" w:lineRule="auto"/>
        <w:ind w:firstLine="567"/>
        <w:contextualSpacing w:val="0"/>
        <w:jc w:val="both"/>
        <w:rPr>
          <w:color w:val="auto"/>
          <w:lang w:val="en-GB"/>
        </w:rPr>
      </w:pPr>
      <w:bookmarkStart w:id="79" w:name="_Ref215086567"/>
      <w:r w:rsidRPr="00305E0F">
        <w:rPr>
          <w:color w:val="auto"/>
          <w:lang w:val="en-GB"/>
        </w:rPr>
        <w:t xml:space="preserve">In assigning risk weights to specialised lending exposures, banks shall take into account the following factors: financial strength, political and legal framework, transaction and/or asset characteristics, strength of the sponsor and </w:t>
      </w:r>
      <w:r w:rsidR="003B3247" w:rsidRPr="00305E0F">
        <w:rPr>
          <w:color w:val="auto"/>
          <w:lang w:val="en-GB"/>
        </w:rPr>
        <w:t>developer</w:t>
      </w:r>
      <w:r w:rsidRPr="00305E0F">
        <w:rPr>
          <w:color w:val="auto"/>
          <w:lang w:val="en-GB"/>
        </w:rPr>
        <w:t xml:space="preserve">, including </w:t>
      </w:r>
      <w:r w:rsidR="003B3247" w:rsidRPr="00305E0F">
        <w:rPr>
          <w:color w:val="auto"/>
          <w:lang w:val="en-GB"/>
        </w:rPr>
        <w:t>any public private partnership income stream, and security package</w:t>
      </w:r>
      <w:r w:rsidRPr="00305E0F">
        <w:rPr>
          <w:color w:val="auto"/>
          <w:lang w:val="en-GB"/>
        </w:rPr>
        <w:t>, as set out in the Annex to the Regulation.</w:t>
      </w:r>
      <w:bookmarkEnd w:id="79"/>
      <w:r w:rsidR="003B3247" w:rsidRPr="00305E0F">
        <w:rPr>
          <w:color w:val="auto"/>
          <w:lang w:val="en-GB"/>
        </w:rPr>
        <w:t xml:space="preserve"> </w:t>
      </w:r>
    </w:p>
    <w:p w14:paraId="4DF44B39" w14:textId="3BCCB154" w:rsidR="00EB0050" w:rsidRPr="00305E0F" w:rsidRDefault="003B3247">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their purchased corporate receivables, banks shall comply with the requirements set out in paragraphs </w:t>
      </w:r>
      <w:r w:rsidRPr="00305E0F">
        <w:rPr>
          <w:color w:val="auto"/>
          <w:lang w:val="en-GB"/>
        </w:rPr>
        <w:fldChar w:fldCharType="begin"/>
      </w:r>
      <w:r w:rsidRPr="00305E0F">
        <w:rPr>
          <w:color w:val="auto"/>
          <w:lang w:val="en-GB"/>
        </w:rPr>
        <w:instrText xml:space="preserve"> REF _Ref215506927 \r \h </w:instrText>
      </w:r>
      <w:r w:rsidRPr="00305E0F">
        <w:rPr>
          <w:color w:val="auto"/>
          <w:lang w:val="en-GB"/>
        </w:rPr>
      </w:r>
      <w:r w:rsidRPr="00305E0F">
        <w:rPr>
          <w:color w:val="auto"/>
          <w:lang w:val="en-GB"/>
        </w:rPr>
        <w:fldChar w:fldCharType="separate"/>
      </w:r>
      <w:r w:rsidR="00594C05" w:rsidRPr="00305E0F">
        <w:rPr>
          <w:color w:val="auto"/>
          <w:lang w:val="en-GB"/>
        </w:rPr>
        <w:t>231</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_Ref215474208 \r \h </w:instrText>
      </w:r>
      <w:r w:rsidRPr="00305E0F">
        <w:rPr>
          <w:color w:val="auto"/>
          <w:lang w:val="en-GB"/>
        </w:rPr>
      </w:r>
      <w:r w:rsidRPr="00305E0F">
        <w:rPr>
          <w:color w:val="auto"/>
          <w:lang w:val="en-GB"/>
        </w:rPr>
        <w:fldChar w:fldCharType="separate"/>
      </w:r>
      <w:r w:rsidR="00594C05" w:rsidRPr="00305E0F">
        <w:rPr>
          <w:color w:val="auto"/>
          <w:lang w:val="en-GB"/>
        </w:rPr>
        <w:t>236</w:t>
      </w:r>
      <w:r w:rsidRPr="00305E0F">
        <w:rPr>
          <w:color w:val="auto"/>
          <w:lang w:val="en-GB"/>
        </w:rPr>
        <w:fldChar w:fldCharType="end"/>
      </w:r>
      <w:r w:rsidRPr="00305E0F">
        <w:rPr>
          <w:color w:val="auto"/>
          <w:lang w:val="en-GB"/>
        </w:rPr>
        <w:t xml:space="preserve">. For purchased corporate receivables that comply in addition with the conditions set out in paragraph </w:t>
      </w:r>
      <w:r w:rsidRPr="00305E0F">
        <w:rPr>
          <w:color w:val="auto"/>
          <w:lang w:val="en-GB"/>
        </w:rPr>
        <w:fldChar w:fldCharType="begin"/>
      </w:r>
      <w:r w:rsidRPr="00305E0F">
        <w:rPr>
          <w:color w:val="auto"/>
          <w:lang w:val="en-GB"/>
        </w:rPr>
        <w:instrText xml:space="preserve"> REF _Ref215127218 \r \h </w:instrText>
      </w:r>
      <w:r w:rsidRPr="00305E0F">
        <w:rPr>
          <w:color w:val="auto"/>
          <w:lang w:val="en-GB"/>
        </w:rPr>
      </w:r>
      <w:r w:rsidRPr="00305E0F">
        <w:rPr>
          <w:color w:val="auto"/>
          <w:lang w:val="en-GB"/>
        </w:rPr>
        <w:fldChar w:fldCharType="separate"/>
      </w:r>
      <w:r w:rsidR="00594C05" w:rsidRPr="00305E0F">
        <w:rPr>
          <w:color w:val="auto"/>
          <w:lang w:val="en-GB"/>
        </w:rPr>
        <w:t>85</w:t>
      </w:r>
      <w:r w:rsidRPr="00305E0F">
        <w:rPr>
          <w:color w:val="auto"/>
          <w:lang w:val="en-GB"/>
        </w:rPr>
        <w:fldChar w:fldCharType="end"/>
      </w:r>
      <w:r w:rsidRPr="00305E0F">
        <w:rPr>
          <w:color w:val="auto"/>
          <w:lang w:val="en-GB"/>
        </w:rPr>
        <w:t>, where it would be unduly burdensome for the bank to use the risk quantification standards for corporate exposures as set out in Chapter VI for these receivables, the risk quantification standards for retail exposures  as set out in Chapter VI may be used.</w:t>
      </w:r>
    </w:p>
    <w:p w14:paraId="5AD8713E" w14:textId="5D08D6A5" w:rsidR="00EB0050" w:rsidRPr="00305E0F" w:rsidRDefault="005105A3">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lastRenderedPageBreak/>
        <w:t>For purchased corporate receivables, refundable purchase price discounts, collaterals or partial guarantees providing first loss protection for default losses, dilution losses or both situations may be treated as first loss protection by the purchaser of the receivables or by the beneficiary of the collateral or of the partial guarantee, in accordance with the normative acts of the National Bank of Moldova on the prudential treatment of securitisations. The seller providing the refundable purchase price discount and the provider of a collateral or a partial guarantee shall treat those as an exposure to a first loss position in accordance with the normative acts of the National Bank of Moldova on the prudential treatment of securitisations.</w:t>
      </w:r>
    </w:p>
    <w:p w14:paraId="4D0EA886" w14:textId="6352A99F"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80" w:name="_Ref215230416"/>
      <w:r w:rsidRPr="00305E0F">
        <w:rPr>
          <w:color w:val="auto"/>
          <w:lang w:val="en-GB"/>
        </w:rPr>
        <w:t xml:space="preserve">Where a bank </w:t>
      </w:r>
      <w:r w:rsidR="005105A3" w:rsidRPr="00305E0F">
        <w:rPr>
          <w:color w:val="auto"/>
          <w:lang w:val="en-GB"/>
        </w:rPr>
        <w:t>provides</w:t>
      </w:r>
      <w:r w:rsidRPr="00305E0F">
        <w:rPr>
          <w:color w:val="auto"/>
          <w:lang w:val="en-GB"/>
        </w:rPr>
        <w:t xml:space="preserve"> credit protection for a number of exposures subject to the condition that the nth default </w:t>
      </w:r>
      <w:r w:rsidR="005105A3" w:rsidRPr="00305E0F">
        <w:rPr>
          <w:color w:val="auto"/>
          <w:lang w:val="en-GB"/>
        </w:rPr>
        <w:t>among</w:t>
      </w:r>
      <w:r w:rsidRPr="00305E0F">
        <w:rPr>
          <w:color w:val="auto"/>
          <w:lang w:val="en-GB"/>
        </w:rPr>
        <w:t xml:space="preserve"> the exposures </w:t>
      </w:r>
      <w:r w:rsidR="005105A3" w:rsidRPr="00305E0F">
        <w:rPr>
          <w:color w:val="auto"/>
          <w:lang w:val="en-GB"/>
        </w:rPr>
        <w:t xml:space="preserve">shall </w:t>
      </w:r>
      <w:r w:rsidRPr="00305E0F">
        <w:rPr>
          <w:color w:val="auto"/>
          <w:lang w:val="en-GB"/>
        </w:rPr>
        <w:t xml:space="preserve">trigger payment and </w:t>
      </w:r>
      <w:r w:rsidR="005105A3" w:rsidRPr="00305E0F">
        <w:rPr>
          <w:color w:val="auto"/>
          <w:lang w:val="en-GB"/>
        </w:rPr>
        <w:t xml:space="preserve">that </w:t>
      </w:r>
      <w:r w:rsidRPr="00305E0F">
        <w:rPr>
          <w:color w:val="auto"/>
          <w:lang w:val="en-GB"/>
        </w:rPr>
        <w:t xml:space="preserve">this credit event </w:t>
      </w:r>
      <w:r w:rsidR="005105A3" w:rsidRPr="00305E0F">
        <w:rPr>
          <w:color w:val="auto"/>
          <w:lang w:val="en-GB"/>
        </w:rPr>
        <w:t xml:space="preserve">shall </w:t>
      </w:r>
      <w:r w:rsidRPr="00305E0F">
        <w:rPr>
          <w:color w:val="auto"/>
          <w:lang w:val="en-GB"/>
        </w:rPr>
        <w:t xml:space="preserve">terminate the contract, the risk weights </w:t>
      </w:r>
      <w:r w:rsidR="005105A3" w:rsidRPr="00305E0F">
        <w:rPr>
          <w:color w:val="auto"/>
          <w:lang w:val="en-GB"/>
        </w:rPr>
        <w:t>of</w:t>
      </w:r>
      <w:r w:rsidRPr="00305E0F">
        <w:rPr>
          <w:color w:val="auto"/>
          <w:lang w:val="en-GB"/>
        </w:rPr>
        <w:t xml:space="preserve"> the exposures included in the basket </w:t>
      </w:r>
      <w:r w:rsidR="005105A3" w:rsidRPr="00305E0F">
        <w:rPr>
          <w:color w:val="auto"/>
          <w:lang w:val="en-GB"/>
        </w:rPr>
        <w:t>will</w:t>
      </w:r>
      <w:r w:rsidRPr="00305E0F">
        <w:rPr>
          <w:color w:val="auto"/>
          <w:lang w:val="en-GB"/>
        </w:rPr>
        <w:t xml:space="preserve"> be aggregated, except for n-1 exposures, where the sum of the expected loss amount multiplied by 12</w:t>
      </w:r>
      <w:r w:rsidR="005105A3" w:rsidRPr="00305E0F">
        <w:rPr>
          <w:color w:val="auto"/>
          <w:lang w:val="en-GB"/>
        </w:rPr>
        <w:t>,</w:t>
      </w:r>
      <w:r w:rsidRPr="00305E0F">
        <w:rPr>
          <w:color w:val="auto"/>
          <w:lang w:val="en-GB"/>
        </w:rPr>
        <w:t xml:space="preserve">5 and the risk-weighted exposure amount shall not exceed the nominal </w:t>
      </w:r>
      <w:r w:rsidR="005105A3" w:rsidRPr="00305E0F">
        <w:rPr>
          <w:color w:val="auto"/>
          <w:lang w:val="en-GB"/>
        </w:rPr>
        <w:t>amount</w:t>
      </w:r>
      <w:r w:rsidRPr="00305E0F">
        <w:rPr>
          <w:color w:val="auto"/>
          <w:lang w:val="en-GB"/>
        </w:rPr>
        <w:t xml:space="preserve"> of the protection provided by the credit derivative multiplied by 12</w:t>
      </w:r>
      <w:r w:rsidR="005105A3" w:rsidRPr="00305E0F">
        <w:rPr>
          <w:color w:val="auto"/>
          <w:lang w:val="en-GB"/>
        </w:rPr>
        <w:t>,</w:t>
      </w:r>
      <w:r w:rsidRPr="00305E0F">
        <w:rPr>
          <w:color w:val="auto"/>
          <w:lang w:val="en-GB"/>
        </w:rPr>
        <w:t xml:space="preserve">5. The n-1 exposures </w:t>
      </w:r>
      <w:r w:rsidR="005105A3" w:rsidRPr="00305E0F">
        <w:rPr>
          <w:color w:val="auto"/>
          <w:lang w:val="en-GB"/>
        </w:rPr>
        <w:t xml:space="preserve">to be </w:t>
      </w:r>
      <w:r w:rsidRPr="00305E0F">
        <w:rPr>
          <w:color w:val="auto"/>
          <w:lang w:val="en-GB"/>
        </w:rPr>
        <w:t>excluded from the aggregation shall be determined</w:t>
      </w:r>
      <w:r w:rsidR="00816AF6" w:rsidRPr="00305E0F">
        <w:rPr>
          <w:color w:val="auto"/>
          <w:lang w:val="en-GB"/>
        </w:rPr>
        <w:t xml:space="preserve"> on the basis that they shall include</w:t>
      </w:r>
      <w:r w:rsidRPr="00305E0F">
        <w:rPr>
          <w:color w:val="auto"/>
          <w:lang w:val="en-GB"/>
        </w:rPr>
        <w:t xml:space="preserve"> those exposures </w:t>
      </w:r>
      <w:r w:rsidR="00816AF6" w:rsidRPr="00305E0F">
        <w:rPr>
          <w:color w:val="auto"/>
          <w:lang w:val="en-GB"/>
        </w:rPr>
        <w:t>each of which produces a lower</w:t>
      </w:r>
      <w:r w:rsidRPr="00305E0F">
        <w:rPr>
          <w:color w:val="auto"/>
          <w:lang w:val="en-GB"/>
        </w:rPr>
        <w:t xml:space="preserve"> risk-weighted exposure amount than the risk-weighted exposure amount of any </w:t>
      </w:r>
      <w:r w:rsidR="00816AF6" w:rsidRPr="00305E0F">
        <w:rPr>
          <w:color w:val="auto"/>
          <w:lang w:val="en-GB"/>
        </w:rPr>
        <w:t xml:space="preserve">of the </w:t>
      </w:r>
      <w:r w:rsidRPr="00305E0F">
        <w:rPr>
          <w:color w:val="auto"/>
          <w:lang w:val="en-GB"/>
        </w:rPr>
        <w:t>exposure</w:t>
      </w:r>
      <w:r w:rsidR="00816AF6" w:rsidRPr="00305E0F">
        <w:rPr>
          <w:color w:val="auto"/>
          <w:lang w:val="en-GB"/>
        </w:rPr>
        <w:t>s</w:t>
      </w:r>
      <w:r w:rsidRPr="00305E0F">
        <w:rPr>
          <w:color w:val="auto"/>
          <w:lang w:val="en-GB"/>
        </w:rPr>
        <w:t xml:space="preserve"> included in the aggregation. A risk weight of 1250% shall be applied to positions i</w:t>
      </w:r>
      <w:r w:rsidR="00816AF6" w:rsidRPr="00305E0F">
        <w:rPr>
          <w:color w:val="auto"/>
          <w:lang w:val="en-GB"/>
        </w:rPr>
        <w:t xml:space="preserve">n a </w:t>
      </w:r>
      <w:r w:rsidRPr="00305E0F">
        <w:rPr>
          <w:color w:val="auto"/>
          <w:lang w:val="en-GB"/>
        </w:rPr>
        <w:t>basket for which the bank cannot determine the risk</w:t>
      </w:r>
      <w:r w:rsidR="00816AF6" w:rsidRPr="00305E0F">
        <w:rPr>
          <w:color w:val="auto"/>
          <w:lang w:val="en-GB"/>
        </w:rPr>
        <w:t>-</w:t>
      </w:r>
      <w:r w:rsidRPr="00305E0F">
        <w:rPr>
          <w:color w:val="auto"/>
          <w:lang w:val="en-GB"/>
        </w:rPr>
        <w:t>weight under the IRB Approach.</w:t>
      </w:r>
      <w:bookmarkEnd w:id="80"/>
    </w:p>
    <w:p w14:paraId="6FE06CC3" w14:textId="5ECB4C4C" w:rsidR="00EB0050" w:rsidRPr="00305E0F" w:rsidRDefault="00B02122">
      <w:pPr>
        <w:pStyle w:val="P68B1DB1-Normal16"/>
        <w:shd w:val="clear" w:color="auto" w:fill="FFFFFF"/>
        <w:tabs>
          <w:tab w:val="left" w:pos="0"/>
          <w:tab w:val="left" w:pos="567"/>
        </w:tabs>
        <w:spacing w:before="120" w:after="0" w:line="240" w:lineRule="auto"/>
        <w:jc w:val="center"/>
        <w:rPr>
          <w:bCs/>
          <w:iCs/>
          <w:color w:val="auto"/>
          <w:lang w:val="en-GB"/>
        </w:rPr>
      </w:pPr>
      <w:r w:rsidRPr="00305E0F">
        <w:rPr>
          <w:color w:val="auto"/>
          <w:lang w:val="en-GB"/>
        </w:rPr>
        <w:t>Subsection 2</w:t>
      </w:r>
    </w:p>
    <w:p w14:paraId="743F226C" w14:textId="628C99BE" w:rsidR="00EB0050" w:rsidRPr="00305E0F" w:rsidRDefault="00B02122">
      <w:pPr>
        <w:pStyle w:val="ListParagraph"/>
        <w:shd w:val="clear" w:color="auto" w:fill="FFFFFF"/>
        <w:tabs>
          <w:tab w:val="left" w:pos="0"/>
          <w:tab w:val="left" w:pos="567"/>
        </w:tabs>
        <w:spacing w:after="120" w:line="240" w:lineRule="auto"/>
        <w:ind w:left="0"/>
        <w:jc w:val="center"/>
        <w:rPr>
          <w:rFonts w:ascii="Times New Roman" w:hAnsi="Times New Roman" w:cs="Times New Roman"/>
          <w:b/>
          <w:bCs/>
          <w:i/>
          <w:iCs/>
          <w:sz w:val="24"/>
          <w:szCs w:val="24"/>
          <w:lang w:val="en-GB"/>
        </w:rPr>
      </w:pPr>
      <w:r w:rsidRPr="00305E0F">
        <w:rPr>
          <w:rFonts w:ascii="Times New Roman" w:hAnsi="Times New Roman" w:cs="Times New Roman"/>
          <w:b/>
          <w:i/>
          <w:sz w:val="24"/>
          <w:szCs w:val="24"/>
          <w:lang w:val="en-GB"/>
        </w:rPr>
        <w:t>Risk weighted exposure amounts for retail exposures</w:t>
      </w:r>
      <w:r w:rsidRPr="00305E0F">
        <w:rPr>
          <w:lang w:val="en-GB"/>
        </w:rPr>
        <w:t xml:space="preserve"> </w:t>
      </w:r>
      <w:r w:rsidRPr="00305E0F">
        <w:rPr>
          <w:rFonts w:ascii="Times New Roman" w:hAnsi="Times New Roman" w:cs="Times New Roman"/>
          <w:b/>
          <w:i/>
          <w:sz w:val="24"/>
          <w:szCs w:val="24"/>
          <w:lang w:val="en-GB"/>
        </w:rPr>
        <w:t xml:space="preserve">and for </w:t>
      </w:r>
      <w:r w:rsidR="00816AF6" w:rsidRPr="00305E0F">
        <w:rPr>
          <w:rFonts w:ascii="Times New Roman" w:hAnsi="Times New Roman" w:cs="Times New Roman"/>
          <w:b/>
          <w:bCs/>
          <w:i/>
          <w:sz w:val="24"/>
          <w:szCs w:val="24"/>
          <w:lang w:val="en-GB"/>
        </w:rPr>
        <w:t xml:space="preserve">other non credit-obligation assets </w:t>
      </w:r>
    </w:p>
    <w:p w14:paraId="7EFC2FC3" w14:textId="2B65D41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81" w:name="_Ref215051195"/>
      <w:r w:rsidRPr="00305E0F">
        <w:rPr>
          <w:color w:val="auto"/>
          <w:lang w:val="en-GB"/>
        </w:rPr>
        <w:t>The risk-weighted exposure amounts for retail exposures shall be calculated according to the following formulae:</w:t>
      </w:r>
      <w:bookmarkEnd w:id="81"/>
    </w:p>
    <w:p w14:paraId="2BC15230" w14:textId="07DEE37B" w:rsidR="00EB0050" w:rsidRPr="00305E0F" w:rsidRDefault="00816AF6">
      <w:pPr>
        <w:pStyle w:val="P68B1DB1-ListParagraph18"/>
        <w:shd w:val="clear" w:color="auto" w:fill="FFFFFF"/>
        <w:tabs>
          <w:tab w:val="left" w:pos="0"/>
          <w:tab w:val="left" w:pos="567"/>
        </w:tabs>
        <w:spacing w:before="60" w:after="0" w:line="240" w:lineRule="auto"/>
        <w:ind w:left="0" w:firstLine="567"/>
        <w:jc w:val="both"/>
        <w:rPr>
          <w:iCs/>
          <w:color w:val="auto"/>
          <w:lang w:val="en-GB"/>
        </w:rPr>
      </w:pPr>
      <w:r w:rsidRPr="00305E0F">
        <w:rPr>
          <w:iCs/>
          <w:color w:val="auto"/>
          <w:lang w:val="en-GB"/>
        </w:rPr>
        <w:t>Risk – weighted exposure amount = RW · exposure value</w:t>
      </w:r>
    </w:p>
    <w:p w14:paraId="2B832B6B" w14:textId="2F6F8FC3"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where the risk weight RW is defined as follows:</w:t>
      </w:r>
    </w:p>
    <w:p w14:paraId="0503B4E4" w14:textId="15B4A9DE" w:rsidR="00EB0050" w:rsidRPr="00305E0F" w:rsidRDefault="00B02122">
      <w:pPr>
        <w:pStyle w:val="P68B1DB1-ListParagraph8"/>
        <w:numPr>
          <w:ilvl w:val="1"/>
          <w:numId w:val="2"/>
        </w:numPr>
        <w:shd w:val="clear" w:color="auto" w:fill="FFFFFF"/>
        <w:tabs>
          <w:tab w:val="left" w:pos="0"/>
          <w:tab w:val="left" w:pos="567"/>
        </w:tabs>
        <w:spacing w:after="120" w:line="240" w:lineRule="auto"/>
        <w:contextualSpacing w:val="0"/>
        <w:jc w:val="both"/>
        <w:rPr>
          <w:color w:val="auto"/>
          <w:lang w:val="en-GB"/>
        </w:rPr>
      </w:pPr>
      <w:r w:rsidRPr="00305E0F">
        <w:rPr>
          <w:color w:val="auto"/>
          <w:lang w:val="en-GB"/>
        </w:rPr>
        <w:t>if PD = 1, i.e. for defaulted exposures, RW s</w:t>
      </w:r>
      <w:r w:rsidR="00816AF6" w:rsidRPr="00305E0F">
        <w:rPr>
          <w:color w:val="auto"/>
          <w:lang w:val="en-GB"/>
        </w:rPr>
        <w:t>hall be</w:t>
      </w:r>
    </w:p>
    <w:p w14:paraId="4727D9BB" w14:textId="7C3D0B6C" w:rsidR="00EB0050" w:rsidRPr="00305E0F" w:rsidRDefault="00B02122">
      <w:pPr>
        <w:pStyle w:val="ListParagraph"/>
        <w:spacing w:before="120" w:after="120" w:line="360" w:lineRule="auto"/>
        <w:ind w:left="0" w:firstLine="567"/>
        <w:jc w:val="both"/>
        <w:rPr>
          <w:rFonts w:ascii="Times New Roman" w:eastAsiaTheme="minorEastAsia" w:hAnsi="Times New Roman" w:cs="Times New Roman"/>
          <w:sz w:val="24"/>
          <w:szCs w:val="24"/>
          <w:lang w:val="en-GB"/>
        </w:rPr>
      </w:pPr>
      <m:oMathPara>
        <m:oMathParaPr>
          <m:jc m:val="center"/>
        </m:oMathParaPr>
        <m:oMath>
          <m:r>
            <w:rPr>
              <w:rFonts w:ascii="Cambria Math" w:hAnsi="Cambria Math" w:cs="Times New Roman"/>
              <w:sz w:val="24"/>
              <w:szCs w:val="24"/>
              <w:lang w:val="en-GB"/>
            </w:rPr>
            <m:t>RW=</m:t>
          </m:r>
          <m:r>
            <m:rPr>
              <m:sty m:val="p"/>
            </m:rPr>
            <w:rPr>
              <w:rFonts w:ascii="Cambria Math" w:hAnsi="Cambria Math" w:cs="Times New Roman"/>
              <w:sz w:val="24"/>
              <w:szCs w:val="24"/>
              <w:lang w:val="en-GB"/>
            </w:rPr>
            <m:t>max⁡</m:t>
          </m:r>
          <m:r>
            <w:rPr>
              <w:rFonts w:ascii="Cambria Math" w:hAnsi="Cambria Math" w:cs="Times New Roman"/>
              <w:sz w:val="24"/>
              <w:szCs w:val="24"/>
              <w:lang w:val="en-GB"/>
            </w:rPr>
            <m:t>{0;12,5∙</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(LGD-</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EL</m:t>
                  </m:r>
                </m:e>
                <m:sub>
                  <m:r>
                    <w:rPr>
                      <w:rFonts w:ascii="Cambria Math" w:hAnsi="Cambria Math" w:cs="Times New Roman"/>
                      <w:sz w:val="24"/>
                      <w:szCs w:val="24"/>
                      <w:lang w:val="en-GB"/>
                    </w:rPr>
                    <m:t>BE</m:t>
                  </m:r>
                </m:sub>
              </m:sSub>
              <m:r>
                <w:rPr>
                  <w:rFonts w:ascii="Cambria Math" w:hAnsi="Cambria Math" w:cs="Times New Roman"/>
                  <w:sz w:val="24"/>
                  <w:szCs w:val="24"/>
                  <w:lang w:val="en-GB"/>
                </w:rPr>
                <m:t>)</m:t>
              </m:r>
            </m:e>
          </m:d>
        </m:oMath>
      </m:oMathPara>
    </w:p>
    <w:p w14:paraId="6E36A537" w14:textId="4920DAD1" w:rsidR="00EB0050" w:rsidRPr="00305E0F" w:rsidRDefault="00B02122">
      <w:pPr>
        <w:pStyle w:val="P68B1DB1-Normal7"/>
        <w:shd w:val="clear" w:color="auto" w:fill="FFFFFF"/>
        <w:tabs>
          <w:tab w:val="left" w:pos="0"/>
          <w:tab w:val="left" w:pos="567"/>
        </w:tabs>
        <w:spacing w:before="60" w:after="0" w:line="240" w:lineRule="auto"/>
        <w:jc w:val="both"/>
        <w:rPr>
          <w:color w:val="auto"/>
          <w:lang w:val="en-GB"/>
        </w:rPr>
      </w:pPr>
      <w:r w:rsidRPr="00305E0F">
        <w:rPr>
          <w:color w:val="auto"/>
          <w:lang w:val="en-GB"/>
        </w:rPr>
        <w:t>where EL</w:t>
      </w:r>
      <w:r w:rsidRPr="00305E0F">
        <w:rPr>
          <w:color w:val="auto"/>
          <w:vertAlign w:val="subscript"/>
          <w:lang w:val="en-GB"/>
        </w:rPr>
        <w:t xml:space="preserve"> BE</w:t>
      </w:r>
      <w:r w:rsidRPr="00305E0F">
        <w:rPr>
          <w:color w:val="auto"/>
          <w:lang w:val="en-GB"/>
        </w:rPr>
        <w:t xml:space="preserve"> is the best estimate of the expected loss of the bank for the defaulted exposure in accordance with </w:t>
      </w:r>
      <w:r w:rsidR="00816AF6"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_Ref215505438 \r \h </w:instrText>
      </w:r>
      <w:r w:rsidRPr="00305E0F">
        <w:rPr>
          <w:color w:val="auto"/>
          <w:lang w:val="en-GB"/>
        </w:rPr>
      </w:r>
      <w:r w:rsidRPr="00305E0F">
        <w:rPr>
          <w:color w:val="auto"/>
          <w:lang w:val="en-GB"/>
        </w:rPr>
        <w:fldChar w:fldCharType="separate"/>
      </w:r>
      <w:r w:rsidR="00594C05" w:rsidRPr="00305E0F">
        <w:rPr>
          <w:color w:val="auto"/>
          <w:lang w:val="en-GB"/>
        </w:rPr>
        <w:t>202.9</w:t>
      </w:r>
      <w:r w:rsidRPr="00305E0F">
        <w:rPr>
          <w:color w:val="auto"/>
          <w:lang w:val="en-GB"/>
        </w:rPr>
        <w:fldChar w:fldCharType="end"/>
      </w:r>
      <w:r w:rsidRPr="00305E0F">
        <w:rPr>
          <w:color w:val="auto"/>
          <w:lang w:val="en-GB"/>
        </w:rPr>
        <w:t>;</w:t>
      </w:r>
    </w:p>
    <w:p w14:paraId="1899B897" w14:textId="1B09A929"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82" w:name="_Ref215051245"/>
      <w:r w:rsidRPr="00305E0F">
        <w:rPr>
          <w:color w:val="auto"/>
          <w:lang w:val="en-GB"/>
        </w:rPr>
        <w:t>if PD &lt; 1, then:</w:t>
      </w:r>
      <w:bookmarkEnd w:id="82"/>
    </w:p>
    <w:p w14:paraId="328BDE18" w14:textId="4CEC334E" w:rsidR="00EB0050" w:rsidRPr="00305E0F" w:rsidRDefault="00B02122">
      <w:pPr>
        <w:shd w:val="clear" w:color="auto" w:fill="FFFFFF"/>
        <w:tabs>
          <w:tab w:val="left" w:pos="0"/>
          <w:tab w:val="left" w:pos="567"/>
        </w:tabs>
        <w:spacing w:before="60" w:after="0" w:line="240" w:lineRule="auto"/>
        <w:jc w:val="both"/>
        <w:rPr>
          <w:rFonts w:ascii="Times New Roman" w:hAnsi="Times New Roman" w:cs="Times New Roman"/>
          <w:sz w:val="24"/>
          <w:szCs w:val="24"/>
          <w:lang w:val="en-GB"/>
        </w:rPr>
      </w:pPr>
      <m:oMathPara>
        <m:oMathParaPr>
          <m:jc m:val="center"/>
        </m:oMathParaPr>
        <m:oMath>
          <m:r>
            <w:rPr>
              <w:rFonts w:ascii="Cambria Math" w:eastAsiaTheme="minorEastAsia" w:hAnsi="Cambria Math" w:cs="Times New Roman"/>
              <w:sz w:val="24"/>
              <w:szCs w:val="24"/>
              <w:lang w:val="en-GB"/>
            </w:rPr>
            <m:t>RW=</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LGD∙N</m:t>
              </m:r>
              <m:d>
                <m:dPr>
                  <m:ctrlPr>
                    <w:rPr>
                      <w:rFonts w:ascii="Cambria Math" w:eastAsiaTheme="minorEastAsia" w:hAnsi="Cambria Math" w:cs="Times New Roman"/>
                      <w:i/>
                      <w:sz w:val="24"/>
                      <w:szCs w:val="24"/>
                      <w:lang w:val="en-GB"/>
                    </w:rPr>
                  </m:ctrlPr>
                </m:dPr>
                <m:e>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ad>
                        <m:radPr>
                          <m:degHide m:val="1"/>
                          <m:ctrlPr>
                            <w:rPr>
                              <w:rFonts w:ascii="Cambria Math" w:eastAsiaTheme="minorEastAsia" w:hAnsi="Cambria Math" w:cs="Times New Roman"/>
                              <w:i/>
                              <w:sz w:val="24"/>
                              <w:szCs w:val="24"/>
                              <w:lang w:val="en-GB"/>
                            </w:rPr>
                          </m:ctrlPr>
                        </m:radPr>
                        <m:deg/>
                        <m:e>
                          <m:r>
                            <w:rPr>
                              <w:rFonts w:ascii="Cambria Math" w:eastAsiaTheme="minorEastAsia" w:hAnsi="Cambria Math" w:cs="Times New Roman"/>
                              <w:sz w:val="24"/>
                              <w:szCs w:val="24"/>
                              <w:lang w:val="en-GB"/>
                            </w:rPr>
                            <m:t>1-R</m:t>
                          </m:r>
                        </m:e>
                      </m:rad>
                    </m:den>
                  </m:f>
                  <m:r>
                    <w:rPr>
                      <w:rFonts w:ascii="Cambria Math" w:eastAsiaTheme="minorEastAsia" w:hAnsi="Cambria Math" w:cs="Times New Roman"/>
                      <w:sz w:val="24"/>
                      <w:szCs w:val="24"/>
                      <w:lang w:val="en-GB"/>
                    </w:rPr>
                    <m:t>∙G</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PD</m:t>
                      </m:r>
                    </m:e>
                  </m:d>
                  <m:r>
                    <w:rPr>
                      <w:rFonts w:ascii="Cambria Math" w:eastAsiaTheme="minorEastAsia" w:hAnsi="Cambria Math" w:cs="Times New Roman"/>
                      <w:sz w:val="24"/>
                      <w:szCs w:val="24"/>
                      <w:lang w:val="en-GB"/>
                    </w:rPr>
                    <m:t>+</m:t>
                  </m:r>
                  <m:rad>
                    <m:radPr>
                      <m:degHide m:val="1"/>
                      <m:ctrlPr>
                        <w:rPr>
                          <w:rFonts w:ascii="Cambria Math" w:eastAsiaTheme="minorEastAsia" w:hAnsi="Cambria Math" w:cs="Times New Roman"/>
                          <w:i/>
                          <w:sz w:val="24"/>
                          <w:szCs w:val="24"/>
                          <w:lang w:val="en-GB"/>
                        </w:rPr>
                      </m:ctrlPr>
                    </m:radPr>
                    <m:deg/>
                    <m:e>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R</m:t>
                          </m:r>
                        </m:num>
                        <m:den>
                          <m:r>
                            <w:rPr>
                              <w:rFonts w:ascii="Cambria Math" w:eastAsiaTheme="minorEastAsia" w:hAnsi="Cambria Math" w:cs="Times New Roman"/>
                              <w:sz w:val="24"/>
                              <w:szCs w:val="24"/>
                              <w:lang w:val="en-GB"/>
                            </w:rPr>
                            <m:t>1-R</m:t>
                          </m:r>
                        </m:den>
                      </m:f>
                    </m:e>
                  </m:rad>
                  <m:r>
                    <w:rPr>
                      <w:rFonts w:ascii="Cambria Math" w:eastAsiaTheme="minorEastAsia" w:hAnsi="Cambria Math" w:cs="Times New Roman"/>
                      <w:sz w:val="24"/>
                      <w:szCs w:val="24"/>
                      <w:lang w:val="en-GB"/>
                    </w:rPr>
                    <m:t>∙G</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0.999</m:t>
                      </m:r>
                    </m:e>
                  </m:d>
                </m:e>
              </m:d>
              <m:r>
                <w:rPr>
                  <w:rFonts w:ascii="Cambria Math" w:eastAsiaTheme="minorEastAsia" w:hAnsi="Cambria Math" w:cs="Times New Roman"/>
                  <w:sz w:val="24"/>
                  <w:szCs w:val="24"/>
                  <w:lang w:val="en-GB"/>
                </w:rPr>
                <m:t>-LGD∙PD</m:t>
              </m:r>
            </m:e>
          </m:d>
          <m:r>
            <w:rPr>
              <w:rFonts w:ascii="Cambria Math" w:eastAsiaTheme="minorEastAsia" w:hAnsi="Cambria Math" w:cs="Times New Roman"/>
              <w:sz w:val="24"/>
              <w:szCs w:val="24"/>
              <w:lang w:val="en-GB"/>
            </w:rPr>
            <m:t>∙12,5</m:t>
          </m:r>
        </m:oMath>
      </m:oMathPara>
    </w:p>
    <w:p w14:paraId="1D080C9E" w14:textId="77777777"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where:</w:t>
      </w:r>
    </w:p>
    <w:p w14:paraId="51B6DF12" w14:textId="69A3012B"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 xml:space="preserve">N = </w:t>
      </w:r>
      <w:r w:rsidR="00816AF6" w:rsidRPr="00305E0F">
        <w:rPr>
          <w:color w:val="auto"/>
          <w:lang w:val="en-GB"/>
        </w:rPr>
        <w:t>the cumulative distribution function for a standard normal random variable, i.e. N(x) equals the probability that a normal random variable with mean of 0 and variance of 1, is less than or equal to x</w:t>
      </w:r>
      <w:r w:rsidRPr="00305E0F">
        <w:rPr>
          <w:color w:val="auto"/>
          <w:lang w:val="en-GB"/>
        </w:rPr>
        <w:t>;</w:t>
      </w:r>
    </w:p>
    <w:p w14:paraId="3974C425" w14:textId="601C8217"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 xml:space="preserve">G = </w:t>
      </w:r>
      <w:r w:rsidR="00816AF6" w:rsidRPr="00305E0F">
        <w:rPr>
          <w:color w:val="auto"/>
          <w:lang w:val="en-GB"/>
        </w:rPr>
        <w:t>the inverse cumulative distribution function for a standard normal random variable, i.e. if x = G(z), x is the value such that N(x) = z</w:t>
      </w:r>
      <w:r w:rsidRPr="00305E0F">
        <w:rPr>
          <w:color w:val="auto"/>
          <w:lang w:val="en-GB"/>
        </w:rPr>
        <w:t>;</w:t>
      </w:r>
      <w:r w:rsidR="00816AF6" w:rsidRPr="00305E0F">
        <w:rPr>
          <w:color w:val="auto"/>
          <w:lang w:val="en-GB"/>
        </w:rPr>
        <w:t xml:space="preserve"> </w:t>
      </w:r>
    </w:p>
    <w:p w14:paraId="6FAC517D" w14:textId="472626A2"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 xml:space="preserve">R = </w:t>
      </w:r>
      <w:r w:rsidR="00816AF6" w:rsidRPr="00305E0F">
        <w:rPr>
          <w:color w:val="auto"/>
          <w:lang w:val="en-GB"/>
        </w:rPr>
        <w:t xml:space="preserve">the </w:t>
      </w:r>
      <w:r w:rsidRPr="00305E0F">
        <w:rPr>
          <w:color w:val="auto"/>
          <w:lang w:val="en-GB"/>
        </w:rPr>
        <w:t>coefficient of correlation, which is defined as:</w:t>
      </w:r>
    </w:p>
    <w:p w14:paraId="2FBF7324" w14:textId="5A651B8C" w:rsidR="00EB0050" w:rsidRPr="00305E0F" w:rsidRDefault="00B02122">
      <w:pPr>
        <w:pStyle w:val="ListParagraph"/>
        <w:spacing w:line="360" w:lineRule="auto"/>
        <w:ind w:left="1077"/>
        <w:jc w:val="both"/>
        <w:rPr>
          <w:rFonts w:ascii="Times New Roman" w:eastAsiaTheme="minorEastAsia" w:hAnsi="Times New Roman" w:cs="Times New Roman"/>
          <w:sz w:val="24"/>
          <w:szCs w:val="24"/>
          <w:lang w:val="en-GB"/>
        </w:rPr>
      </w:pPr>
      <m:oMathPara>
        <m:oMathParaPr>
          <m:jc m:val="left"/>
        </m:oMathParaPr>
        <m:oMath>
          <m:r>
            <w:rPr>
              <w:rFonts w:ascii="Cambria Math" w:eastAsiaTheme="minorEastAsia" w:hAnsi="Cambria Math" w:cs="Times New Roman"/>
              <w:sz w:val="24"/>
              <w:szCs w:val="24"/>
              <w:lang w:val="en-GB"/>
            </w:rPr>
            <m:t>R=0.03∙</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-35∙PD</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-35</m:t>
                  </m:r>
                </m:sup>
              </m:sSup>
            </m:den>
          </m:f>
          <m:r>
            <w:rPr>
              <w:rFonts w:ascii="Cambria Math" w:eastAsiaTheme="minorEastAsia" w:hAnsi="Cambria Math" w:cs="Times New Roman"/>
              <w:sz w:val="24"/>
              <w:szCs w:val="24"/>
              <w:lang w:val="en-GB"/>
            </w:rPr>
            <m:t>+0.16∙(1-</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-35∙PD</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-35</m:t>
                  </m:r>
                </m:sup>
              </m:sSup>
            </m:den>
          </m:f>
          <m:r>
            <w:rPr>
              <w:rFonts w:ascii="Cambria Math" w:eastAsiaTheme="minorEastAsia" w:hAnsi="Cambria Math" w:cs="Times New Roman"/>
              <w:sz w:val="24"/>
              <w:szCs w:val="24"/>
              <w:lang w:val="en-GB"/>
            </w:rPr>
            <m:t>)</m:t>
          </m:r>
        </m:oMath>
      </m:oMathPara>
    </w:p>
    <w:p w14:paraId="6711C42C" w14:textId="55878199" w:rsidR="00EB0050" w:rsidRPr="00305E0F" w:rsidRDefault="00F840A3">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83" w:name="_Ref215051093"/>
      <w:r w:rsidRPr="00305E0F">
        <w:rPr>
          <w:color w:val="auto"/>
          <w:lang w:val="en-GB"/>
        </w:rPr>
        <w:t xml:space="preserve">For retail exposures that are not in default and are secured or partially secured by residential property, a coefficient of correlation R of 0,15 shall replace the figure produced by the coefficient of correlation formula in paragraph </w:t>
      </w:r>
      <w:r w:rsidRPr="00305E0F">
        <w:rPr>
          <w:color w:val="auto"/>
          <w:lang w:val="en-GB"/>
        </w:rPr>
        <w:fldChar w:fldCharType="begin"/>
      </w:r>
      <w:r w:rsidRPr="00305E0F">
        <w:rPr>
          <w:color w:val="auto"/>
          <w:lang w:val="en-GB"/>
        </w:rPr>
        <w:instrText xml:space="preserve"> REF _Ref215051195 \r \h </w:instrText>
      </w:r>
      <w:r w:rsidRPr="00305E0F">
        <w:rPr>
          <w:color w:val="auto"/>
          <w:lang w:val="en-GB"/>
        </w:rPr>
      </w:r>
      <w:r w:rsidRPr="00305E0F">
        <w:rPr>
          <w:color w:val="auto"/>
          <w:lang w:val="en-GB"/>
        </w:rPr>
        <w:fldChar w:fldCharType="separate"/>
      </w:r>
      <w:r w:rsidR="00594C05" w:rsidRPr="00305E0F">
        <w:rPr>
          <w:color w:val="auto"/>
          <w:lang w:val="en-GB"/>
        </w:rPr>
        <w:t>80</w:t>
      </w:r>
      <w:r w:rsidRPr="00305E0F">
        <w:rPr>
          <w:color w:val="auto"/>
          <w:lang w:val="en-GB"/>
        </w:rPr>
        <w:fldChar w:fldCharType="end"/>
      </w:r>
      <w:r w:rsidRPr="00305E0F">
        <w:rPr>
          <w:color w:val="auto"/>
          <w:lang w:val="en-GB"/>
        </w:rPr>
        <w:t>.</w:t>
      </w:r>
      <w:bookmarkEnd w:id="83"/>
    </w:p>
    <w:p w14:paraId="2F9FAD78" w14:textId="2644D170"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r w:rsidRPr="00305E0F">
        <w:rPr>
          <w:color w:val="auto"/>
          <w:sz w:val="24"/>
          <w:szCs w:val="24"/>
          <w:lang w:val="en-GB"/>
        </w:rPr>
        <w:lastRenderedPageBreak/>
        <w:t xml:space="preserve">The risk weight calculated for an exposure partially secured by residential property pursuant to </w:t>
      </w:r>
      <w:r w:rsidR="00F840A3" w:rsidRPr="00305E0F">
        <w:rPr>
          <w:color w:val="auto"/>
          <w:sz w:val="24"/>
          <w:szCs w:val="24"/>
          <w:lang w:val="en-GB"/>
        </w:rPr>
        <w:t xml:space="preserve">paragraph </w:t>
      </w:r>
      <w:r w:rsidRPr="00305E0F">
        <w:rPr>
          <w:color w:val="auto"/>
          <w:sz w:val="24"/>
          <w:szCs w:val="24"/>
          <w:lang w:val="en-GB"/>
        </w:rPr>
        <w:fldChar w:fldCharType="begin"/>
      </w:r>
      <w:r w:rsidRPr="00305E0F">
        <w:rPr>
          <w:color w:val="auto"/>
          <w:sz w:val="24"/>
          <w:szCs w:val="24"/>
          <w:lang w:val="en-GB"/>
        </w:rPr>
        <w:instrText xml:space="preserve"> REF _Ref215051195 \r \h  \* MERGEFORMAT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80</w:t>
      </w:r>
      <w:r w:rsidRPr="00305E0F">
        <w:rPr>
          <w:color w:val="auto"/>
          <w:sz w:val="24"/>
          <w:szCs w:val="24"/>
          <w:lang w:val="en-GB"/>
        </w:rPr>
        <w:fldChar w:fldCharType="end"/>
      </w:r>
      <w:r w:rsidR="00F840A3" w:rsidRPr="00305E0F">
        <w:rPr>
          <w:color w:val="auto"/>
          <w:sz w:val="24"/>
          <w:szCs w:val="24"/>
          <w:lang w:val="en-GB"/>
        </w:rPr>
        <w:t xml:space="preserve"> sub-paragraph </w:t>
      </w:r>
      <w:r w:rsidRPr="00305E0F">
        <w:rPr>
          <w:color w:val="auto"/>
          <w:sz w:val="24"/>
          <w:szCs w:val="24"/>
          <w:lang w:val="en-GB"/>
        </w:rPr>
        <w:fldChar w:fldCharType="begin"/>
      </w:r>
      <w:r w:rsidRPr="00305E0F">
        <w:rPr>
          <w:color w:val="auto"/>
          <w:sz w:val="24"/>
          <w:szCs w:val="24"/>
          <w:lang w:val="en-GB"/>
        </w:rPr>
        <w:instrText xml:space="preserve"> REF _Ref215051245 \r \h  \* MERGEFORMAT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80.2</w:t>
      </w:r>
      <w:r w:rsidRPr="00305E0F">
        <w:rPr>
          <w:color w:val="auto"/>
          <w:sz w:val="24"/>
          <w:szCs w:val="24"/>
          <w:lang w:val="en-GB"/>
        </w:rPr>
        <w:fldChar w:fldCharType="end"/>
      </w:r>
      <w:r w:rsidRPr="00305E0F">
        <w:rPr>
          <w:color w:val="auto"/>
          <w:sz w:val="24"/>
          <w:szCs w:val="24"/>
          <w:lang w:val="en-GB"/>
        </w:rPr>
        <w:t xml:space="preserve">, taking into account a coefficient of correlation R as set out in </w:t>
      </w:r>
      <w:r w:rsidR="00F840A3" w:rsidRPr="00305E0F">
        <w:rPr>
          <w:color w:val="auto"/>
          <w:sz w:val="24"/>
          <w:szCs w:val="24"/>
          <w:lang w:val="en-GB"/>
        </w:rPr>
        <w:t xml:space="preserve">paragraph </w:t>
      </w:r>
      <w:r w:rsidRPr="00305E0F">
        <w:rPr>
          <w:color w:val="auto"/>
          <w:sz w:val="24"/>
          <w:szCs w:val="24"/>
          <w:lang w:val="en-GB"/>
        </w:rPr>
        <w:fldChar w:fldCharType="begin"/>
      </w:r>
      <w:r w:rsidRPr="00305E0F">
        <w:rPr>
          <w:color w:val="auto"/>
          <w:sz w:val="24"/>
          <w:szCs w:val="24"/>
          <w:lang w:val="en-GB"/>
        </w:rPr>
        <w:instrText xml:space="preserve"> REF _Ref215051093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81</w:t>
      </w:r>
      <w:r w:rsidRPr="00305E0F">
        <w:rPr>
          <w:color w:val="auto"/>
          <w:sz w:val="24"/>
          <w:szCs w:val="24"/>
          <w:lang w:val="en-GB"/>
        </w:rPr>
        <w:fldChar w:fldCharType="end"/>
      </w:r>
      <w:r w:rsidRPr="00305E0F">
        <w:rPr>
          <w:color w:val="auto"/>
          <w:sz w:val="24"/>
          <w:szCs w:val="24"/>
          <w:lang w:val="en-GB"/>
        </w:rPr>
        <w:t xml:space="preserve">, shall </w:t>
      </w:r>
      <w:r w:rsidR="00F840A3" w:rsidRPr="00305E0F">
        <w:rPr>
          <w:color w:val="auto"/>
          <w:sz w:val="24"/>
          <w:szCs w:val="24"/>
          <w:lang w:val="en-GB"/>
        </w:rPr>
        <w:t>be applied</w:t>
      </w:r>
      <w:r w:rsidRPr="00305E0F">
        <w:rPr>
          <w:color w:val="auto"/>
          <w:sz w:val="24"/>
          <w:szCs w:val="24"/>
          <w:lang w:val="en-GB"/>
        </w:rPr>
        <w:t xml:space="preserve"> to both the secured and the unsecured parts of that exposure.</w:t>
      </w:r>
      <w:r w:rsidRPr="00305E0F">
        <w:rPr>
          <w:color w:val="auto"/>
          <w:sz w:val="18"/>
          <w:szCs w:val="18"/>
          <w:highlight w:val="lightGray"/>
          <w:lang w:val="en-GB"/>
        </w:rPr>
        <w:t xml:space="preserve"> </w:t>
      </w:r>
    </w:p>
    <w:p w14:paraId="5F15B763" w14:textId="6A8FBC27"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r w:rsidRPr="00305E0F">
        <w:rPr>
          <w:color w:val="auto"/>
          <w:sz w:val="24"/>
          <w:szCs w:val="24"/>
          <w:lang w:val="en-GB"/>
        </w:rPr>
        <w:t>For QRREs</w:t>
      </w:r>
      <w:r w:rsidR="00F840A3" w:rsidRPr="00305E0F">
        <w:rPr>
          <w:color w:val="auto"/>
          <w:sz w:val="24"/>
          <w:szCs w:val="24"/>
          <w:lang w:val="en-GB"/>
        </w:rPr>
        <w:t xml:space="preserve"> that are not in default</w:t>
      </w:r>
      <w:r w:rsidRPr="00305E0F">
        <w:rPr>
          <w:color w:val="auto"/>
          <w:sz w:val="24"/>
          <w:szCs w:val="24"/>
          <w:lang w:val="en-GB"/>
        </w:rPr>
        <w:t xml:space="preserve">, a </w:t>
      </w:r>
      <w:r w:rsidR="00F840A3" w:rsidRPr="00305E0F">
        <w:rPr>
          <w:color w:val="auto"/>
          <w:sz w:val="24"/>
          <w:szCs w:val="24"/>
          <w:lang w:val="en-GB"/>
        </w:rPr>
        <w:t xml:space="preserve">coefficient of </w:t>
      </w:r>
      <w:r w:rsidRPr="00305E0F">
        <w:rPr>
          <w:color w:val="auto"/>
          <w:sz w:val="24"/>
          <w:szCs w:val="24"/>
          <w:lang w:val="en-GB"/>
        </w:rPr>
        <w:t xml:space="preserve">correlation R of 0,04 shall replace the figure </w:t>
      </w:r>
      <w:r w:rsidR="00F840A3" w:rsidRPr="00305E0F">
        <w:rPr>
          <w:color w:val="auto"/>
          <w:sz w:val="24"/>
          <w:szCs w:val="24"/>
          <w:lang w:val="en-GB"/>
        </w:rPr>
        <w:t>produced</w:t>
      </w:r>
      <w:r w:rsidRPr="00305E0F">
        <w:rPr>
          <w:color w:val="auto"/>
          <w:sz w:val="24"/>
          <w:szCs w:val="24"/>
          <w:lang w:val="en-GB"/>
        </w:rPr>
        <w:t xml:space="preserve"> by the </w:t>
      </w:r>
      <w:r w:rsidR="00F840A3" w:rsidRPr="00305E0F">
        <w:rPr>
          <w:color w:val="auto"/>
          <w:sz w:val="24"/>
          <w:szCs w:val="24"/>
          <w:lang w:val="en-GB"/>
        </w:rPr>
        <w:t xml:space="preserve">coefficient of </w:t>
      </w:r>
      <w:r w:rsidRPr="00305E0F">
        <w:rPr>
          <w:color w:val="auto"/>
          <w:sz w:val="24"/>
          <w:szCs w:val="24"/>
          <w:lang w:val="en-GB"/>
        </w:rPr>
        <w:t>correlation formula in paragraph</w:t>
      </w:r>
      <w:r w:rsidR="00F840A3" w:rsidRPr="00305E0F">
        <w:rPr>
          <w:color w:val="auto"/>
          <w:sz w:val="24"/>
          <w:szCs w:val="24"/>
          <w:lang w:val="en-GB"/>
        </w:rPr>
        <w:t xml:space="preserve"> </w:t>
      </w:r>
      <w:r w:rsidRPr="00305E0F">
        <w:rPr>
          <w:color w:val="auto"/>
          <w:sz w:val="24"/>
          <w:szCs w:val="24"/>
          <w:lang w:val="en-GB"/>
        </w:rPr>
        <w:fldChar w:fldCharType="begin"/>
      </w:r>
      <w:r w:rsidRPr="00305E0F">
        <w:rPr>
          <w:color w:val="auto"/>
          <w:sz w:val="24"/>
          <w:szCs w:val="24"/>
          <w:lang w:val="en-GB"/>
        </w:rPr>
        <w:instrText xml:space="preserve"> REF _Ref215051195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80</w:t>
      </w:r>
      <w:r w:rsidRPr="00305E0F">
        <w:rPr>
          <w:color w:val="auto"/>
          <w:sz w:val="24"/>
          <w:szCs w:val="24"/>
          <w:lang w:val="en-GB"/>
        </w:rPr>
        <w:fldChar w:fldCharType="end"/>
      </w:r>
      <w:r w:rsidRPr="00305E0F">
        <w:rPr>
          <w:color w:val="auto"/>
          <w:sz w:val="24"/>
          <w:szCs w:val="24"/>
          <w:lang w:val="en-GB"/>
        </w:rPr>
        <w:t>.</w:t>
      </w:r>
      <w:r w:rsidRPr="00305E0F">
        <w:rPr>
          <w:color w:val="auto"/>
          <w:sz w:val="18"/>
          <w:szCs w:val="18"/>
          <w:highlight w:val="lightGray"/>
          <w:lang w:val="en-GB"/>
        </w:rPr>
        <w:t xml:space="preserve"> </w:t>
      </w:r>
    </w:p>
    <w:p w14:paraId="5F294567" w14:textId="2E330599"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r w:rsidRPr="00305E0F">
        <w:rPr>
          <w:color w:val="auto"/>
          <w:sz w:val="24"/>
          <w:szCs w:val="24"/>
          <w:lang w:val="en-GB"/>
        </w:rPr>
        <w:t xml:space="preserve">The National Bank of Moldova shall </w:t>
      </w:r>
      <w:r w:rsidR="00F840A3" w:rsidRPr="00305E0F">
        <w:rPr>
          <w:color w:val="auto"/>
          <w:sz w:val="24"/>
          <w:szCs w:val="24"/>
          <w:lang w:val="en-GB"/>
        </w:rPr>
        <w:t>review</w:t>
      </w:r>
      <w:r w:rsidRPr="00305E0F">
        <w:rPr>
          <w:color w:val="auto"/>
          <w:sz w:val="24"/>
          <w:szCs w:val="24"/>
          <w:lang w:val="en-GB"/>
        </w:rPr>
        <w:t xml:space="preserve"> the relative volatility of loss rate</w:t>
      </w:r>
      <w:r w:rsidR="00F840A3" w:rsidRPr="00305E0F">
        <w:rPr>
          <w:color w:val="auto"/>
          <w:sz w:val="24"/>
          <w:szCs w:val="24"/>
          <w:lang w:val="en-GB"/>
        </w:rPr>
        <w:t>s</w:t>
      </w:r>
      <w:r w:rsidRPr="00305E0F">
        <w:rPr>
          <w:color w:val="auto"/>
          <w:sz w:val="24"/>
          <w:szCs w:val="24"/>
          <w:lang w:val="en-GB"/>
        </w:rPr>
        <w:t xml:space="preserve"> </w:t>
      </w:r>
      <w:r w:rsidR="00F840A3" w:rsidRPr="00305E0F">
        <w:rPr>
          <w:color w:val="auto"/>
          <w:sz w:val="24"/>
          <w:szCs w:val="24"/>
          <w:lang w:val="en-GB"/>
        </w:rPr>
        <w:t xml:space="preserve">across </w:t>
      </w:r>
      <w:r w:rsidRPr="00305E0F">
        <w:rPr>
          <w:color w:val="auto"/>
          <w:sz w:val="24"/>
          <w:szCs w:val="24"/>
          <w:lang w:val="en-GB"/>
        </w:rPr>
        <w:t xml:space="preserve">QRRE belonging to the same type of exposures, as well as </w:t>
      </w:r>
      <w:r w:rsidR="00F840A3" w:rsidRPr="00305E0F">
        <w:rPr>
          <w:color w:val="auto"/>
          <w:sz w:val="24"/>
          <w:szCs w:val="24"/>
          <w:lang w:val="en-GB"/>
        </w:rPr>
        <w:t>across</w:t>
      </w:r>
      <w:r w:rsidRPr="00305E0F">
        <w:rPr>
          <w:color w:val="auto"/>
          <w:sz w:val="24"/>
          <w:szCs w:val="24"/>
          <w:lang w:val="en-GB"/>
        </w:rPr>
        <w:t xml:space="preserve"> the aggregate QRRE exposure class.</w:t>
      </w:r>
      <w:r w:rsidRPr="00305E0F">
        <w:rPr>
          <w:color w:val="auto"/>
          <w:sz w:val="18"/>
          <w:szCs w:val="18"/>
          <w:highlight w:val="lightGray"/>
          <w:lang w:val="en-GB"/>
        </w:rPr>
        <w:t xml:space="preserve"> </w:t>
      </w:r>
    </w:p>
    <w:p w14:paraId="22F3CAE0" w14:textId="14BCBAAD" w:rsidR="00EB0050" w:rsidRPr="00305E0F" w:rsidRDefault="00F840A3">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84" w:name="_Ref215127218"/>
      <w:r w:rsidRPr="00305E0F">
        <w:rPr>
          <w:color w:val="auto"/>
          <w:lang w:val="en-GB"/>
        </w:rPr>
        <w:t xml:space="preserve">To be eligible for the retail treatment, purchased receivables shall comply with the requirements set out in paragraphs </w:t>
      </w:r>
      <w:r w:rsidRPr="00305E0F">
        <w:rPr>
          <w:color w:val="auto"/>
          <w:lang w:val="en-GB"/>
        </w:rPr>
        <w:fldChar w:fldCharType="begin"/>
      </w:r>
      <w:r w:rsidRPr="00305E0F">
        <w:rPr>
          <w:color w:val="auto"/>
          <w:lang w:val="en-GB"/>
        </w:rPr>
        <w:instrText xml:space="preserve"> REF _Ref215507096 \r \h </w:instrText>
      </w:r>
      <w:r w:rsidRPr="00305E0F">
        <w:rPr>
          <w:color w:val="auto"/>
          <w:lang w:val="en-GB"/>
        </w:rPr>
      </w:r>
      <w:r w:rsidRPr="00305E0F">
        <w:rPr>
          <w:color w:val="auto"/>
          <w:lang w:val="en-GB"/>
        </w:rPr>
        <w:fldChar w:fldCharType="separate"/>
      </w:r>
      <w:r w:rsidR="00594C05" w:rsidRPr="00305E0F">
        <w:rPr>
          <w:color w:val="auto"/>
          <w:lang w:val="en-GB"/>
        </w:rPr>
        <w:t>198</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_Ref232158739 \r \h </w:instrText>
      </w:r>
      <w:r w:rsidRPr="00305E0F">
        <w:rPr>
          <w:color w:val="auto"/>
          <w:lang w:val="en-GB"/>
        </w:rPr>
      </w:r>
      <w:r w:rsidRPr="00305E0F">
        <w:rPr>
          <w:color w:val="auto"/>
          <w:lang w:val="en-GB"/>
        </w:rPr>
        <w:fldChar w:fldCharType="separate"/>
      </w:r>
      <w:r w:rsidR="00594C05" w:rsidRPr="00305E0F">
        <w:rPr>
          <w:color w:val="auto"/>
          <w:lang w:val="en-GB"/>
        </w:rPr>
        <w:t>201</w:t>
      </w:r>
      <w:r w:rsidRPr="00305E0F">
        <w:rPr>
          <w:color w:val="auto"/>
          <w:lang w:val="en-GB"/>
        </w:rPr>
        <w:fldChar w:fldCharType="end"/>
      </w:r>
      <w:r w:rsidRPr="00305E0F">
        <w:rPr>
          <w:color w:val="auto"/>
          <w:lang w:val="en-GB"/>
        </w:rPr>
        <w:t>, as well as with the following conditions:</w:t>
      </w:r>
      <w:bookmarkEnd w:id="84"/>
    </w:p>
    <w:p w14:paraId="7C6C0D31" w14:textId="1AC1B553" w:rsidR="00EB0050" w:rsidRPr="00305E0F" w:rsidRDefault="00F840A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has purchased the receivables from an unrelated third party seller and its exposures to the obligor of the receivable does not include any exposures that are directly or indirectly originated by the bank itself;</w:t>
      </w:r>
    </w:p>
    <w:p w14:paraId="1FCBF7E8" w14:textId="6CA35BDC"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Purchased receivables </w:t>
      </w:r>
      <w:r w:rsidR="00F840A3" w:rsidRPr="00305E0F">
        <w:rPr>
          <w:color w:val="auto"/>
          <w:lang w:val="en-GB"/>
        </w:rPr>
        <w:t>shall be</w:t>
      </w:r>
      <w:r w:rsidRPr="00305E0F">
        <w:rPr>
          <w:color w:val="auto"/>
          <w:lang w:val="en-GB"/>
        </w:rPr>
        <w:t xml:space="preserve"> generated at </w:t>
      </w:r>
      <w:r w:rsidR="00F840A3" w:rsidRPr="00305E0F">
        <w:rPr>
          <w:color w:val="auto"/>
          <w:lang w:val="en-GB"/>
        </w:rPr>
        <w:t xml:space="preserve">an </w:t>
      </w:r>
      <w:r w:rsidRPr="00305E0F">
        <w:rPr>
          <w:color w:val="auto"/>
          <w:lang w:val="en-GB"/>
        </w:rPr>
        <w:t xml:space="preserve">arm's length </w:t>
      </w:r>
      <w:r w:rsidR="00F840A3" w:rsidRPr="00305E0F">
        <w:rPr>
          <w:color w:val="auto"/>
          <w:lang w:val="en-GB"/>
        </w:rPr>
        <w:t xml:space="preserve">basis </w:t>
      </w:r>
      <w:r w:rsidRPr="00305E0F">
        <w:rPr>
          <w:color w:val="auto"/>
          <w:lang w:val="en-GB"/>
        </w:rPr>
        <w:t xml:space="preserve">between the seller and the </w:t>
      </w:r>
      <w:r w:rsidR="00797084" w:rsidRPr="00305E0F">
        <w:rPr>
          <w:color w:val="auto"/>
          <w:lang w:val="en-GB"/>
        </w:rPr>
        <w:t>obligor</w:t>
      </w:r>
      <w:r w:rsidRPr="00305E0F">
        <w:rPr>
          <w:color w:val="auto"/>
          <w:lang w:val="en-GB"/>
        </w:rPr>
        <w:t xml:space="preserve">. As </w:t>
      </w:r>
      <w:r w:rsidR="00797084" w:rsidRPr="00305E0F">
        <w:rPr>
          <w:color w:val="auto"/>
          <w:lang w:val="en-GB"/>
        </w:rPr>
        <w:t>such</w:t>
      </w:r>
      <w:r w:rsidRPr="00305E0F">
        <w:rPr>
          <w:color w:val="auto"/>
          <w:lang w:val="en-GB"/>
        </w:rPr>
        <w:t xml:space="preserve">, </w:t>
      </w:r>
      <w:r w:rsidR="00797084" w:rsidRPr="00305E0F">
        <w:rPr>
          <w:color w:val="auto"/>
          <w:lang w:val="en-GB"/>
        </w:rPr>
        <w:t>inter-company accounts receivables and receivables subject to contra-accounts between firms that buy and sell to each other are ineligible</w:t>
      </w:r>
      <w:r w:rsidRPr="00305E0F">
        <w:rPr>
          <w:color w:val="auto"/>
          <w:lang w:val="en-GB"/>
        </w:rPr>
        <w:t>;</w:t>
      </w:r>
    </w:p>
    <w:p w14:paraId="5A43D20A" w14:textId="55CC02C8"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The </w:t>
      </w:r>
      <w:r w:rsidR="00797084" w:rsidRPr="00305E0F">
        <w:rPr>
          <w:color w:val="auto"/>
          <w:lang w:val="en-GB"/>
        </w:rPr>
        <w:t>purchasing</w:t>
      </w:r>
      <w:r w:rsidRPr="00305E0F">
        <w:rPr>
          <w:color w:val="auto"/>
          <w:lang w:val="en-GB"/>
        </w:rPr>
        <w:t xml:space="preserve"> bank </w:t>
      </w:r>
      <w:r w:rsidR="00797084" w:rsidRPr="00305E0F">
        <w:rPr>
          <w:color w:val="auto"/>
          <w:lang w:val="en-GB"/>
        </w:rPr>
        <w:t>has a claim on all proceeds from the purchased receivables or a pro-rata interest in the proceeds; and</w:t>
      </w:r>
    </w:p>
    <w:p w14:paraId="0B761324" w14:textId="3EF3916D" w:rsidR="00EB0050" w:rsidRPr="00305E0F" w:rsidRDefault="00797084">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portfolio of purchased receivables is sufficiently diversified.</w:t>
      </w:r>
    </w:p>
    <w:p w14:paraId="6A8E9D69" w14:textId="56F9665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In the case of retail purchased receivables, </w:t>
      </w:r>
      <w:r w:rsidR="00445E4A" w:rsidRPr="00305E0F">
        <w:rPr>
          <w:color w:val="auto"/>
          <w:lang w:val="en-GB"/>
        </w:rPr>
        <w:t>refundable </w:t>
      </w:r>
      <w:r w:rsidRPr="00305E0F">
        <w:rPr>
          <w:color w:val="auto"/>
          <w:lang w:val="en-GB"/>
        </w:rPr>
        <w:t>purchase price discounts, collateral</w:t>
      </w:r>
      <w:r w:rsidR="00445E4A" w:rsidRPr="00305E0F">
        <w:rPr>
          <w:color w:val="auto"/>
          <w:lang w:val="en-GB"/>
        </w:rPr>
        <w:t>s</w:t>
      </w:r>
      <w:r w:rsidRPr="00305E0F">
        <w:rPr>
          <w:color w:val="auto"/>
          <w:lang w:val="en-GB"/>
        </w:rPr>
        <w:t xml:space="preserve"> or partial guarantees providing first loss protection in case of default losses, dilution losses or both situations may be considered as first loss protection by the </w:t>
      </w:r>
      <w:r w:rsidR="00445E4A" w:rsidRPr="00305E0F">
        <w:rPr>
          <w:color w:val="auto"/>
          <w:lang w:val="en-GB"/>
        </w:rPr>
        <w:t>purchaser</w:t>
      </w:r>
      <w:r w:rsidRPr="00305E0F">
        <w:rPr>
          <w:color w:val="auto"/>
          <w:lang w:val="en-GB"/>
        </w:rPr>
        <w:t xml:space="preserve"> of the receivables or the collateral or partial guarantee beneficiary, in accordance with the normative acts of the National Bank of Moldova </w:t>
      </w:r>
      <w:r w:rsidR="00445E4A" w:rsidRPr="00305E0F">
        <w:rPr>
          <w:color w:val="auto"/>
          <w:lang w:val="en-GB"/>
        </w:rPr>
        <w:t>on</w:t>
      </w:r>
      <w:r w:rsidRPr="00305E0F">
        <w:rPr>
          <w:color w:val="auto"/>
          <w:lang w:val="en-GB"/>
        </w:rPr>
        <w:t xml:space="preserve"> the prudential treatment of securitisations. The seller </w:t>
      </w:r>
      <w:r w:rsidR="00445E4A" w:rsidRPr="00305E0F">
        <w:rPr>
          <w:color w:val="auto"/>
          <w:lang w:val="en-GB"/>
        </w:rPr>
        <w:t>providing</w:t>
      </w:r>
      <w:r w:rsidRPr="00305E0F">
        <w:rPr>
          <w:color w:val="auto"/>
          <w:lang w:val="en-GB"/>
        </w:rPr>
        <w:t xml:space="preserve"> the re</w:t>
      </w:r>
      <w:r w:rsidR="00445E4A" w:rsidRPr="00305E0F">
        <w:rPr>
          <w:color w:val="auto"/>
          <w:lang w:val="en-GB"/>
        </w:rPr>
        <w:t>fundable</w:t>
      </w:r>
      <w:r w:rsidRPr="00305E0F">
        <w:rPr>
          <w:color w:val="auto"/>
          <w:lang w:val="en-GB"/>
        </w:rPr>
        <w:t xml:space="preserve"> purchase price discount and the provider of the collateral or partial guarantee shall treat those collaterals as an exposure to a first loss position in accordance with the normative acts of the National Bank of Moldova </w:t>
      </w:r>
      <w:r w:rsidR="00617FEE" w:rsidRPr="00305E0F">
        <w:rPr>
          <w:color w:val="auto"/>
          <w:lang w:val="en-GB"/>
        </w:rPr>
        <w:t>on</w:t>
      </w:r>
      <w:r w:rsidRPr="00305E0F">
        <w:rPr>
          <w:color w:val="auto"/>
          <w:lang w:val="en-GB"/>
        </w:rPr>
        <w:t xml:space="preserve"> the prudential treatment of securitisations.</w:t>
      </w:r>
    </w:p>
    <w:p w14:paraId="7C83A190" w14:textId="5475F8F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85" w:name="_Ref215229575"/>
      <w:r w:rsidRPr="00305E0F">
        <w:rPr>
          <w:color w:val="auto"/>
          <w:lang w:val="en-GB"/>
        </w:rPr>
        <w:t xml:space="preserve">For hybrid </w:t>
      </w:r>
      <w:r w:rsidR="00617FEE" w:rsidRPr="00305E0F">
        <w:rPr>
          <w:color w:val="auto"/>
          <w:lang w:val="en-GB"/>
        </w:rPr>
        <w:t>pools</w:t>
      </w:r>
      <w:r w:rsidRPr="00305E0F">
        <w:rPr>
          <w:color w:val="auto"/>
          <w:lang w:val="en-GB"/>
        </w:rPr>
        <w:t xml:space="preserve"> of purchased retail receivables, where the purchasing bank cannot separate exposures secured by an immovable property </w:t>
      </w:r>
      <w:r w:rsidR="00617FEE" w:rsidRPr="00305E0F">
        <w:rPr>
          <w:color w:val="auto"/>
          <w:lang w:val="en-GB"/>
        </w:rPr>
        <w:t>collateral and qualifying revolving retail exposures</w:t>
      </w:r>
      <w:r w:rsidRPr="00305E0F">
        <w:rPr>
          <w:color w:val="auto"/>
          <w:lang w:val="en-GB"/>
        </w:rPr>
        <w:t xml:space="preserve"> from other retail exposures, the retail risk weight function </w:t>
      </w:r>
      <w:r w:rsidR="00617FEE" w:rsidRPr="00305E0F">
        <w:rPr>
          <w:color w:val="auto"/>
          <w:lang w:val="en-GB"/>
        </w:rPr>
        <w:t>producing </w:t>
      </w:r>
      <w:r w:rsidRPr="00305E0F">
        <w:rPr>
          <w:color w:val="auto"/>
          <w:lang w:val="en-GB"/>
        </w:rPr>
        <w:t>the highest capital requirements for those exposures shall appl</w:t>
      </w:r>
      <w:r w:rsidR="00617FEE" w:rsidRPr="00305E0F">
        <w:rPr>
          <w:color w:val="auto"/>
          <w:lang w:val="en-GB"/>
        </w:rPr>
        <w:t>y</w:t>
      </w:r>
      <w:r w:rsidRPr="00305E0F">
        <w:rPr>
          <w:color w:val="auto"/>
          <w:lang w:val="en-GB"/>
        </w:rPr>
        <w:t>.</w:t>
      </w:r>
      <w:bookmarkEnd w:id="85"/>
    </w:p>
    <w:p w14:paraId="6EDF5B9F" w14:textId="68C5675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The risk-weighted exposure amounts for </w:t>
      </w:r>
      <w:r w:rsidR="00617FEE" w:rsidRPr="00305E0F">
        <w:rPr>
          <w:color w:val="auto"/>
          <w:lang w:val="en-GB"/>
        </w:rPr>
        <w:t xml:space="preserve">other non credit-obligation assets </w:t>
      </w:r>
      <w:r w:rsidRPr="00305E0F">
        <w:rPr>
          <w:color w:val="auto"/>
          <w:lang w:val="en-GB"/>
        </w:rPr>
        <w:t>shall be calculated in accordance with the following formula:</w:t>
      </w:r>
    </w:p>
    <w:p w14:paraId="0742C2C7" w14:textId="2737108E" w:rsidR="00617FEE" w:rsidRPr="00305E0F" w:rsidRDefault="00617FEE">
      <w:pPr>
        <w:pStyle w:val="P68B1DB1-ListParagraph8"/>
        <w:shd w:val="clear" w:color="auto" w:fill="FFFFFF"/>
        <w:tabs>
          <w:tab w:val="left" w:pos="0"/>
          <w:tab w:val="left" w:pos="567"/>
        </w:tabs>
        <w:spacing w:before="60" w:after="0" w:line="240" w:lineRule="auto"/>
        <w:ind w:left="0" w:firstLine="567"/>
        <w:jc w:val="both"/>
        <w:rPr>
          <w:rFonts w:ascii="Cambria Math" w:eastAsiaTheme="minorEastAsia" w:hAnsi="Cambria Math"/>
          <w:i/>
          <w:iCs/>
          <w:color w:val="auto"/>
          <w:sz w:val="22"/>
          <w:lang w:val="en-GB"/>
        </w:rPr>
      </w:pPr>
      <w:r w:rsidRPr="00305E0F">
        <w:rPr>
          <w:rFonts w:ascii="Cambria Math" w:eastAsiaTheme="minorEastAsia" w:hAnsi="Cambria Math"/>
          <w:i/>
          <w:iCs/>
          <w:color w:val="auto"/>
          <w:sz w:val="22"/>
          <w:lang w:val="en-GB"/>
        </w:rPr>
        <w:t>Risk</w:t>
      </w:r>
      <w:r w:rsidRPr="00305E0F">
        <w:rPr>
          <w:rFonts w:ascii="Cambria Math" w:eastAsiaTheme="minorEastAsia" w:hAnsi="Cambria Math"/>
          <w:i/>
          <w:color w:val="auto"/>
          <w:sz w:val="22"/>
          <w:lang w:val="en-GB"/>
        </w:rPr>
        <w:t> – </w:t>
      </w:r>
      <w:r w:rsidRPr="00305E0F">
        <w:rPr>
          <w:rFonts w:ascii="Cambria Math" w:eastAsiaTheme="minorEastAsia" w:hAnsi="Cambria Math"/>
          <w:i/>
          <w:iCs/>
          <w:color w:val="auto"/>
          <w:sz w:val="22"/>
          <w:lang w:val="en-GB"/>
        </w:rPr>
        <w:t>weighted exposure amount</w:t>
      </w:r>
      <w:r w:rsidRPr="00305E0F">
        <w:rPr>
          <w:rFonts w:ascii="Cambria Math" w:eastAsiaTheme="minorEastAsia" w:hAnsi="Cambria Math"/>
          <w:i/>
          <w:color w:val="auto"/>
          <w:sz w:val="22"/>
          <w:lang w:val="en-GB"/>
        </w:rPr>
        <w:t xml:space="preserve"> = 100 % </w:t>
      </w:r>
      <w:r w:rsidRPr="00305E0F">
        <w:rPr>
          <w:rFonts w:ascii="Cambria" w:eastAsiaTheme="minorEastAsia" w:hAnsi="Cambria" w:cs="Cambria"/>
          <w:i/>
          <w:color w:val="auto"/>
          <w:sz w:val="22"/>
          <w:lang w:val="en-GB"/>
        </w:rPr>
        <w:t>·</w:t>
      </w:r>
      <w:r w:rsidRPr="00305E0F">
        <w:rPr>
          <w:rFonts w:ascii="Cambria Math" w:eastAsiaTheme="minorEastAsia" w:hAnsi="Cambria Math"/>
          <w:i/>
          <w:color w:val="auto"/>
          <w:sz w:val="22"/>
          <w:lang w:val="en-GB"/>
        </w:rPr>
        <w:t> </w:t>
      </w:r>
      <w:r w:rsidRPr="00305E0F">
        <w:rPr>
          <w:rFonts w:ascii="Cambria Math" w:eastAsiaTheme="minorEastAsia" w:hAnsi="Cambria Math"/>
          <w:i/>
          <w:iCs/>
          <w:color w:val="auto"/>
          <w:sz w:val="22"/>
          <w:lang w:val="en-GB"/>
        </w:rPr>
        <w:t>exposure value,</w:t>
      </w:r>
    </w:p>
    <w:p w14:paraId="2097707A" w14:textId="0682DD46" w:rsidR="00EB0050" w:rsidRPr="00305E0F" w:rsidRDefault="00B02122">
      <w:pPr>
        <w:pStyle w:val="P68B1DB1-ListParagraph8"/>
        <w:shd w:val="clear" w:color="auto" w:fill="FFFFFF"/>
        <w:tabs>
          <w:tab w:val="left" w:pos="0"/>
          <w:tab w:val="left" w:pos="567"/>
        </w:tabs>
        <w:spacing w:before="60" w:after="0" w:line="240" w:lineRule="auto"/>
        <w:ind w:left="0" w:firstLine="567"/>
        <w:jc w:val="both"/>
        <w:rPr>
          <w:color w:val="auto"/>
          <w:lang w:val="en-GB"/>
        </w:rPr>
      </w:pPr>
      <w:r w:rsidRPr="00305E0F">
        <w:rPr>
          <w:color w:val="auto"/>
          <w:lang w:val="en-GB"/>
        </w:rPr>
        <w:t>except for:</w:t>
      </w:r>
    </w:p>
    <w:p w14:paraId="5FB07F52" w14:textId="010E7306" w:rsidR="00EB0050" w:rsidRPr="00305E0F" w:rsidRDefault="00617FEE">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Cash in hand and equivalent cash items as well as gold bullion held in own vault or on an allocated basis to the extent backed by bullion liabilities, in which case a 0% risk-weight shall be assigned;</w:t>
      </w:r>
    </w:p>
    <w:p w14:paraId="7EC0B964" w14:textId="518DAB2A" w:rsidR="00EB0050" w:rsidRPr="00305E0F" w:rsidRDefault="00617FEE">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When the exposure is a residual value of leased assets in which case it shall be calculated as follows:</w:t>
      </w:r>
    </w:p>
    <w:p w14:paraId="74D2C9A2" w14:textId="3095F7D0" w:rsidR="00EB0050" w:rsidRPr="00305E0F" w:rsidRDefault="00000000">
      <w:pPr>
        <w:pStyle w:val="ListParagraph"/>
        <w:ind w:left="0" w:firstLine="567"/>
        <w:rPr>
          <w:rFonts w:ascii="Cambria Math" w:eastAsiaTheme="minorEastAsia" w:hAnsi="Cambria Math" w:cs="Times New Roman"/>
          <w:i/>
          <w:szCs w:val="24"/>
          <w:lang w:val="en-GB"/>
        </w:rPr>
      </w:pPr>
      <m:oMathPara>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t</m:t>
              </m:r>
            </m:den>
          </m:f>
          <m:r>
            <w:rPr>
              <w:rFonts w:ascii="Cambria Math" w:hAnsi="Cambria Math" w:cs="Times New Roman"/>
              <w:sz w:val="24"/>
              <w:szCs w:val="24"/>
              <w:lang w:val="en-GB"/>
            </w:rPr>
            <m:t xml:space="preserve"> · </m:t>
          </m:r>
          <m:r>
            <w:rPr>
              <w:rFonts w:ascii="Cambria Math" w:eastAsiaTheme="minorEastAsia" w:hAnsi="Cambria Math" w:cs="Times New Roman"/>
              <w:sz w:val="24"/>
              <w:szCs w:val="24"/>
              <w:lang w:val="en-GB"/>
            </w:rPr>
            <m:t xml:space="preserve">100% </m:t>
          </m:r>
          <m:r>
            <w:rPr>
              <w:rFonts w:ascii="Cambria Math" w:hAnsi="Cambria Math" w:cs="Times New Roman"/>
              <w:sz w:val="24"/>
              <w:szCs w:val="24"/>
              <w:lang w:val="en-GB"/>
            </w:rPr>
            <m:t>· exposure value</m:t>
          </m:r>
        </m:oMath>
      </m:oMathPara>
    </w:p>
    <w:p w14:paraId="2D305D4C" w14:textId="4948D6A9" w:rsidR="00EB0050" w:rsidRPr="00305E0F" w:rsidRDefault="00617FEE">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where t is the greater of 1 and the nearest number of whole years of the lease remaining.</w:t>
      </w:r>
    </w:p>
    <w:p w14:paraId="4C1A8854" w14:textId="3C20D017"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color w:val="auto"/>
          <w:lang w:val="en-GB"/>
        </w:rPr>
      </w:pPr>
      <w:r w:rsidRPr="00305E0F">
        <w:rPr>
          <w:color w:val="auto"/>
          <w:lang w:val="en-GB"/>
        </w:rPr>
        <w:t>Section 3</w:t>
      </w:r>
    </w:p>
    <w:p w14:paraId="42EC31C9" w14:textId="6BE6231D" w:rsidR="00EB0050" w:rsidRPr="00305E0F" w:rsidRDefault="00B02122">
      <w:pPr>
        <w:pStyle w:val="P68B1DB1-ListParagraph15"/>
        <w:shd w:val="clear" w:color="auto" w:fill="FFFFFF"/>
        <w:tabs>
          <w:tab w:val="left" w:pos="0"/>
          <w:tab w:val="left" w:pos="567"/>
        </w:tabs>
        <w:spacing w:before="60" w:after="0" w:line="240" w:lineRule="auto"/>
        <w:ind w:left="567"/>
        <w:jc w:val="center"/>
        <w:rPr>
          <w:bCs/>
          <w:iCs/>
          <w:color w:val="auto"/>
          <w:lang w:val="en-GB"/>
        </w:rPr>
      </w:pPr>
      <w:r w:rsidRPr="00305E0F">
        <w:rPr>
          <w:color w:val="auto"/>
          <w:lang w:val="en-GB"/>
        </w:rPr>
        <w:t>Calculation of risk-weighted exposure amounts for dilution risk of purchased receivables</w:t>
      </w:r>
    </w:p>
    <w:p w14:paraId="674AC009" w14:textId="07FA151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 </w:t>
      </w:r>
      <w:bookmarkStart w:id="86" w:name="_Ref215068985"/>
      <w:r w:rsidRPr="00305E0F">
        <w:rPr>
          <w:color w:val="auto"/>
          <w:lang w:val="en-GB"/>
        </w:rPr>
        <w:t xml:space="preserve">Banks </w:t>
      </w:r>
      <w:r w:rsidR="007F7E1B" w:rsidRPr="00305E0F">
        <w:rPr>
          <w:color w:val="auto"/>
          <w:lang w:val="en-GB"/>
        </w:rPr>
        <w:t>shall calculate the risk-weighted exposure amounts for dilution risk of purchased corporate and retail receivables in accordance with</w:t>
      </w:r>
      <w:r w:rsidRPr="00305E0F">
        <w:rPr>
          <w:color w:val="auto"/>
          <w:lang w:val="en-GB"/>
        </w:rPr>
        <w:t xml:space="preserve"> the formula set out in paragraph</w:t>
      </w:r>
      <w:r w:rsidR="00617FEE" w:rsidRPr="00305E0F">
        <w:rPr>
          <w:color w:val="auto"/>
          <w:lang w:val="en-GB"/>
        </w:rPr>
        <w:t xml:space="preserve"> </w:t>
      </w:r>
      <w:r w:rsidRPr="00305E0F">
        <w:rPr>
          <w:color w:val="auto"/>
          <w:lang w:val="en-GB"/>
        </w:rPr>
        <w:fldChar w:fldCharType="begin"/>
      </w:r>
      <w:r w:rsidRPr="00305E0F">
        <w:rPr>
          <w:color w:val="auto"/>
          <w:lang w:val="en-GB"/>
        </w:rPr>
        <w:instrText xml:space="preserve"> REF _Ref215047688 \r \h </w:instrText>
      </w:r>
      <w:r w:rsidRPr="00305E0F">
        <w:rPr>
          <w:color w:val="auto"/>
          <w:lang w:val="en-GB"/>
        </w:rPr>
      </w:r>
      <w:r w:rsidRPr="00305E0F">
        <w:rPr>
          <w:color w:val="auto"/>
          <w:lang w:val="en-GB"/>
        </w:rPr>
        <w:fldChar w:fldCharType="separate"/>
      </w:r>
      <w:r w:rsidR="00594C05" w:rsidRPr="00305E0F">
        <w:rPr>
          <w:color w:val="auto"/>
          <w:lang w:val="en-GB"/>
        </w:rPr>
        <w:t>71</w:t>
      </w:r>
      <w:r w:rsidRPr="00305E0F">
        <w:rPr>
          <w:color w:val="auto"/>
          <w:lang w:val="en-GB"/>
        </w:rPr>
        <w:fldChar w:fldCharType="end"/>
      </w:r>
      <w:r w:rsidRPr="00305E0F">
        <w:rPr>
          <w:color w:val="auto"/>
          <w:lang w:val="en-GB"/>
        </w:rPr>
        <w:t>.</w:t>
      </w:r>
      <w:bookmarkEnd w:id="86"/>
    </w:p>
    <w:p w14:paraId="39B6016C" w14:textId="0240DDC9"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Banks shall determine the PD and LGD input parameters in accordance with Chapter IV.</w:t>
      </w:r>
    </w:p>
    <w:p w14:paraId="16615225" w14:textId="659E56C0"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lastRenderedPageBreak/>
        <w:t>Banks shall determine the exposure value in accordance with Chapter VI.</w:t>
      </w:r>
    </w:p>
    <w:p w14:paraId="2E991AFA" w14:textId="0672EED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For the purposes of this Section, the value of M shall be 1 year.</w:t>
      </w:r>
    </w:p>
    <w:p w14:paraId="665B8478" w14:textId="196A6CA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87" w:name="_Ref215061732"/>
      <w:r w:rsidRPr="00305E0F">
        <w:rPr>
          <w:color w:val="auto"/>
          <w:lang w:val="en-GB"/>
        </w:rPr>
        <w:t xml:space="preserve"> </w:t>
      </w:r>
      <w:bookmarkStart w:id="88" w:name="_Ref215221235"/>
      <w:r w:rsidRPr="00305E0F">
        <w:rPr>
          <w:color w:val="auto"/>
          <w:lang w:val="en-GB"/>
        </w:rPr>
        <w:t xml:space="preserve">The National Bank of Moldova shall exempt a bank from the calculation and recognition of risk-weighted exposure amounts for dilution risk of a type of exposures caused by purchased corporate or retail receivables, if the bank has demonstrated to the satisfaction of the National Bank of Moldova that the dilution risk for that bank is </w:t>
      </w:r>
      <w:r w:rsidR="007F7E1B" w:rsidRPr="00305E0F">
        <w:rPr>
          <w:color w:val="auto"/>
          <w:lang w:val="en-GB"/>
        </w:rPr>
        <w:t>immaterial</w:t>
      </w:r>
      <w:r w:rsidRPr="00305E0F">
        <w:rPr>
          <w:color w:val="auto"/>
          <w:lang w:val="en-GB"/>
        </w:rPr>
        <w:t xml:space="preserve"> for this type of exposures.</w:t>
      </w:r>
      <w:bookmarkEnd w:id="87"/>
      <w:bookmarkEnd w:id="88"/>
    </w:p>
    <w:p w14:paraId="6822EB29" w14:textId="6F3F44BA"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color w:val="auto"/>
          <w:lang w:val="en-GB"/>
        </w:rPr>
      </w:pPr>
      <w:r w:rsidRPr="00305E0F">
        <w:rPr>
          <w:color w:val="auto"/>
          <w:lang w:val="en-GB"/>
        </w:rPr>
        <w:t>Section 4</w:t>
      </w:r>
    </w:p>
    <w:p w14:paraId="2B29F818" w14:textId="3CB4C3B4" w:rsidR="00EB0050" w:rsidRPr="00305E0F" w:rsidRDefault="00B02122">
      <w:pPr>
        <w:pStyle w:val="P68B1DB1-ListParagraph15"/>
        <w:shd w:val="clear" w:color="auto" w:fill="FFFFFF"/>
        <w:tabs>
          <w:tab w:val="left" w:pos="0"/>
          <w:tab w:val="left" w:pos="567"/>
        </w:tabs>
        <w:spacing w:before="60" w:after="0" w:line="240" w:lineRule="auto"/>
        <w:ind w:left="0"/>
        <w:jc w:val="center"/>
        <w:rPr>
          <w:bCs/>
          <w:iCs/>
          <w:color w:val="auto"/>
          <w:lang w:val="en-GB"/>
        </w:rPr>
      </w:pPr>
      <w:r w:rsidRPr="00305E0F">
        <w:rPr>
          <w:color w:val="auto"/>
          <w:lang w:val="en-GB"/>
        </w:rPr>
        <w:t>Expected loss amounts</w:t>
      </w:r>
    </w:p>
    <w:p w14:paraId="3B8850E2" w14:textId="0852D590" w:rsidR="00EB0050" w:rsidRPr="00305E0F" w:rsidRDefault="00B02122">
      <w:pPr>
        <w:pStyle w:val="P68B1DB1-Normal16"/>
        <w:shd w:val="clear" w:color="auto" w:fill="FFFFFF"/>
        <w:tabs>
          <w:tab w:val="left" w:pos="0"/>
          <w:tab w:val="left" w:pos="567"/>
        </w:tabs>
        <w:spacing w:before="120" w:after="0" w:line="240" w:lineRule="auto"/>
        <w:jc w:val="center"/>
        <w:rPr>
          <w:bCs/>
          <w:iCs/>
          <w:color w:val="auto"/>
          <w:lang w:val="en-GB"/>
        </w:rPr>
      </w:pPr>
      <w:r w:rsidRPr="00305E0F">
        <w:rPr>
          <w:color w:val="auto"/>
          <w:lang w:val="en-GB"/>
        </w:rPr>
        <w:t>Subsection 1</w:t>
      </w:r>
    </w:p>
    <w:p w14:paraId="77FE6646" w14:textId="372157A8" w:rsidR="00EB0050" w:rsidRPr="00305E0F" w:rsidRDefault="00B02122">
      <w:pPr>
        <w:pStyle w:val="P68B1DB1-ListParagraph15"/>
        <w:shd w:val="clear" w:color="auto" w:fill="FFFFFF"/>
        <w:tabs>
          <w:tab w:val="left" w:pos="0"/>
          <w:tab w:val="left" w:pos="567"/>
        </w:tabs>
        <w:spacing w:after="120" w:line="240" w:lineRule="auto"/>
        <w:ind w:left="0"/>
        <w:contextualSpacing w:val="0"/>
        <w:jc w:val="center"/>
        <w:rPr>
          <w:color w:val="auto"/>
          <w:lang w:val="en-GB"/>
        </w:rPr>
      </w:pPr>
      <w:r w:rsidRPr="00305E0F">
        <w:rPr>
          <w:color w:val="auto"/>
          <w:lang w:val="en-GB"/>
        </w:rPr>
        <w:t xml:space="preserve">Treatment by </w:t>
      </w:r>
      <w:r w:rsidR="007F7E1B" w:rsidRPr="00305E0F">
        <w:rPr>
          <w:color w:val="auto"/>
          <w:lang w:val="en-GB"/>
        </w:rPr>
        <w:t xml:space="preserve">exposure </w:t>
      </w:r>
      <w:r w:rsidRPr="00305E0F">
        <w:rPr>
          <w:color w:val="auto"/>
          <w:lang w:val="en-GB"/>
        </w:rPr>
        <w:t>type</w:t>
      </w:r>
    </w:p>
    <w:p w14:paraId="17E0639E" w14:textId="727322C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89" w:name="_Ref215086495"/>
      <w:r w:rsidRPr="00305E0F">
        <w:rPr>
          <w:color w:val="auto"/>
          <w:lang w:val="en-GB"/>
        </w:rPr>
        <w:t xml:space="preserve">The calculation of expected loss amounts shall be based on the same inputs of PD and LGD and the same exposure value for each exposure as those used for the calculation of risk-weighted exposure amounts in accordance with paragraphs </w:t>
      </w:r>
      <w:r w:rsidRPr="00305E0F">
        <w:rPr>
          <w:color w:val="auto"/>
          <w:lang w:val="en-GB"/>
        </w:rPr>
        <w:fldChar w:fldCharType="begin"/>
      </w:r>
      <w:r w:rsidRPr="00305E0F">
        <w:rPr>
          <w:color w:val="auto"/>
          <w:lang w:val="en-GB"/>
        </w:rPr>
        <w:instrText xml:space="preserve"> REF _Ref215084080 \r \h </w:instrText>
      </w:r>
      <w:r w:rsidRPr="00305E0F">
        <w:rPr>
          <w:color w:val="auto"/>
          <w:lang w:val="en-GB"/>
        </w:rPr>
      </w:r>
      <w:r w:rsidRPr="00305E0F">
        <w:rPr>
          <w:color w:val="auto"/>
          <w:lang w:val="en-GB"/>
        </w:rPr>
        <w:fldChar w:fldCharType="separate"/>
      </w:r>
      <w:r w:rsidR="00594C05" w:rsidRPr="00305E0F">
        <w:rPr>
          <w:color w:val="auto"/>
          <w:lang w:val="en-GB"/>
        </w:rPr>
        <w:t>48</w:t>
      </w:r>
      <w:r w:rsidRPr="00305E0F">
        <w:rPr>
          <w:color w:val="auto"/>
          <w:lang w:val="en-GB"/>
        </w:rPr>
        <w:fldChar w:fldCharType="end"/>
      </w:r>
      <w:r w:rsidR="007F7E1B" w:rsidRPr="00305E0F">
        <w:rPr>
          <w:color w:val="auto"/>
          <w:lang w:val="en-GB"/>
        </w:rPr>
        <w:t>-</w:t>
      </w:r>
      <w:r w:rsidRPr="00305E0F">
        <w:rPr>
          <w:color w:val="auto"/>
          <w:lang w:val="en-GB"/>
        </w:rPr>
        <w:fldChar w:fldCharType="begin"/>
      </w:r>
      <w:r w:rsidRPr="00305E0F">
        <w:rPr>
          <w:color w:val="auto"/>
          <w:lang w:val="en-GB"/>
        </w:rPr>
        <w:instrText xml:space="preserve"> REF _Ref215084092 \r \h </w:instrText>
      </w:r>
      <w:r w:rsidRPr="00305E0F">
        <w:rPr>
          <w:color w:val="auto"/>
          <w:lang w:val="en-GB"/>
        </w:rPr>
      </w:r>
      <w:r w:rsidRPr="00305E0F">
        <w:rPr>
          <w:color w:val="auto"/>
          <w:lang w:val="en-GB"/>
        </w:rPr>
        <w:fldChar w:fldCharType="separate"/>
      </w:r>
      <w:r w:rsidR="00594C05" w:rsidRPr="00305E0F">
        <w:rPr>
          <w:color w:val="auto"/>
          <w:lang w:val="en-GB"/>
        </w:rPr>
        <w:t>58</w:t>
      </w:r>
      <w:r w:rsidRPr="00305E0F">
        <w:rPr>
          <w:color w:val="auto"/>
          <w:lang w:val="en-GB"/>
        </w:rPr>
        <w:fldChar w:fldCharType="end"/>
      </w:r>
      <w:r w:rsidRPr="00305E0F">
        <w:rPr>
          <w:color w:val="auto"/>
          <w:lang w:val="en-GB"/>
        </w:rPr>
        <w:t>.</w:t>
      </w:r>
      <w:bookmarkEnd w:id="89"/>
    </w:p>
    <w:p w14:paraId="165A6C2F" w14:textId="24BAF3D9"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Expected loss amounts for </w:t>
      </w:r>
      <w:r w:rsidR="007F7E1B" w:rsidRPr="00305E0F">
        <w:rPr>
          <w:color w:val="auto"/>
          <w:lang w:val="en-GB"/>
        </w:rPr>
        <w:t xml:space="preserve">securitised exposures </w:t>
      </w:r>
      <w:r w:rsidRPr="00305E0F">
        <w:rPr>
          <w:color w:val="auto"/>
          <w:lang w:val="en-GB"/>
        </w:rPr>
        <w:t xml:space="preserve">shall be calculated in accordance with the normative acts of the National Bank of Moldova </w:t>
      </w:r>
      <w:r w:rsidR="007F7E1B" w:rsidRPr="00305E0F">
        <w:rPr>
          <w:color w:val="auto"/>
          <w:lang w:val="en-GB"/>
        </w:rPr>
        <w:t>on</w:t>
      </w:r>
      <w:r w:rsidRPr="00305E0F">
        <w:rPr>
          <w:color w:val="auto"/>
          <w:lang w:val="en-GB"/>
        </w:rPr>
        <w:t xml:space="preserve"> the prudential treatment of securitisations. </w:t>
      </w:r>
    </w:p>
    <w:p w14:paraId="25F4FB00" w14:textId="03D81CC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The expected loss amount shall be zero for exposures </w:t>
      </w:r>
      <w:r w:rsidR="007F7E1B" w:rsidRPr="00305E0F">
        <w:rPr>
          <w:color w:val="auto"/>
          <w:lang w:val="en-GB"/>
        </w:rPr>
        <w:t>belonging</w:t>
      </w:r>
      <w:r w:rsidRPr="00305E0F">
        <w:rPr>
          <w:color w:val="auto"/>
          <w:lang w:val="en-GB"/>
        </w:rPr>
        <w:t xml:space="preserve"> to the exposure class </w:t>
      </w:r>
      <w:r w:rsidR="007F7E1B" w:rsidRPr="00305E0F">
        <w:rPr>
          <w:color w:val="auto"/>
          <w:lang w:val="en-GB"/>
        </w:rPr>
        <w:t xml:space="preserve">“other non credit obligations assets” </w:t>
      </w:r>
      <w:r w:rsidRPr="00305E0F">
        <w:rPr>
          <w:color w:val="auto"/>
          <w:lang w:val="en-GB"/>
        </w:rPr>
        <w:t xml:space="preserve">referred to in </w:t>
      </w:r>
      <w:r w:rsidR="007F7E1B"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7F7E1B"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_Ref214986145 \r \h </w:instrText>
      </w:r>
      <w:r w:rsidRPr="00305E0F">
        <w:rPr>
          <w:color w:val="auto"/>
          <w:lang w:val="en-GB"/>
        </w:rPr>
      </w:r>
      <w:r w:rsidRPr="00305E0F">
        <w:rPr>
          <w:color w:val="auto"/>
          <w:lang w:val="en-GB"/>
        </w:rPr>
        <w:fldChar w:fldCharType="separate"/>
      </w:r>
      <w:r w:rsidR="00594C05" w:rsidRPr="00305E0F">
        <w:rPr>
          <w:color w:val="auto"/>
          <w:lang w:val="en-GB"/>
        </w:rPr>
        <w:t>19.9</w:t>
      </w:r>
      <w:r w:rsidRPr="00305E0F">
        <w:rPr>
          <w:color w:val="auto"/>
          <w:lang w:val="en-GB"/>
        </w:rPr>
        <w:fldChar w:fldCharType="end"/>
      </w:r>
      <w:r w:rsidRPr="00305E0F">
        <w:rPr>
          <w:color w:val="auto"/>
          <w:lang w:val="en-GB"/>
        </w:rPr>
        <w:t xml:space="preserve">. </w:t>
      </w:r>
    </w:p>
    <w:p w14:paraId="29B52993" w14:textId="25B7A388"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90" w:name="_Ref215086502"/>
      <w:r w:rsidRPr="00305E0F">
        <w:rPr>
          <w:color w:val="auto"/>
          <w:lang w:val="en-GB"/>
        </w:rPr>
        <w:t xml:space="preserve">The expected loss amounts for exposures in the form of shares or units of a CIU referred to in paragraphs </w:t>
      </w:r>
      <w:r w:rsidRPr="00305E0F">
        <w:rPr>
          <w:color w:val="auto"/>
          <w:lang w:val="en-GB"/>
        </w:rPr>
        <w:fldChar w:fldCharType="begin"/>
      </w:r>
      <w:r w:rsidRPr="00305E0F">
        <w:rPr>
          <w:color w:val="auto"/>
          <w:lang w:val="en-GB"/>
        </w:rPr>
        <w:instrText xml:space="preserve"> REF _Ref215041959 \r \h </w:instrText>
      </w:r>
      <w:r w:rsidRPr="00305E0F">
        <w:rPr>
          <w:color w:val="auto"/>
          <w:lang w:val="en-GB"/>
        </w:rPr>
      </w:r>
      <w:r w:rsidRPr="00305E0F">
        <w:rPr>
          <w:color w:val="auto"/>
          <w:lang w:val="en-GB"/>
        </w:rPr>
        <w:fldChar w:fldCharType="separate"/>
      </w:r>
      <w:r w:rsidR="00594C05" w:rsidRPr="00305E0F">
        <w:rPr>
          <w:color w:val="auto"/>
          <w:lang w:val="en-GB"/>
        </w:rPr>
        <w:t>59</w:t>
      </w:r>
      <w:r w:rsidRPr="00305E0F">
        <w:rPr>
          <w:color w:val="auto"/>
          <w:lang w:val="en-GB"/>
        </w:rPr>
        <w:fldChar w:fldCharType="end"/>
      </w:r>
      <w:r w:rsidR="007F7E1B" w:rsidRPr="00305E0F">
        <w:rPr>
          <w:color w:val="auto"/>
          <w:lang w:val="en-GB"/>
        </w:rPr>
        <w:t>-</w:t>
      </w:r>
      <w:r w:rsidRPr="00305E0F">
        <w:rPr>
          <w:color w:val="auto"/>
          <w:lang w:val="en-GB"/>
        </w:rPr>
        <w:fldChar w:fldCharType="begin"/>
      </w:r>
      <w:r w:rsidRPr="00305E0F">
        <w:rPr>
          <w:color w:val="auto"/>
          <w:lang w:val="en-GB"/>
        </w:rPr>
        <w:instrText xml:space="preserve"> REF _Ref215069159 \r \h </w:instrText>
      </w:r>
      <w:r w:rsidRPr="00305E0F">
        <w:rPr>
          <w:color w:val="auto"/>
          <w:lang w:val="en-GB"/>
        </w:rPr>
      </w:r>
      <w:r w:rsidRPr="00305E0F">
        <w:rPr>
          <w:color w:val="auto"/>
          <w:lang w:val="en-GB"/>
        </w:rPr>
        <w:fldChar w:fldCharType="separate"/>
      </w:r>
      <w:r w:rsidR="00594C05" w:rsidRPr="00305E0F">
        <w:rPr>
          <w:color w:val="auto"/>
          <w:lang w:val="en-GB"/>
        </w:rPr>
        <w:t>70</w:t>
      </w:r>
      <w:r w:rsidRPr="00305E0F">
        <w:rPr>
          <w:color w:val="auto"/>
          <w:lang w:val="en-GB"/>
        </w:rPr>
        <w:fldChar w:fldCharType="end"/>
      </w:r>
      <w:r w:rsidRPr="00305E0F">
        <w:rPr>
          <w:color w:val="auto"/>
          <w:lang w:val="en-GB"/>
        </w:rPr>
        <w:t xml:space="preserve"> shall be calculated in accordance with the methods set out in this Section. </w:t>
      </w:r>
      <w:bookmarkEnd w:id="90"/>
    </w:p>
    <w:p w14:paraId="2608A307" w14:textId="4ED47D91"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bookmarkStart w:id="91" w:name="_Ref215086356"/>
      <w:r w:rsidRPr="00305E0F">
        <w:rPr>
          <w:color w:val="auto"/>
          <w:sz w:val="24"/>
          <w:szCs w:val="24"/>
          <w:lang w:val="en-GB"/>
        </w:rPr>
        <w:t xml:space="preserve">The expected loss (EL) and expected loss amounts for exposures to corporates, banks, central governments and central banks, regional governments, local authorities and public sector entities, as well as for retail exposures, shall be calculated in accordance with the following formulae: </w:t>
      </w:r>
      <w:bookmarkEnd w:id="91"/>
    </w:p>
    <w:p w14:paraId="560F90F1" w14:textId="4B3CF8D4" w:rsidR="00EB0050" w:rsidRPr="00305E0F" w:rsidRDefault="00B02122">
      <w:pPr>
        <w:pStyle w:val="P68B1DB1-ListParagraph8"/>
        <w:shd w:val="clear" w:color="auto" w:fill="FFFFFF"/>
        <w:tabs>
          <w:tab w:val="left" w:pos="0"/>
          <w:tab w:val="left" w:pos="567"/>
        </w:tabs>
        <w:spacing w:before="60" w:after="0" w:line="240" w:lineRule="auto"/>
        <w:ind w:left="0" w:firstLine="567"/>
        <w:jc w:val="both"/>
        <w:rPr>
          <w:color w:val="auto"/>
          <w:lang w:val="en-GB"/>
        </w:rPr>
      </w:pPr>
      <w:r w:rsidRPr="00305E0F">
        <w:rPr>
          <w:i/>
          <w:color w:val="auto"/>
          <w:lang w:val="en-GB"/>
        </w:rPr>
        <w:t>Expected loss (EL)</w:t>
      </w:r>
      <w:r w:rsidRPr="00305E0F">
        <w:rPr>
          <w:color w:val="auto"/>
          <w:lang w:val="en-GB"/>
        </w:rPr>
        <w:t xml:space="preserve"> = PD ∙</w:t>
      </w:r>
      <w:r w:rsidR="007F7E1B" w:rsidRPr="00305E0F">
        <w:rPr>
          <w:color w:val="auto"/>
          <w:lang w:val="en-GB"/>
        </w:rPr>
        <w:t xml:space="preserve"> </w:t>
      </w:r>
      <w:r w:rsidRPr="00305E0F">
        <w:rPr>
          <w:color w:val="auto"/>
          <w:lang w:val="en-GB"/>
        </w:rPr>
        <w:t>LGD;</w:t>
      </w:r>
    </w:p>
    <w:p w14:paraId="2E384B83" w14:textId="43CDE774" w:rsidR="00EB0050" w:rsidRPr="00305E0F" w:rsidRDefault="00B02122">
      <w:pPr>
        <w:pStyle w:val="P68B1DB1-ListParagraph8"/>
        <w:shd w:val="clear" w:color="auto" w:fill="FFFFFF"/>
        <w:tabs>
          <w:tab w:val="left" w:pos="0"/>
          <w:tab w:val="left" w:pos="567"/>
        </w:tabs>
        <w:spacing w:before="60" w:after="0" w:line="240" w:lineRule="auto"/>
        <w:ind w:left="0" w:firstLine="567"/>
        <w:jc w:val="both"/>
        <w:rPr>
          <w:color w:val="auto"/>
          <w:lang w:val="en-GB"/>
        </w:rPr>
      </w:pPr>
      <w:r w:rsidRPr="00305E0F">
        <w:rPr>
          <w:i/>
          <w:color w:val="auto"/>
          <w:lang w:val="en-GB"/>
        </w:rPr>
        <w:t>Expected loss amount =</w:t>
      </w:r>
      <w:r w:rsidRPr="00305E0F">
        <w:rPr>
          <w:color w:val="auto"/>
          <w:lang w:val="en-GB"/>
        </w:rPr>
        <w:t xml:space="preserve"> EL multiplied by the exposure value.</w:t>
      </w:r>
    </w:p>
    <w:p w14:paraId="15762E61" w14:textId="280775C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92" w:name="_Ref215221320"/>
      <w:r w:rsidRPr="00305E0F">
        <w:rPr>
          <w:color w:val="auto"/>
          <w:lang w:val="en-GB"/>
        </w:rPr>
        <w:t>For defaulted exposures (PD = 100%), where banks use own estimates of LGD, EL shall be EL</w:t>
      </w:r>
      <w:r w:rsidRPr="00305E0F">
        <w:rPr>
          <w:color w:val="auto"/>
          <w:vertAlign w:val="subscript"/>
          <w:lang w:val="en-GB"/>
        </w:rPr>
        <w:t xml:space="preserve"> BE</w:t>
      </w:r>
      <w:r w:rsidRPr="00305E0F">
        <w:rPr>
          <w:color w:val="auto"/>
          <w:lang w:val="en-GB"/>
        </w:rPr>
        <w:t xml:space="preserve">, i.e. the bank’s best estimate of expected loss for the defaulted exposure, in accordance with </w:t>
      </w:r>
      <w:r w:rsidR="007F7E1B"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_Ref232087683 \r \h </w:instrText>
      </w:r>
      <w:r w:rsidRPr="00305E0F">
        <w:rPr>
          <w:color w:val="auto"/>
          <w:lang w:val="en-GB"/>
        </w:rPr>
      </w:r>
      <w:r w:rsidRPr="00305E0F">
        <w:rPr>
          <w:color w:val="auto"/>
          <w:lang w:val="en-GB"/>
        </w:rPr>
        <w:fldChar w:fldCharType="separate"/>
      </w:r>
      <w:r w:rsidR="00594C05" w:rsidRPr="00305E0F">
        <w:rPr>
          <w:color w:val="auto"/>
          <w:lang w:val="en-GB"/>
        </w:rPr>
        <w:t>202.8</w:t>
      </w:r>
      <w:r w:rsidRPr="00305E0F">
        <w:rPr>
          <w:color w:val="auto"/>
          <w:lang w:val="en-GB"/>
        </w:rPr>
        <w:fldChar w:fldCharType="end"/>
      </w:r>
      <w:r w:rsidRPr="00305E0F">
        <w:rPr>
          <w:color w:val="auto"/>
          <w:lang w:val="en-GB"/>
        </w:rPr>
        <w:t>.</w:t>
      </w:r>
      <w:bookmarkEnd w:id="92"/>
    </w:p>
    <w:p w14:paraId="3D55E77C" w14:textId="69164F53"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93" w:name="_Ref215086365"/>
      <w:r w:rsidRPr="00305E0F">
        <w:rPr>
          <w:color w:val="auto"/>
          <w:lang w:val="en-GB"/>
        </w:rPr>
        <w:t xml:space="preserve">For specialised lending exposures, where banks use the methods set out in </w:t>
      </w:r>
      <w:r w:rsidR="007F7E1B" w:rsidRPr="00305E0F">
        <w:rPr>
          <w:color w:val="auto"/>
          <w:lang w:val="en-GB"/>
        </w:rPr>
        <w:t>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_Ref215086557 \r \h </w:instrText>
      </w:r>
      <w:r w:rsidRPr="00305E0F">
        <w:rPr>
          <w:color w:val="auto"/>
          <w:lang w:val="en-GB"/>
        </w:rPr>
      </w:r>
      <w:r w:rsidRPr="00305E0F">
        <w:rPr>
          <w:color w:val="auto"/>
          <w:lang w:val="en-GB"/>
        </w:rPr>
        <w:fldChar w:fldCharType="separate"/>
      </w:r>
      <w:r w:rsidR="00594C05" w:rsidRPr="00305E0F">
        <w:rPr>
          <w:color w:val="auto"/>
          <w:lang w:val="en-GB"/>
        </w:rPr>
        <w:t>75</w:t>
      </w:r>
      <w:r w:rsidRPr="00305E0F">
        <w:rPr>
          <w:color w:val="auto"/>
          <w:lang w:val="en-GB"/>
        </w:rPr>
        <w:fldChar w:fldCharType="end"/>
      </w:r>
      <w:r w:rsidR="007F7E1B" w:rsidRPr="00305E0F">
        <w:rPr>
          <w:color w:val="auto"/>
          <w:lang w:val="en-GB"/>
        </w:rPr>
        <w:t>-</w:t>
      </w:r>
      <w:r w:rsidRPr="00305E0F">
        <w:rPr>
          <w:color w:val="auto"/>
          <w:lang w:val="en-GB"/>
        </w:rPr>
        <w:fldChar w:fldCharType="begin"/>
      </w:r>
      <w:r w:rsidRPr="00305E0F">
        <w:rPr>
          <w:color w:val="auto"/>
          <w:lang w:val="en-GB"/>
        </w:rPr>
        <w:instrText xml:space="preserve"> REF _Ref215086567 \r \h </w:instrText>
      </w:r>
      <w:r w:rsidRPr="00305E0F">
        <w:rPr>
          <w:color w:val="auto"/>
          <w:lang w:val="en-GB"/>
        </w:rPr>
      </w:r>
      <w:r w:rsidRPr="00305E0F">
        <w:rPr>
          <w:color w:val="auto"/>
          <w:lang w:val="en-GB"/>
        </w:rPr>
        <w:fldChar w:fldCharType="separate"/>
      </w:r>
      <w:r w:rsidR="00594C05" w:rsidRPr="00305E0F">
        <w:rPr>
          <w:color w:val="auto"/>
          <w:lang w:val="en-GB"/>
        </w:rPr>
        <w:t>76</w:t>
      </w:r>
      <w:r w:rsidRPr="00305E0F">
        <w:rPr>
          <w:color w:val="auto"/>
          <w:lang w:val="en-GB"/>
        </w:rPr>
        <w:fldChar w:fldCharType="end"/>
      </w:r>
      <w:r w:rsidRPr="00305E0F">
        <w:rPr>
          <w:color w:val="auto"/>
          <w:lang w:val="en-GB"/>
        </w:rPr>
        <w:t xml:space="preserve"> for assigning risk weights, expected loss </w:t>
      </w:r>
      <w:r w:rsidR="007F7E1B" w:rsidRPr="00305E0F">
        <w:rPr>
          <w:color w:val="auto"/>
          <w:lang w:val="en-GB"/>
        </w:rPr>
        <w:t>values</w:t>
      </w:r>
      <w:r w:rsidRPr="00305E0F">
        <w:rPr>
          <w:color w:val="auto"/>
          <w:lang w:val="en-GB"/>
        </w:rPr>
        <w:t xml:space="preserve"> shall be assigned in accordance with Table 2.</w:t>
      </w:r>
      <w:bookmarkEnd w:id="93"/>
    </w:p>
    <w:p w14:paraId="239E4B94" w14:textId="33E4427E" w:rsidR="00EB0050" w:rsidRPr="00305E0F" w:rsidRDefault="00B02122">
      <w:pPr>
        <w:pStyle w:val="P68B1DB1-ListParagraph18"/>
        <w:shd w:val="clear" w:color="auto" w:fill="FFFFFF"/>
        <w:tabs>
          <w:tab w:val="left" w:pos="0"/>
          <w:tab w:val="left" w:pos="567"/>
        </w:tabs>
        <w:spacing w:after="120" w:line="240" w:lineRule="auto"/>
        <w:ind w:left="0"/>
        <w:contextualSpacing w:val="0"/>
        <w:jc w:val="right"/>
        <w:rPr>
          <w:iCs/>
          <w:color w:val="auto"/>
          <w:lang w:val="en-GB"/>
        </w:rPr>
      </w:pPr>
      <w:r w:rsidRPr="00305E0F">
        <w:rPr>
          <w:color w:val="auto"/>
          <w:lang w:val="en-GB"/>
        </w:rPr>
        <w:t>Table 2</w:t>
      </w:r>
    </w:p>
    <w:tbl>
      <w:tblPr>
        <w:tblStyle w:val="TableGrid"/>
        <w:tblW w:w="0" w:type="auto"/>
        <w:jc w:val="center"/>
        <w:tblLook w:val="04A0" w:firstRow="1" w:lastRow="0" w:firstColumn="1" w:lastColumn="0" w:noHBand="0" w:noVBand="1"/>
      </w:tblPr>
      <w:tblGrid>
        <w:gridCol w:w="1985"/>
        <w:gridCol w:w="1418"/>
        <w:gridCol w:w="1417"/>
        <w:gridCol w:w="1418"/>
        <w:gridCol w:w="1417"/>
        <w:gridCol w:w="1560"/>
      </w:tblGrid>
      <w:tr w:rsidR="00305E0F" w:rsidRPr="00305E0F" w14:paraId="623910A9" w14:textId="77777777">
        <w:trPr>
          <w:jc w:val="center"/>
        </w:trPr>
        <w:tc>
          <w:tcPr>
            <w:tcW w:w="1985" w:type="dxa"/>
            <w:vAlign w:val="center"/>
          </w:tcPr>
          <w:p w14:paraId="0121923B" w14:textId="2145DFFB" w:rsidR="00EB0050" w:rsidRPr="00305E0F" w:rsidRDefault="00B02122">
            <w:pPr>
              <w:pStyle w:val="P68B1DB1-ListParagraph21"/>
              <w:ind w:left="0"/>
              <w:contextualSpacing w:val="0"/>
              <w:rPr>
                <w:bCs/>
                <w:lang w:val="en-GB"/>
              </w:rPr>
            </w:pPr>
            <w:r w:rsidRPr="00305E0F">
              <w:rPr>
                <w:lang w:val="en-GB"/>
              </w:rPr>
              <w:t xml:space="preserve">Remaining </w:t>
            </w:r>
            <w:r w:rsidR="007F7E1B" w:rsidRPr="00305E0F">
              <w:rPr>
                <w:lang w:val="en-GB"/>
              </w:rPr>
              <w:t>M</w:t>
            </w:r>
            <w:r w:rsidRPr="00305E0F">
              <w:rPr>
                <w:lang w:val="en-GB"/>
              </w:rPr>
              <w:t>aturity</w:t>
            </w:r>
          </w:p>
        </w:tc>
        <w:tc>
          <w:tcPr>
            <w:tcW w:w="1418" w:type="dxa"/>
            <w:vAlign w:val="center"/>
          </w:tcPr>
          <w:p w14:paraId="7FF3907C" w14:textId="77777777" w:rsidR="00EB0050" w:rsidRPr="00305E0F" w:rsidRDefault="00B02122">
            <w:pPr>
              <w:pStyle w:val="P68B1DB1-ListParagraph21"/>
              <w:spacing w:before="120" w:after="120"/>
              <w:ind w:left="0"/>
              <w:contextualSpacing w:val="0"/>
              <w:jc w:val="center"/>
              <w:rPr>
                <w:bCs/>
                <w:lang w:val="en-GB"/>
              </w:rPr>
            </w:pPr>
            <w:r w:rsidRPr="00305E0F">
              <w:rPr>
                <w:lang w:val="en-GB"/>
              </w:rPr>
              <w:t>Category 1</w:t>
            </w:r>
          </w:p>
        </w:tc>
        <w:tc>
          <w:tcPr>
            <w:tcW w:w="1417" w:type="dxa"/>
            <w:vAlign w:val="center"/>
          </w:tcPr>
          <w:p w14:paraId="3DFAE7F3" w14:textId="77777777" w:rsidR="00EB0050" w:rsidRPr="00305E0F" w:rsidRDefault="00B02122">
            <w:pPr>
              <w:pStyle w:val="P68B1DB1-ListParagraph21"/>
              <w:spacing w:before="120" w:after="120"/>
              <w:ind w:left="0"/>
              <w:contextualSpacing w:val="0"/>
              <w:jc w:val="center"/>
              <w:rPr>
                <w:bCs/>
                <w:lang w:val="en-GB"/>
              </w:rPr>
            </w:pPr>
            <w:r w:rsidRPr="00305E0F">
              <w:rPr>
                <w:lang w:val="en-GB"/>
              </w:rPr>
              <w:t>Category 2</w:t>
            </w:r>
          </w:p>
        </w:tc>
        <w:tc>
          <w:tcPr>
            <w:tcW w:w="1418" w:type="dxa"/>
            <w:vAlign w:val="center"/>
          </w:tcPr>
          <w:p w14:paraId="5DA120E1" w14:textId="77777777" w:rsidR="00EB0050" w:rsidRPr="00305E0F" w:rsidRDefault="00B02122">
            <w:pPr>
              <w:pStyle w:val="P68B1DB1-ListParagraph21"/>
              <w:spacing w:before="120" w:after="120"/>
              <w:ind w:left="0"/>
              <w:contextualSpacing w:val="0"/>
              <w:jc w:val="center"/>
              <w:rPr>
                <w:bCs/>
                <w:lang w:val="en-GB"/>
              </w:rPr>
            </w:pPr>
            <w:r w:rsidRPr="00305E0F">
              <w:rPr>
                <w:lang w:val="en-GB"/>
              </w:rPr>
              <w:t>Category 3</w:t>
            </w:r>
          </w:p>
        </w:tc>
        <w:tc>
          <w:tcPr>
            <w:tcW w:w="1417" w:type="dxa"/>
            <w:vAlign w:val="center"/>
          </w:tcPr>
          <w:p w14:paraId="09773C25" w14:textId="77777777" w:rsidR="00EB0050" w:rsidRPr="00305E0F" w:rsidRDefault="00B02122">
            <w:pPr>
              <w:pStyle w:val="P68B1DB1-ListParagraph21"/>
              <w:spacing w:before="120" w:after="120"/>
              <w:ind w:left="0"/>
              <w:contextualSpacing w:val="0"/>
              <w:jc w:val="center"/>
              <w:rPr>
                <w:bCs/>
                <w:lang w:val="en-GB"/>
              </w:rPr>
            </w:pPr>
            <w:r w:rsidRPr="00305E0F">
              <w:rPr>
                <w:lang w:val="en-GB"/>
              </w:rPr>
              <w:t>Category 4</w:t>
            </w:r>
          </w:p>
        </w:tc>
        <w:tc>
          <w:tcPr>
            <w:tcW w:w="1560" w:type="dxa"/>
            <w:vAlign w:val="center"/>
          </w:tcPr>
          <w:p w14:paraId="3E4B1A34" w14:textId="77777777" w:rsidR="00EB0050" w:rsidRPr="00305E0F" w:rsidRDefault="00B02122">
            <w:pPr>
              <w:pStyle w:val="P68B1DB1-ListParagraph21"/>
              <w:spacing w:before="120" w:after="120"/>
              <w:ind w:left="0"/>
              <w:contextualSpacing w:val="0"/>
              <w:rPr>
                <w:bCs/>
                <w:lang w:val="en-GB"/>
              </w:rPr>
            </w:pPr>
            <w:r w:rsidRPr="00305E0F">
              <w:rPr>
                <w:lang w:val="en-GB"/>
              </w:rPr>
              <w:t>Category 5</w:t>
            </w:r>
          </w:p>
        </w:tc>
      </w:tr>
      <w:tr w:rsidR="00305E0F" w:rsidRPr="00305E0F" w14:paraId="172FE8D9" w14:textId="77777777">
        <w:trPr>
          <w:jc w:val="center"/>
        </w:trPr>
        <w:tc>
          <w:tcPr>
            <w:tcW w:w="1985" w:type="dxa"/>
            <w:vAlign w:val="center"/>
          </w:tcPr>
          <w:p w14:paraId="42410015" w14:textId="0D057277" w:rsidR="00EB0050" w:rsidRPr="00305E0F" w:rsidRDefault="00B02122">
            <w:pPr>
              <w:pStyle w:val="P68B1DB1-ListParagraph19"/>
              <w:ind w:left="0"/>
              <w:contextualSpacing w:val="0"/>
              <w:rPr>
                <w:lang w:val="en-GB"/>
              </w:rPr>
            </w:pPr>
            <w:r w:rsidRPr="00305E0F">
              <w:rPr>
                <w:lang w:val="en-GB"/>
              </w:rPr>
              <w:t>Less than 2</w:t>
            </w:r>
            <w:r w:rsidR="007F7E1B" w:rsidRPr="00305E0F">
              <w:rPr>
                <w:lang w:val="en-GB"/>
              </w:rPr>
              <w:t>,</w:t>
            </w:r>
            <w:r w:rsidRPr="00305E0F">
              <w:rPr>
                <w:lang w:val="en-GB"/>
              </w:rPr>
              <w:t xml:space="preserve">5 years </w:t>
            </w:r>
          </w:p>
        </w:tc>
        <w:tc>
          <w:tcPr>
            <w:tcW w:w="1418" w:type="dxa"/>
            <w:vAlign w:val="center"/>
          </w:tcPr>
          <w:p w14:paraId="52ACF38E" w14:textId="0662BC83" w:rsidR="00EB0050" w:rsidRPr="00305E0F" w:rsidRDefault="00B02122">
            <w:pPr>
              <w:pStyle w:val="P68B1DB1-ListParagraph19"/>
              <w:ind w:left="0"/>
              <w:contextualSpacing w:val="0"/>
              <w:jc w:val="center"/>
              <w:rPr>
                <w:lang w:val="en-GB"/>
              </w:rPr>
            </w:pPr>
            <w:r w:rsidRPr="00305E0F">
              <w:rPr>
                <w:lang w:val="en-GB"/>
              </w:rPr>
              <w:t>0 %</w:t>
            </w:r>
          </w:p>
        </w:tc>
        <w:tc>
          <w:tcPr>
            <w:tcW w:w="1417" w:type="dxa"/>
            <w:vAlign w:val="center"/>
          </w:tcPr>
          <w:p w14:paraId="500864D4" w14:textId="6E39A0CB" w:rsidR="00EB0050" w:rsidRPr="00305E0F" w:rsidRDefault="00B02122">
            <w:pPr>
              <w:pStyle w:val="P68B1DB1-ListParagraph19"/>
              <w:ind w:left="0"/>
              <w:contextualSpacing w:val="0"/>
              <w:jc w:val="center"/>
              <w:rPr>
                <w:lang w:val="en-GB"/>
              </w:rPr>
            </w:pPr>
            <w:r w:rsidRPr="00305E0F">
              <w:rPr>
                <w:lang w:val="en-GB"/>
              </w:rPr>
              <w:t>0,4 %</w:t>
            </w:r>
          </w:p>
        </w:tc>
        <w:tc>
          <w:tcPr>
            <w:tcW w:w="1418" w:type="dxa"/>
            <w:vAlign w:val="center"/>
          </w:tcPr>
          <w:p w14:paraId="6D10F57A" w14:textId="33DA8941" w:rsidR="00EB0050" w:rsidRPr="00305E0F" w:rsidRDefault="00B02122">
            <w:pPr>
              <w:pStyle w:val="P68B1DB1-ListParagraph19"/>
              <w:ind w:left="0"/>
              <w:contextualSpacing w:val="0"/>
              <w:jc w:val="center"/>
              <w:rPr>
                <w:lang w:val="en-GB"/>
              </w:rPr>
            </w:pPr>
            <w:r w:rsidRPr="00305E0F">
              <w:rPr>
                <w:lang w:val="en-GB"/>
              </w:rPr>
              <w:t>2,8 %</w:t>
            </w:r>
          </w:p>
        </w:tc>
        <w:tc>
          <w:tcPr>
            <w:tcW w:w="1417" w:type="dxa"/>
            <w:vAlign w:val="center"/>
          </w:tcPr>
          <w:p w14:paraId="3EA628B4" w14:textId="61D03FAE" w:rsidR="00EB0050" w:rsidRPr="00305E0F" w:rsidRDefault="00B02122">
            <w:pPr>
              <w:pStyle w:val="P68B1DB1-ListParagraph19"/>
              <w:ind w:left="0"/>
              <w:contextualSpacing w:val="0"/>
              <w:jc w:val="center"/>
              <w:rPr>
                <w:lang w:val="en-GB"/>
              </w:rPr>
            </w:pPr>
            <w:r w:rsidRPr="00305E0F">
              <w:rPr>
                <w:lang w:val="en-GB"/>
              </w:rPr>
              <w:t>8 %</w:t>
            </w:r>
          </w:p>
        </w:tc>
        <w:tc>
          <w:tcPr>
            <w:tcW w:w="1560" w:type="dxa"/>
            <w:vAlign w:val="center"/>
          </w:tcPr>
          <w:p w14:paraId="07746413" w14:textId="0D27D17A" w:rsidR="00EB0050" w:rsidRPr="00305E0F" w:rsidRDefault="00B02122">
            <w:pPr>
              <w:pStyle w:val="P68B1DB1-ListParagraph19"/>
              <w:ind w:left="0"/>
              <w:contextualSpacing w:val="0"/>
              <w:jc w:val="center"/>
              <w:rPr>
                <w:lang w:val="en-GB"/>
              </w:rPr>
            </w:pPr>
            <w:r w:rsidRPr="00305E0F">
              <w:rPr>
                <w:lang w:val="en-GB"/>
              </w:rPr>
              <w:t>50 %</w:t>
            </w:r>
          </w:p>
        </w:tc>
      </w:tr>
      <w:tr w:rsidR="00EB0050" w:rsidRPr="00305E0F" w14:paraId="6286D8AC" w14:textId="77777777">
        <w:trPr>
          <w:jc w:val="center"/>
        </w:trPr>
        <w:tc>
          <w:tcPr>
            <w:tcW w:w="1985" w:type="dxa"/>
            <w:vAlign w:val="center"/>
          </w:tcPr>
          <w:p w14:paraId="24048C4C" w14:textId="2753A426" w:rsidR="00EB0050" w:rsidRPr="00305E0F" w:rsidRDefault="00AD66DD">
            <w:pPr>
              <w:pStyle w:val="P68B1DB1-ListParagraph19"/>
              <w:ind w:left="0"/>
              <w:contextualSpacing w:val="0"/>
              <w:rPr>
                <w:lang w:val="en-GB"/>
              </w:rPr>
            </w:pPr>
            <w:r w:rsidRPr="00305E0F">
              <w:rPr>
                <w:lang w:val="en-GB"/>
              </w:rPr>
              <w:t>Equal to or more than 2,5 years</w:t>
            </w:r>
          </w:p>
        </w:tc>
        <w:tc>
          <w:tcPr>
            <w:tcW w:w="1418" w:type="dxa"/>
            <w:vAlign w:val="center"/>
          </w:tcPr>
          <w:p w14:paraId="5D8713AD" w14:textId="4B9BF1F0" w:rsidR="00EB0050" w:rsidRPr="00305E0F" w:rsidRDefault="00B02122">
            <w:pPr>
              <w:pStyle w:val="P68B1DB1-ListParagraph19"/>
              <w:ind w:left="0"/>
              <w:contextualSpacing w:val="0"/>
              <w:jc w:val="center"/>
              <w:rPr>
                <w:lang w:val="en-GB"/>
              </w:rPr>
            </w:pPr>
            <w:r w:rsidRPr="00305E0F">
              <w:rPr>
                <w:lang w:val="en-GB"/>
              </w:rPr>
              <w:t>0,4 %</w:t>
            </w:r>
          </w:p>
        </w:tc>
        <w:tc>
          <w:tcPr>
            <w:tcW w:w="1417" w:type="dxa"/>
            <w:vAlign w:val="center"/>
          </w:tcPr>
          <w:p w14:paraId="220ACC69" w14:textId="389D5C01" w:rsidR="00EB0050" w:rsidRPr="00305E0F" w:rsidRDefault="00B02122">
            <w:pPr>
              <w:pStyle w:val="P68B1DB1-ListParagraph19"/>
              <w:ind w:left="0"/>
              <w:contextualSpacing w:val="0"/>
              <w:jc w:val="center"/>
              <w:rPr>
                <w:lang w:val="en-GB"/>
              </w:rPr>
            </w:pPr>
            <w:r w:rsidRPr="00305E0F">
              <w:rPr>
                <w:lang w:val="en-GB"/>
              </w:rPr>
              <w:t>0,8 %</w:t>
            </w:r>
          </w:p>
        </w:tc>
        <w:tc>
          <w:tcPr>
            <w:tcW w:w="1418" w:type="dxa"/>
            <w:vAlign w:val="center"/>
          </w:tcPr>
          <w:p w14:paraId="13509597" w14:textId="07DF67B6" w:rsidR="00EB0050" w:rsidRPr="00305E0F" w:rsidRDefault="00B02122">
            <w:pPr>
              <w:pStyle w:val="P68B1DB1-ListParagraph19"/>
              <w:ind w:left="0"/>
              <w:contextualSpacing w:val="0"/>
              <w:jc w:val="center"/>
              <w:rPr>
                <w:lang w:val="en-GB"/>
              </w:rPr>
            </w:pPr>
            <w:r w:rsidRPr="00305E0F">
              <w:rPr>
                <w:lang w:val="en-GB"/>
              </w:rPr>
              <w:t>2,8 %</w:t>
            </w:r>
          </w:p>
        </w:tc>
        <w:tc>
          <w:tcPr>
            <w:tcW w:w="1417" w:type="dxa"/>
            <w:vAlign w:val="center"/>
          </w:tcPr>
          <w:p w14:paraId="1587733C" w14:textId="209A6053" w:rsidR="00EB0050" w:rsidRPr="00305E0F" w:rsidRDefault="00B02122">
            <w:pPr>
              <w:pStyle w:val="P68B1DB1-ListParagraph19"/>
              <w:ind w:left="0"/>
              <w:contextualSpacing w:val="0"/>
              <w:jc w:val="center"/>
              <w:rPr>
                <w:lang w:val="en-GB"/>
              </w:rPr>
            </w:pPr>
            <w:r w:rsidRPr="00305E0F">
              <w:rPr>
                <w:lang w:val="en-GB"/>
              </w:rPr>
              <w:t>8 %</w:t>
            </w:r>
          </w:p>
        </w:tc>
        <w:tc>
          <w:tcPr>
            <w:tcW w:w="1560" w:type="dxa"/>
            <w:vAlign w:val="center"/>
          </w:tcPr>
          <w:p w14:paraId="085C932D" w14:textId="5D6E1443" w:rsidR="00EB0050" w:rsidRPr="00305E0F" w:rsidRDefault="00B02122">
            <w:pPr>
              <w:pStyle w:val="P68B1DB1-ListParagraph19"/>
              <w:ind w:left="0"/>
              <w:contextualSpacing w:val="0"/>
              <w:jc w:val="center"/>
              <w:rPr>
                <w:lang w:val="en-GB"/>
              </w:rPr>
            </w:pPr>
            <w:r w:rsidRPr="00305E0F">
              <w:rPr>
                <w:lang w:val="en-GB"/>
              </w:rPr>
              <w:t>50 %</w:t>
            </w:r>
          </w:p>
        </w:tc>
      </w:tr>
    </w:tbl>
    <w:p w14:paraId="6A332895" w14:textId="77777777" w:rsidR="00EB0050" w:rsidRPr="00305E0F" w:rsidRDefault="00EB0050">
      <w:pPr>
        <w:rPr>
          <w:rFonts w:ascii="Times New Roman" w:hAnsi="Times New Roman" w:cs="Times New Roman"/>
          <w:szCs w:val="24"/>
          <w:lang w:val="en-GB"/>
        </w:rPr>
      </w:pPr>
    </w:p>
    <w:p w14:paraId="34FA8A90" w14:textId="4ECD2018"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expected loss amount for a minimum value commitment that meets all the requirements set out in paragraph 82</w:t>
      </w:r>
      <w:r w:rsidRPr="00305E0F">
        <w:rPr>
          <w:color w:val="auto"/>
          <w:vertAlign w:val="superscript"/>
          <w:lang w:val="en-GB"/>
        </w:rPr>
        <w:t>25</w:t>
      </w:r>
      <w:r w:rsidRPr="00305E0F">
        <w:rPr>
          <w:color w:val="auto"/>
          <w:lang w:val="en-GB"/>
        </w:rPr>
        <w:t xml:space="preserve"> of Regulation 111/2018 shall be zero.</w:t>
      </w:r>
    </w:p>
    <w:p w14:paraId="0AA2764E" w14:textId="66E83416"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94" w:name="_Ref215086374"/>
      <w:r w:rsidRPr="00305E0F">
        <w:rPr>
          <w:color w:val="auto"/>
          <w:lang w:val="en-GB"/>
        </w:rPr>
        <w:t>The expected loss amount for dilution risk of purchased receivables shall be calculated according to the following formula:</w:t>
      </w:r>
      <w:bookmarkEnd w:id="94"/>
    </w:p>
    <w:p w14:paraId="6718D237" w14:textId="3510F23E" w:rsidR="00EB0050" w:rsidRPr="00305E0F" w:rsidRDefault="00B02122">
      <w:pPr>
        <w:pStyle w:val="P68B1DB1-ListParagraph8"/>
        <w:shd w:val="clear" w:color="auto" w:fill="FFFFFF"/>
        <w:tabs>
          <w:tab w:val="left" w:pos="0"/>
          <w:tab w:val="left" w:pos="567"/>
        </w:tabs>
        <w:spacing w:before="60" w:after="0" w:line="240" w:lineRule="auto"/>
        <w:ind w:left="0" w:firstLine="567"/>
        <w:jc w:val="both"/>
        <w:rPr>
          <w:color w:val="auto"/>
          <w:lang w:val="en-GB"/>
        </w:rPr>
      </w:pPr>
      <w:r w:rsidRPr="00305E0F">
        <w:rPr>
          <w:i/>
          <w:color w:val="auto"/>
          <w:lang w:val="en-GB"/>
        </w:rPr>
        <w:t>Expected loss</w:t>
      </w:r>
      <w:r w:rsidRPr="00305E0F">
        <w:rPr>
          <w:color w:val="auto"/>
          <w:lang w:val="en-GB"/>
        </w:rPr>
        <w:t xml:space="preserve"> </w:t>
      </w:r>
      <w:r w:rsidRPr="00305E0F">
        <w:rPr>
          <w:i/>
          <w:color w:val="auto"/>
          <w:lang w:val="en-GB"/>
        </w:rPr>
        <w:t>(EL)</w:t>
      </w:r>
      <w:r w:rsidRPr="00305E0F">
        <w:rPr>
          <w:color w:val="auto"/>
          <w:lang w:val="en-GB"/>
        </w:rPr>
        <w:t xml:space="preserve"> = PD · LGD;</w:t>
      </w:r>
    </w:p>
    <w:p w14:paraId="2839A1A5" w14:textId="283C912F" w:rsidR="00EB0050" w:rsidRPr="00305E0F" w:rsidRDefault="00B02122">
      <w:pPr>
        <w:pStyle w:val="P68B1DB1-ListParagraph8"/>
        <w:shd w:val="clear" w:color="auto" w:fill="FFFFFF"/>
        <w:tabs>
          <w:tab w:val="left" w:pos="0"/>
          <w:tab w:val="left" w:pos="567"/>
        </w:tabs>
        <w:spacing w:before="60" w:after="0" w:line="240" w:lineRule="auto"/>
        <w:ind w:left="0" w:firstLine="567"/>
        <w:jc w:val="both"/>
        <w:rPr>
          <w:color w:val="auto"/>
          <w:lang w:val="en-GB"/>
        </w:rPr>
      </w:pPr>
      <w:r w:rsidRPr="00305E0F">
        <w:rPr>
          <w:i/>
          <w:color w:val="auto"/>
          <w:lang w:val="en-GB"/>
        </w:rPr>
        <w:t>Expected loss amount =</w:t>
      </w:r>
      <w:r w:rsidRPr="00305E0F">
        <w:rPr>
          <w:color w:val="auto"/>
          <w:lang w:val="en-GB"/>
        </w:rPr>
        <w:t xml:space="preserve"> EL · exposure value.</w:t>
      </w:r>
    </w:p>
    <w:p w14:paraId="078A6204" w14:textId="77777777" w:rsidR="00EB0050" w:rsidRPr="00305E0F" w:rsidRDefault="00B02122">
      <w:pPr>
        <w:pStyle w:val="P68B1DB1-Normal16"/>
        <w:shd w:val="clear" w:color="auto" w:fill="FFFFFF"/>
        <w:tabs>
          <w:tab w:val="left" w:pos="0"/>
          <w:tab w:val="left" w:pos="567"/>
        </w:tabs>
        <w:spacing w:before="120" w:after="0" w:line="240" w:lineRule="auto"/>
        <w:jc w:val="center"/>
        <w:rPr>
          <w:bCs/>
          <w:iCs/>
          <w:color w:val="auto"/>
          <w:lang w:val="en-GB"/>
        </w:rPr>
      </w:pPr>
      <w:r w:rsidRPr="00305E0F">
        <w:rPr>
          <w:color w:val="auto"/>
          <w:lang w:val="en-GB"/>
        </w:rPr>
        <w:t>Subsection 2</w:t>
      </w:r>
    </w:p>
    <w:p w14:paraId="46CED33B" w14:textId="1B8D58C5" w:rsidR="00EB0050" w:rsidRPr="00305E0F" w:rsidRDefault="00B02122">
      <w:pPr>
        <w:pStyle w:val="P68B1DB1-ListParagraph15"/>
        <w:shd w:val="clear" w:color="auto" w:fill="FFFFFF"/>
        <w:tabs>
          <w:tab w:val="left" w:pos="0"/>
          <w:tab w:val="left" w:pos="567"/>
        </w:tabs>
        <w:spacing w:after="120" w:line="240" w:lineRule="auto"/>
        <w:ind w:left="567"/>
        <w:contextualSpacing w:val="0"/>
        <w:jc w:val="center"/>
        <w:rPr>
          <w:color w:val="auto"/>
          <w:lang w:val="en-GB"/>
        </w:rPr>
      </w:pPr>
      <w:r w:rsidRPr="00305E0F">
        <w:rPr>
          <w:color w:val="auto"/>
          <w:lang w:val="en-GB"/>
        </w:rPr>
        <w:t xml:space="preserve">Treatment of expected loss amounts, IRB </w:t>
      </w:r>
      <w:r w:rsidR="00AD66DD" w:rsidRPr="00305E0F">
        <w:rPr>
          <w:color w:val="auto"/>
          <w:lang w:val="en-GB"/>
        </w:rPr>
        <w:t>shortfall</w:t>
      </w:r>
      <w:r w:rsidRPr="00305E0F">
        <w:rPr>
          <w:color w:val="auto"/>
          <w:lang w:val="en-GB"/>
        </w:rPr>
        <w:t xml:space="preserve"> and IRB </w:t>
      </w:r>
      <w:r w:rsidR="00AD66DD" w:rsidRPr="00305E0F">
        <w:rPr>
          <w:color w:val="auto"/>
          <w:lang w:val="en-GB"/>
        </w:rPr>
        <w:t>excess</w:t>
      </w:r>
    </w:p>
    <w:p w14:paraId="1584BAE4" w14:textId="3E7814F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95" w:name="_Ref215086001"/>
      <w:r w:rsidRPr="00305E0F">
        <w:rPr>
          <w:color w:val="auto"/>
          <w:lang w:val="en-GB"/>
        </w:rPr>
        <w:lastRenderedPageBreak/>
        <w:t xml:space="preserve">Banks shall </w:t>
      </w:r>
      <w:r w:rsidR="00AD66DD" w:rsidRPr="00305E0F">
        <w:rPr>
          <w:color w:val="auto"/>
          <w:lang w:val="en-GB"/>
        </w:rPr>
        <w:t xml:space="preserve">subtract the </w:t>
      </w:r>
      <w:r w:rsidRPr="00305E0F">
        <w:rPr>
          <w:color w:val="auto"/>
          <w:lang w:val="en-GB"/>
        </w:rPr>
        <w:t xml:space="preserve">expected loss amounts for the exposures referred to in paragraphs </w:t>
      </w:r>
      <w:r w:rsidRPr="00305E0F">
        <w:rPr>
          <w:color w:val="auto"/>
          <w:lang w:val="en-GB"/>
        </w:rPr>
        <w:fldChar w:fldCharType="begin"/>
      </w:r>
      <w:r w:rsidRPr="00305E0F">
        <w:rPr>
          <w:color w:val="auto"/>
          <w:lang w:val="en-GB"/>
        </w:rPr>
        <w:instrText xml:space="preserve"> REF _Ref215086356 \r \h </w:instrText>
      </w:r>
      <w:r w:rsidRPr="00305E0F">
        <w:rPr>
          <w:color w:val="auto"/>
          <w:lang w:val="en-GB"/>
        </w:rPr>
      </w:r>
      <w:r w:rsidRPr="00305E0F">
        <w:rPr>
          <w:color w:val="auto"/>
          <w:lang w:val="en-GB"/>
        </w:rPr>
        <w:fldChar w:fldCharType="separate"/>
      </w:r>
      <w:r w:rsidR="00594C05" w:rsidRPr="00305E0F">
        <w:rPr>
          <w:color w:val="auto"/>
          <w:lang w:val="en-GB"/>
        </w:rPr>
        <w:t>98</w:t>
      </w:r>
      <w:r w:rsidRPr="00305E0F">
        <w:rPr>
          <w:color w:val="auto"/>
          <w:lang w:val="en-GB"/>
        </w:rPr>
        <w:fldChar w:fldCharType="end"/>
      </w:r>
      <w:r w:rsidR="00AD66DD" w:rsidRPr="00305E0F">
        <w:rPr>
          <w:color w:val="auto"/>
          <w:lang w:val="en-GB"/>
        </w:rPr>
        <w:t xml:space="preserve"> to </w:t>
      </w:r>
      <w:r w:rsidRPr="00305E0F">
        <w:rPr>
          <w:color w:val="auto"/>
          <w:lang w:val="en-GB"/>
        </w:rPr>
        <w:fldChar w:fldCharType="begin"/>
      </w:r>
      <w:r w:rsidRPr="00305E0F">
        <w:rPr>
          <w:color w:val="auto"/>
          <w:lang w:val="en-GB"/>
        </w:rPr>
        <w:instrText xml:space="preserve"> REF _Ref215086365 \r \h </w:instrText>
      </w:r>
      <w:r w:rsidRPr="00305E0F">
        <w:rPr>
          <w:color w:val="auto"/>
          <w:lang w:val="en-GB"/>
        </w:rPr>
      </w:r>
      <w:r w:rsidRPr="00305E0F">
        <w:rPr>
          <w:color w:val="auto"/>
          <w:lang w:val="en-GB"/>
        </w:rPr>
        <w:fldChar w:fldCharType="separate"/>
      </w:r>
      <w:r w:rsidR="00594C05" w:rsidRPr="00305E0F">
        <w:rPr>
          <w:color w:val="auto"/>
          <w:lang w:val="en-GB"/>
        </w:rPr>
        <w:t>100</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_Ref215086374 \r \h </w:instrText>
      </w:r>
      <w:r w:rsidRPr="00305E0F">
        <w:rPr>
          <w:color w:val="auto"/>
          <w:lang w:val="en-GB"/>
        </w:rPr>
      </w:r>
      <w:r w:rsidRPr="00305E0F">
        <w:rPr>
          <w:color w:val="auto"/>
          <w:lang w:val="en-GB"/>
        </w:rPr>
        <w:fldChar w:fldCharType="separate"/>
      </w:r>
      <w:r w:rsidR="00594C05" w:rsidRPr="00305E0F">
        <w:rPr>
          <w:color w:val="auto"/>
          <w:lang w:val="en-GB"/>
        </w:rPr>
        <w:t>102</w:t>
      </w:r>
      <w:r w:rsidRPr="00305E0F">
        <w:rPr>
          <w:color w:val="auto"/>
          <w:lang w:val="en-GB"/>
        </w:rPr>
        <w:fldChar w:fldCharType="end"/>
      </w:r>
      <w:r w:rsidRPr="00305E0F">
        <w:rPr>
          <w:color w:val="auto"/>
          <w:lang w:val="en-GB"/>
        </w:rPr>
        <w:t xml:space="preserve"> from the sum of all of the following:</w:t>
      </w:r>
      <w:bookmarkEnd w:id="95"/>
    </w:p>
    <w:p w14:paraId="5784A37C" w14:textId="37AC4C34"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General and specific credit risk adjustments related to </w:t>
      </w:r>
      <w:r w:rsidR="00AD66DD" w:rsidRPr="00305E0F">
        <w:rPr>
          <w:color w:val="auto"/>
          <w:lang w:val="en-GB"/>
        </w:rPr>
        <w:t>those</w:t>
      </w:r>
      <w:r w:rsidRPr="00305E0F">
        <w:rPr>
          <w:color w:val="auto"/>
          <w:lang w:val="en-GB"/>
        </w:rPr>
        <w:t xml:space="preserve"> exposures, calculated in accordance with the Regulation </w:t>
      </w:r>
      <w:r w:rsidR="00AD66DD" w:rsidRPr="00305E0F">
        <w:rPr>
          <w:color w:val="auto"/>
          <w:lang w:val="en-GB"/>
        </w:rPr>
        <w:t>on the calculation of specific and general credit risk adjustments by banks</w:t>
      </w:r>
      <w:r w:rsidRPr="00305E0F">
        <w:rPr>
          <w:color w:val="auto"/>
          <w:lang w:val="en-GB"/>
        </w:rPr>
        <w:t xml:space="preserve">, approved by the Decision of the Executive Board of the National Bank of Moldova </w:t>
      </w:r>
      <w:r w:rsidR="00594C05" w:rsidRPr="00305E0F">
        <w:rPr>
          <w:color w:val="auto"/>
          <w:lang w:val="en-GB"/>
        </w:rPr>
        <w:t xml:space="preserve">No </w:t>
      </w:r>
      <w:r w:rsidRPr="00305E0F">
        <w:rPr>
          <w:color w:val="auto"/>
          <w:lang w:val="en-GB"/>
        </w:rPr>
        <w:t>116/2018;</w:t>
      </w:r>
    </w:p>
    <w:p w14:paraId="62573E9E" w14:textId="5171DEB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Additional value adjustments due to counterparty default determined in accordance with </w:t>
      </w:r>
      <w:r w:rsidR="00AD66DD" w:rsidRPr="00305E0F">
        <w:rPr>
          <w:color w:val="auto"/>
          <w:lang w:val="en-GB"/>
        </w:rPr>
        <w:t>paragraph</w:t>
      </w:r>
      <w:r w:rsidRPr="00305E0F">
        <w:rPr>
          <w:color w:val="auto"/>
          <w:lang w:val="en-GB"/>
        </w:rPr>
        <w:t xml:space="preserve"> 28 of Regulation </w:t>
      </w:r>
      <w:r w:rsidR="00AD66DD" w:rsidRPr="00305E0F">
        <w:rPr>
          <w:color w:val="auto"/>
          <w:lang w:val="en-GB"/>
        </w:rPr>
        <w:t xml:space="preserve">No </w:t>
      </w:r>
      <w:r w:rsidRPr="00305E0F">
        <w:rPr>
          <w:color w:val="auto"/>
          <w:lang w:val="en-GB"/>
        </w:rPr>
        <w:t>109</w:t>
      </w:r>
      <w:r w:rsidR="00AD66DD" w:rsidRPr="00305E0F">
        <w:rPr>
          <w:color w:val="auto"/>
          <w:lang w:val="en-GB"/>
        </w:rPr>
        <w:t>/2018</w:t>
      </w:r>
      <w:r w:rsidRPr="00305E0F">
        <w:rPr>
          <w:color w:val="auto"/>
          <w:lang w:val="en-GB"/>
        </w:rPr>
        <w:t xml:space="preserve"> and related to exposures for which expected loss amounts are calculated in accordance with </w:t>
      </w:r>
      <w:r w:rsidR="00AD66DD" w:rsidRPr="00305E0F">
        <w:rPr>
          <w:color w:val="auto"/>
          <w:lang w:val="en-GB"/>
        </w:rPr>
        <w:t>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_Ref215086356 \r \h </w:instrText>
      </w:r>
      <w:r w:rsidRPr="00305E0F">
        <w:rPr>
          <w:color w:val="auto"/>
          <w:lang w:val="en-GB"/>
        </w:rPr>
      </w:r>
      <w:r w:rsidRPr="00305E0F">
        <w:rPr>
          <w:color w:val="auto"/>
          <w:lang w:val="en-GB"/>
        </w:rPr>
        <w:fldChar w:fldCharType="separate"/>
      </w:r>
      <w:r w:rsidR="00594C05" w:rsidRPr="00305E0F">
        <w:rPr>
          <w:color w:val="auto"/>
          <w:lang w:val="en-GB"/>
        </w:rPr>
        <w:t>98</w:t>
      </w:r>
      <w:r w:rsidRPr="00305E0F">
        <w:rPr>
          <w:color w:val="auto"/>
          <w:lang w:val="en-GB"/>
        </w:rPr>
        <w:fldChar w:fldCharType="end"/>
      </w:r>
      <w:r w:rsidR="00AD66DD" w:rsidRPr="00305E0F">
        <w:rPr>
          <w:color w:val="auto"/>
          <w:lang w:val="en-GB"/>
        </w:rPr>
        <w:t xml:space="preserve"> </w:t>
      </w:r>
      <w:r w:rsidRPr="00305E0F">
        <w:rPr>
          <w:color w:val="auto"/>
          <w:lang w:val="en-GB"/>
        </w:rPr>
        <w:t>to</w:t>
      </w:r>
      <w:r w:rsidR="00AD66DD"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_Ref215086365 \r \h </w:instrText>
      </w:r>
      <w:r w:rsidRPr="00305E0F">
        <w:rPr>
          <w:color w:val="auto"/>
          <w:lang w:val="en-GB"/>
        </w:rPr>
      </w:r>
      <w:r w:rsidRPr="00305E0F">
        <w:rPr>
          <w:color w:val="auto"/>
          <w:lang w:val="en-GB"/>
        </w:rPr>
        <w:fldChar w:fldCharType="separate"/>
      </w:r>
      <w:r w:rsidR="00594C05" w:rsidRPr="00305E0F">
        <w:rPr>
          <w:color w:val="auto"/>
          <w:lang w:val="en-GB"/>
        </w:rPr>
        <w:t>100</w:t>
      </w:r>
      <w:r w:rsidRPr="00305E0F">
        <w:rPr>
          <w:color w:val="auto"/>
          <w:lang w:val="en-GB"/>
        </w:rPr>
        <w:fldChar w:fldCharType="end"/>
      </w:r>
      <w:r w:rsidRPr="00305E0F">
        <w:rPr>
          <w:color w:val="auto"/>
          <w:lang w:val="en-GB"/>
        </w:rPr>
        <w:t xml:space="preserve"> and</w:t>
      </w:r>
      <w:r w:rsidR="00AD66DD"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_Ref215086374 \r \h </w:instrText>
      </w:r>
      <w:r w:rsidRPr="00305E0F">
        <w:rPr>
          <w:color w:val="auto"/>
          <w:lang w:val="en-GB"/>
        </w:rPr>
      </w:r>
      <w:r w:rsidRPr="00305E0F">
        <w:rPr>
          <w:color w:val="auto"/>
          <w:lang w:val="en-GB"/>
        </w:rPr>
        <w:fldChar w:fldCharType="separate"/>
      </w:r>
      <w:r w:rsidR="00594C05" w:rsidRPr="00305E0F">
        <w:rPr>
          <w:color w:val="auto"/>
          <w:lang w:val="en-GB"/>
        </w:rPr>
        <w:t>102</w:t>
      </w:r>
      <w:r w:rsidRPr="00305E0F">
        <w:rPr>
          <w:color w:val="auto"/>
          <w:lang w:val="en-GB"/>
        </w:rPr>
        <w:fldChar w:fldCharType="end"/>
      </w:r>
      <w:r w:rsidRPr="00305E0F">
        <w:rPr>
          <w:color w:val="auto"/>
          <w:lang w:val="en-GB"/>
        </w:rPr>
        <w:t>;</w:t>
      </w:r>
    </w:p>
    <w:p w14:paraId="711A221D" w14:textId="5ECE133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Other own funds reductions related to those exposures, other than deductions related to the applicable amount of insufficient coverage for non-performing exposures made in accordance with </w:t>
      </w:r>
      <w:r w:rsidR="00AD66DD" w:rsidRPr="00305E0F">
        <w:rPr>
          <w:color w:val="auto"/>
          <w:lang w:val="en-GB"/>
        </w:rPr>
        <w:t>paragraph</w:t>
      </w:r>
      <w:r w:rsidRPr="00305E0F">
        <w:rPr>
          <w:color w:val="auto"/>
          <w:lang w:val="en-GB"/>
        </w:rPr>
        <w:t xml:space="preserve"> 30</w:t>
      </w:r>
      <w:r w:rsidR="00AD66DD" w:rsidRPr="00305E0F">
        <w:rPr>
          <w:color w:val="auto"/>
          <w:lang w:val="en-GB"/>
        </w:rPr>
        <w:t xml:space="preserve"> sub-paragraph </w:t>
      </w:r>
      <w:r w:rsidRPr="00305E0F">
        <w:rPr>
          <w:color w:val="auto"/>
          <w:lang w:val="en-GB"/>
        </w:rPr>
        <w:t>12) of Regulation No 109/2018.</w:t>
      </w:r>
    </w:p>
    <w:p w14:paraId="7858E319" w14:textId="3044987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96" w:name="_Ref215086083"/>
      <w:r w:rsidRPr="00305E0F">
        <w:rPr>
          <w:color w:val="auto"/>
          <w:lang w:val="en-GB"/>
        </w:rPr>
        <w:t xml:space="preserve">Where the calculation carried out in accordance with </w:t>
      </w:r>
      <w:r w:rsidR="00AD66DD"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_Ref215086001 \r \h </w:instrText>
      </w:r>
      <w:r w:rsidRPr="00305E0F">
        <w:rPr>
          <w:color w:val="auto"/>
          <w:lang w:val="en-GB"/>
        </w:rPr>
      </w:r>
      <w:r w:rsidRPr="00305E0F">
        <w:rPr>
          <w:color w:val="auto"/>
          <w:lang w:val="en-GB"/>
        </w:rPr>
        <w:fldChar w:fldCharType="separate"/>
      </w:r>
      <w:r w:rsidR="00594C05" w:rsidRPr="00305E0F">
        <w:rPr>
          <w:color w:val="auto"/>
          <w:lang w:val="en-GB"/>
        </w:rPr>
        <w:t>103</w:t>
      </w:r>
      <w:r w:rsidRPr="00305E0F">
        <w:rPr>
          <w:color w:val="auto"/>
          <w:lang w:val="en-GB"/>
        </w:rPr>
        <w:fldChar w:fldCharType="end"/>
      </w:r>
      <w:r w:rsidRPr="00305E0F">
        <w:rPr>
          <w:color w:val="auto"/>
          <w:lang w:val="en-GB"/>
        </w:rPr>
        <w:t xml:space="preserve"> results in a positive </w:t>
      </w:r>
      <w:r w:rsidR="00AD66DD" w:rsidRPr="00305E0F">
        <w:rPr>
          <w:color w:val="auto"/>
          <w:lang w:val="en-GB"/>
        </w:rPr>
        <w:t>amount</w:t>
      </w:r>
      <w:r w:rsidRPr="00305E0F">
        <w:rPr>
          <w:color w:val="auto"/>
          <w:lang w:val="en-GB"/>
        </w:rPr>
        <w:t xml:space="preserve">, the amount obtained shall be called an </w:t>
      </w:r>
      <w:r w:rsidR="00AD66DD" w:rsidRPr="00305E0F">
        <w:rPr>
          <w:color w:val="auto"/>
          <w:lang w:val="en-GB"/>
        </w:rPr>
        <w:t>“</w:t>
      </w:r>
      <w:r w:rsidRPr="00305E0F">
        <w:rPr>
          <w:color w:val="auto"/>
          <w:lang w:val="en-GB"/>
        </w:rPr>
        <w:t xml:space="preserve">IRB </w:t>
      </w:r>
      <w:r w:rsidR="00AD66DD" w:rsidRPr="00305E0F">
        <w:rPr>
          <w:color w:val="auto"/>
          <w:lang w:val="en-GB"/>
        </w:rPr>
        <w:t>excess”</w:t>
      </w:r>
      <w:r w:rsidRPr="00305E0F">
        <w:rPr>
          <w:color w:val="auto"/>
          <w:lang w:val="en-GB"/>
        </w:rPr>
        <w:t>. Where the calculation carried out in accordance with the first sub</w:t>
      </w:r>
      <w:r w:rsidR="00204375" w:rsidRPr="00305E0F">
        <w:rPr>
          <w:color w:val="auto"/>
          <w:lang w:val="en-GB"/>
        </w:rPr>
        <w:t>-</w:t>
      </w:r>
      <w:r w:rsidRPr="00305E0F">
        <w:rPr>
          <w:color w:val="auto"/>
          <w:lang w:val="en-GB"/>
        </w:rPr>
        <w:t xml:space="preserve">paragraph results in a negative amount, the amount obtained shall be called an </w:t>
      </w:r>
      <w:r w:rsidR="00AD66DD" w:rsidRPr="00305E0F">
        <w:rPr>
          <w:color w:val="auto"/>
          <w:lang w:val="en-GB"/>
        </w:rPr>
        <w:t>“</w:t>
      </w:r>
      <w:r w:rsidRPr="00305E0F">
        <w:rPr>
          <w:color w:val="auto"/>
          <w:lang w:val="en-GB"/>
        </w:rPr>
        <w:t>IRB shortfall</w:t>
      </w:r>
      <w:r w:rsidR="00AD66DD" w:rsidRPr="00305E0F">
        <w:rPr>
          <w:color w:val="auto"/>
          <w:lang w:val="en-GB"/>
        </w:rPr>
        <w:t>”</w:t>
      </w:r>
      <w:r w:rsidRPr="00305E0F">
        <w:rPr>
          <w:color w:val="auto"/>
          <w:lang w:val="en-GB"/>
        </w:rPr>
        <w:t>.</w:t>
      </w:r>
      <w:bookmarkEnd w:id="96"/>
    </w:p>
    <w:p w14:paraId="6858C580" w14:textId="0EFD7FC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For the purposes of the calculation referred to in paragraph</w:t>
      </w:r>
      <w:r w:rsidR="00AD66DD" w:rsidRPr="00305E0F">
        <w:rPr>
          <w:color w:val="auto"/>
          <w:lang w:val="en-GB"/>
        </w:rPr>
        <w:t xml:space="preserve"> </w:t>
      </w:r>
      <w:r w:rsidRPr="00305E0F">
        <w:rPr>
          <w:color w:val="auto"/>
          <w:lang w:val="en-GB"/>
        </w:rPr>
        <w:fldChar w:fldCharType="begin"/>
      </w:r>
      <w:r w:rsidRPr="00305E0F">
        <w:rPr>
          <w:color w:val="auto"/>
          <w:lang w:val="en-GB"/>
        </w:rPr>
        <w:instrText xml:space="preserve"> REF _Ref215086001 \r \h </w:instrText>
      </w:r>
      <w:r w:rsidRPr="00305E0F">
        <w:rPr>
          <w:color w:val="auto"/>
          <w:lang w:val="en-GB"/>
        </w:rPr>
      </w:r>
      <w:r w:rsidRPr="00305E0F">
        <w:rPr>
          <w:color w:val="auto"/>
          <w:lang w:val="en-GB"/>
        </w:rPr>
        <w:fldChar w:fldCharType="separate"/>
      </w:r>
      <w:r w:rsidR="00594C05" w:rsidRPr="00305E0F">
        <w:rPr>
          <w:color w:val="auto"/>
          <w:lang w:val="en-GB"/>
        </w:rPr>
        <w:t>103</w:t>
      </w:r>
      <w:r w:rsidRPr="00305E0F">
        <w:rPr>
          <w:color w:val="auto"/>
          <w:lang w:val="en-GB"/>
        </w:rPr>
        <w:fldChar w:fldCharType="end"/>
      </w:r>
      <w:r w:rsidRPr="00305E0F">
        <w:rPr>
          <w:color w:val="auto"/>
          <w:lang w:val="en-GB"/>
        </w:rPr>
        <w:t xml:space="preserve">, banks shall treat discounts determined in accordance with paragraphs </w:t>
      </w:r>
      <w:r w:rsidRPr="00305E0F">
        <w:rPr>
          <w:color w:val="auto"/>
          <w:lang w:val="en-GB"/>
        </w:rPr>
        <w:fldChar w:fldCharType="begin"/>
      </w:r>
      <w:r w:rsidRPr="00305E0F">
        <w:rPr>
          <w:color w:val="auto"/>
          <w:lang w:val="en-GB"/>
        </w:rPr>
        <w:instrText xml:space="preserve"> REF _Ref215235438 \r \h </w:instrText>
      </w:r>
      <w:r w:rsidRPr="00305E0F">
        <w:rPr>
          <w:color w:val="auto"/>
          <w:lang w:val="en-GB"/>
        </w:rPr>
      </w:r>
      <w:r w:rsidRPr="00305E0F">
        <w:rPr>
          <w:color w:val="auto"/>
          <w:lang w:val="en-GB"/>
        </w:rPr>
        <w:fldChar w:fldCharType="separate"/>
      </w:r>
      <w:r w:rsidR="00594C05" w:rsidRPr="00305E0F">
        <w:rPr>
          <w:color w:val="auto"/>
          <w:lang w:val="en-GB"/>
        </w:rPr>
        <w:t>142</w:t>
      </w:r>
      <w:r w:rsidRPr="00305E0F">
        <w:rPr>
          <w:color w:val="auto"/>
          <w:lang w:val="en-GB"/>
        </w:rPr>
        <w:fldChar w:fldCharType="end"/>
      </w:r>
      <w:r w:rsidR="00AD66DD" w:rsidRPr="00305E0F">
        <w:rPr>
          <w:color w:val="auto"/>
          <w:lang w:val="en-GB"/>
        </w:rPr>
        <w:t xml:space="preserve"> </w:t>
      </w:r>
      <w:r w:rsidRPr="00305E0F">
        <w:rPr>
          <w:color w:val="auto"/>
          <w:lang w:val="en-GB"/>
        </w:rPr>
        <w:t>to</w:t>
      </w:r>
      <w:r w:rsidR="00AD66DD" w:rsidRPr="00305E0F">
        <w:rPr>
          <w:color w:val="auto"/>
          <w:lang w:val="en-GB"/>
        </w:rPr>
        <w:t xml:space="preserve"> </w:t>
      </w:r>
      <w:r w:rsidRPr="00305E0F">
        <w:rPr>
          <w:color w:val="auto"/>
          <w:lang w:val="en-GB"/>
        </w:rPr>
        <w:fldChar w:fldCharType="begin"/>
      </w:r>
      <w:r w:rsidRPr="00305E0F">
        <w:rPr>
          <w:color w:val="auto"/>
          <w:lang w:val="en-GB"/>
        </w:rPr>
        <w:instrText xml:space="preserve"> REF _Ref215235445 \r \h </w:instrText>
      </w:r>
      <w:r w:rsidRPr="00305E0F">
        <w:rPr>
          <w:color w:val="auto"/>
          <w:lang w:val="en-GB"/>
        </w:rPr>
      </w:r>
      <w:r w:rsidRPr="00305E0F">
        <w:rPr>
          <w:color w:val="auto"/>
          <w:lang w:val="en-GB"/>
        </w:rPr>
        <w:fldChar w:fldCharType="separate"/>
      </w:r>
      <w:r w:rsidR="00594C05" w:rsidRPr="00305E0F">
        <w:rPr>
          <w:color w:val="auto"/>
          <w:lang w:val="en-GB"/>
        </w:rPr>
        <w:t>144</w:t>
      </w:r>
      <w:r w:rsidRPr="00305E0F">
        <w:rPr>
          <w:color w:val="auto"/>
          <w:lang w:val="en-GB"/>
        </w:rPr>
        <w:fldChar w:fldCharType="end"/>
      </w:r>
      <w:r w:rsidRPr="00305E0F">
        <w:rPr>
          <w:color w:val="auto"/>
          <w:lang w:val="en-GB"/>
        </w:rPr>
        <w:t xml:space="preserve"> on-balance sheet exposures purchased when in default in the same </w:t>
      </w:r>
      <w:r w:rsidR="007D1D8B" w:rsidRPr="00305E0F">
        <w:rPr>
          <w:color w:val="auto"/>
          <w:lang w:val="en-GB"/>
        </w:rPr>
        <w:t>manner</w:t>
      </w:r>
      <w:r w:rsidRPr="00305E0F">
        <w:rPr>
          <w:color w:val="auto"/>
          <w:lang w:val="en-GB"/>
        </w:rPr>
        <w:t xml:space="preserve"> as specific credit risk adjustments. Discounts on balance</w:t>
      </w:r>
      <w:r w:rsidR="007D1D8B" w:rsidRPr="00305E0F">
        <w:rPr>
          <w:color w:val="auto"/>
          <w:lang w:val="en-GB"/>
        </w:rPr>
        <w:t>-</w:t>
      </w:r>
      <w:r w:rsidRPr="00305E0F">
        <w:rPr>
          <w:color w:val="auto"/>
          <w:lang w:val="en-GB"/>
        </w:rPr>
        <w:t xml:space="preserve">sheet exposures purchased when not in default </w:t>
      </w:r>
      <w:r w:rsidR="007D1D8B" w:rsidRPr="00305E0F">
        <w:rPr>
          <w:color w:val="auto"/>
          <w:lang w:val="en-GB"/>
        </w:rPr>
        <w:t>shall not allowed to</w:t>
      </w:r>
      <w:r w:rsidRPr="00305E0F">
        <w:rPr>
          <w:color w:val="auto"/>
          <w:lang w:val="en-GB"/>
        </w:rPr>
        <w:t xml:space="preserve"> be included in the calculation of the IRB </w:t>
      </w:r>
      <w:r w:rsidR="007D1D8B" w:rsidRPr="00305E0F">
        <w:rPr>
          <w:color w:val="auto"/>
          <w:lang w:val="en-GB"/>
        </w:rPr>
        <w:t>shortfall</w:t>
      </w:r>
      <w:r w:rsidRPr="00305E0F">
        <w:rPr>
          <w:color w:val="auto"/>
          <w:lang w:val="en-GB"/>
        </w:rPr>
        <w:t xml:space="preserve"> or IRB </w:t>
      </w:r>
      <w:r w:rsidR="007D1D8B" w:rsidRPr="00305E0F">
        <w:rPr>
          <w:color w:val="auto"/>
          <w:lang w:val="en-GB"/>
        </w:rPr>
        <w:t>excess</w:t>
      </w:r>
      <w:r w:rsidRPr="00305E0F">
        <w:rPr>
          <w:color w:val="auto"/>
          <w:lang w:val="en-GB"/>
        </w:rPr>
        <w:t xml:space="preserve">. Specific credit risk adjustments for defaulted exposures shall not be used to cover expected loss amounts for other exposures. Expected loss amounts for securitised exposures and general and specific credit risk adjustments for those exposures shall not be included in the calculation of the IRB </w:t>
      </w:r>
      <w:r w:rsidR="007D1D8B" w:rsidRPr="00305E0F">
        <w:rPr>
          <w:color w:val="auto"/>
          <w:lang w:val="en-GB"/>
        </w:rPr>
        <w:t>shortfall</w:t>
      </w:r>
      <w:r w:rsidRPr="00305E0F">
        <w:rPr>
          <w:color w:val="auto"/>
          <w:lang w:val="en-GB"/>
        </w:rPr>
        <w:t xml:space="preserve"> or IRB </w:t>
      </w:r>
      <w:r w:rsidR="007D1D8B" w:rsidRPr="00305E0F">
        <w:rPr>
          <w:color w:val="auto"/>
          <w:lang w:val="en-GB"/>
        </w:rPr>
        <w:t>excess</w:t>
      </w:r>
      <w:r w:rsidRPr="00305E0F">
        <w:rPr>
          <w:color w:val="auto"/>
          <w:lang w:val="en-GB"/>
        </w:rPr>
        <w:t>.</w:t>
      </w:r>
    </w:p>
    <w:p w14:paraId="54B0334E" w14:textId="2D9B0E60" w:rsidR="00EB0050" w:rsidRPr="00305E0F" w:rsidRDefault="00B02122">
      <w:pPr>
        <w:pStyle w:val="P68B1DB1-ListParagraph13"/>
        <w:shd w:val="clear" w:color="auto" w:fill="FFFFFF"/>
        <w:tabs>
          <w:tab w:val="left" w:pos="0"/>
          <w:tab w:val="left" w:pos="567"/>
        </w:tabs>
        <w:spacing w:before="240" w:after="0" w:line="240" w:lineRule="auto"/>
        <w:ind w:left="0"/>
        <w:contextualSpacing w:val="0"/>
        <w:jc w:val="center"/>
        <w:rPr>
          <w:bCs/>
          <w:color w:val="auto"/>
          <w:lang w:val="en-GB"/>
        </w:rPr>
      </w:pPr>
      <w:r w:rsidRPr="00305E0F">
        <w:rPr>
          <w:color w:val="auto"/>
          <w:lang w:val="en-GB"/>
        </w:rPr>
        <w:t>Chapter IV</w:t>
      </w:r>
    </w:p>
    <w:p w14:paraId="06AD1048" w14:textId="429D0305" w:rsidR="00EB0050" w:rsidRPr="00305E0F" w:rsidRDefault="00B02122">
      <w:pPr>
        <w:pStyle w:val="P68B1DB1-ListParagraph13"/>
        <w:spacing w:after="120" w:line="240" w:lineRule="auto"/>
        <w:ind w:left="0"/>
        <w:contextualSpacing w:val="0"/>
        <w:jc w:val="center"/>
        <w:rPr>
          <w:color w:val="auto"/>
          <w:lang w:val="en-GB"/>
        </w:rPr>
      </w:pPr>
      <w:r w:rsidRPr="00305E0F">
        <w:rPr>
          <w:color w:val="auto"/>
          <w:lang w:val="en-GB"/>
        </w:rPr>
        <w:t>PD, LGD and maturity</w:t>
      </w:r>
    </w:p>
    <w:p w14:paraId="50859B6C" w14:textId="36408FD2"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color w:val="auto"/>
          <w:lang w:val="en-GB"/>
        </w:rPr>
      </w:pPr>
      <w:bookmarkStart w:id="97" w:name="_Hlk215129819"/>
      <w:r w:rsidRPr="00305E0F">
        <w:rPr>
          <w:color w:val="auto"/>
          <w:lang w:val="en-GB"/>
        </w:rPr>
        <w:t>Section 1</w:t>
      </w:r>
    </w:p>
    <w:bookmarkEnd w:id="97"/>
    <w:p w14:paraId="408D90B0" w14:textId="3A4D8321" w:rsidR="00EB0050" w:rsidRPr="00305E0F" w:rsidRDefault="00B02122" w:rsidP="008118AB">
      <w:pPr>
        <w:pStyle w:val="P68B1DB1-ListParagraph15"/>
        <w:shd w:val="clear" w:color="auto" w:fill="FFFFFF"/>
        <w:tabs>
          <w:tab w:val="left" w:pos="0"/>
          <w:tab w:val="left" w:pos="567"/>
        </w:tabs>
        <w:spacing w:before="60" w:after="0" w:line="240" w:lineRule="auto"/>
        <w:ind w:left="567"/>
        <w:jc w:val="center"/>
        <w:rPr>
          <w:bCs/>
          <w:iCs/>
          <w:color w:val="auto"/>
          <w:lang w:val="en-GB"/>
        </w:rPr>
      </w:pPr>
      <w:r w:rsidRPr="00305E0F">
        <w:rPr>
          <w:color w:val="auto"/>
          <w:lang w:val="en-GB"/>
        </w:rPr>
        <w:t>Exposures to corporates, banks, central governments and central banks, regional governments, local authorities and public sector entities</w:t>
      </w:r>
    </w:p>
    <w:p w14:paraId="6BFE3981" w14:textId="74C32B68" w:rsidR="00EB0050" w:rsidRPr="00305E0F" w:rsidRDefault="00B02122">
      <w:pPr>
        <w:pStyle w:val="P68B1DB1-ListParagraph15"/>
        <w:shd w:val="clear" w:color="auto" w:fill="FFFFFF"/>
        <w:tabs>
          <w:tab w:val="left" w:pos="0"/>
          <w:tab w:val="left" w:pos="567"/>
        </w:tabs>
        <w:spacing w:before="120" w:after="0" w:line="240" w:lineRule="auto"/>
        <w:ind w:left="567"/>
        <w:contextualSpacing w:val="0"/>
        <w:jc w:val="center"/>
        <w:rPr>
          <w:bCs/>
          <w:iCs/>
          <w:color w:val="auto"/>
          <w:lang w:val="en-GB"/>
        </w:rPr>
      </w:pPr>
      <w:r w:rsidRPr="00305E0F">
        <w:rPr>
          <w:color w:val="auto"/>
          <w:lang w:val="en-GB"/>
        </w:rPr>
        <w:t>Subsection 1</w:t>
      </w:r>
    </w:p>
    <w:p w14:paraId="0B37E7D2" w14:textId="4FB6A2EF" w:rsidR="00EB0050" w:rsidRPr="00305E0F" w:rsidRDefault="00B02122">
      <w:pPr>
        <w:pStyle w:val="P68B1DB1-ListParagraph15"/>
        <w:shd w:val="clear" w:color="auto" w:fill="FFFFFF"/>
        <w:tabs>
          <w:tab w:val="left" w:pos="0"/>
        </w:tabs>
        <w:spacing w:after="120" w:line="240" w:lineRule="auto"/>
        <w:ind w:left="0"/>
        <w:contextualSpacing w:val="0"/>
        <w:jc w:val="center"/>
        <w:rPr>
          <w:bCs/>
          <w:iCs/>
          <w:color w:val="auto"/>
          <w:lang w:val="en-GB"/>
        </w:rPr>
      </w:pPr>
      <w:r w:rsidRPr="00305E0F">
        <w:rPr>
          <w:color w:val="auto"/>
          <w:lang w:val="en-GB"/>
        </w:rPr>
        <w:t xml:space="preserve">Probability of default PD, LGD and CCF thresholds </w:t>
      </w:r>
    </w:p>
    <w:p w14:paraId="295A49F5" w14:textId="45846D26"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this Regulation, in particular with regard to </w:t>
      </w:r>
      <w:r w:rsidR="007D1D8B" w:rsidRPr="00305E0F">
        <w:rPr>
          <w:color w:val="auto"/>
          <w:lang w:val="en-GB"/>
        </w:rPr>
        <w:t xml:space="preserve">paragraphs </w:t>
      </w:r>
      <w:r w:rsidRPr="00305E0F">
        <w:rPr>
          <w:color w:val="auto"/>
          <w:lang w:val="en-GB"/>
        </w:rPr>
        <w:fldChar w:fldCharType="begin"/>
      </w:r>
      <w:r w:rsidRPr="00305E0F">
        <w:rPr>
          <w:color w:val="auto"/>
          <w:lang w:val="en-GB"/>
        </w:rPr>
        <w:instrText xml:space="preserve"> REF _Ref215503947 \r \h </w:instrText>
      </w:r>
      <w:r w:rsidRPr="00305E0F">
        <w:rPr>
          <w:color w:val="auto"/>
          <w:lang w:val="en-GB"/>
        </w:rPr>
      </w:r>
      <w:r w:rsidRPr="00305E0F">
        <w:rPr>
          <w:color w:val="auto"/>
          <w:lang w:val="en-GB"/>
        </w:rPr>
        <w:fldChar w:fldCharType="separate"/>
      </w:r>
      <w:r w:rsidR="00594C05" w:rsidRPr="00305E0F">
        <w:rPr>
          <w:color w:val="auto"/>
          <w:lang w:val="en-GB"/>
        </w:rPr>
        <w:t>107</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_Ref215221969 \r \h </w:instrText>
      </w:r>
      <w:r w:rsidRPr="00305E0F">
        <w:rPr>
          <w:color w:val="auto"/>
          <w:lang w:val="en-GB"/>
        </w:rPr>
      </w:r>
      <w:r w:rsidRPr="00305E0F">
        <w:rPr>
          <w:color w:val="auto"/>
          <w:lang w:val="en-GB"/>
        </w:rPr>
        <w:fldChar w:fldCharType="separate"/>
      </w:r>
      <w:r w:rsidR="00594C05" w:rsidRPr="00305E0F">
        <w:rPr>
          <w:color w:val="auto"/>
          <w:lang w:val="en-GB"/>
        </w:rPr>
        <w:t>117</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_Ref215230992 \r \h </w:instrText>
      </w:r>
      <w:r w:rsidRPr="00305E0F">
        <w:rPr>
          <w:color w:val="auto"/>
          <w:lang w:val="en-GB"/>
        </w:rPr>
      </w:r>
      <w:r w:rsidRPr="00305E0F">
        <w:rPr>
          <w:color w:val="auto"/>
          <w:lang w:val="en-GB"/>
        </w:rPr>
        <w:fldChar w:fldCharType="separate"/>
      </w:r>
      <w:r w:rsidR="00594C05" w:rsidRPr="00305E0F">
        <w:rPr>
          <w:color w:val="auto"/>
          <w:lang w:val="en-GB"/>
        </w:rPr>
        <w:t>136</w:t>
      </w:r>
      <w:r w:rsidRPr="00305E0F">
        <w:rPr>
          <w:color w:val="auto"/>
          <w:lang w:val="en-GB"/>
        </w:rPr>
        <w:fldChar w:fldCharType="end"/>
      </w:r>
      <w:r w:rsidRPr="00305E0F">
        <w:rPr>
          <w:color w:val="auto"/>
          <w:lang w:val="en-GB"/>
        </w:rPr>
        <w:t xml:space="preserve"> and</w:t>
      </w:r>
      <w:r w:rsidR="007D1D8B" w:rsidRPr="00305E0F">
        <w:rPr>
          <w:color w:val="auto"/>
          <w:lang w:val="en-GB"/>
        </w:rPr>
        <w:t xml:space="preserve"> </w:t>
      </w:r>
      <w:r w:rsidRPr="00305E0F">
        <w:rPr>
          <w:color w:val="auto"/>
          <w:lang w:val="en-GB"/>
        </w:rPr>
        <w:fldChar w:fldCharType="begin"/>
      </w:r>
      <w:r w:rsidRPr="00305E0F">
        <w:rPr>
          <w:color w:val="auto"/>
          <w:lang w:val="en-GB"/>
        </w:rPr>
        <w:instrText xml:space="preserve"> REF _Ref215504363 \r \h </w:instrText>
      </w:r>
      <w:r w:rsidRPr="00305E0F">
        <w:rPr>
          <w:color w:val="auto"/>
          <w:lang w:val="en-GB"/>
        </w:rPr>
      </w:r>
      <w:r w:rsidRPr="00305E0F">
        <w:rPr>
          <w:color w:val="auto"/>
          <w:lang w:val="en-GB"/>
        </w:rPr>
        <w:fldChar w:fldCharType="separate"/>
      </w:r>
      <w:r w:rsidR="00594C05" w:rsidRPr="00305E0F">
        <w:rPr>
          <w:color w:val="auto"/>
          <w:lang w:val="en-GB"/>
        </w:rPr>
        <w:t>158</w:t>
      </w:r>
      <w:r w:rsidRPr="00305E0F">
        <w:rPr>
          <w:color w:val="auto"/>
          <w:lang w:val="en-GB"/>
        </w:rPr>
        <w:fldChar w:fldCharType="end"/>
      </w:r>
      <w:r w:rsidRPr="00305E0F">
        <w:rPr>
          <w:color w:val="auto"/>
          <w:lang w:val="en-GB"/>
        </w:rPr>
        <w:t>, where an exposure is covered by an eligible guarantee provided by a central government or a central bank, the minimum thresholds of PD, LGD and CCF shall not apply to the part of the exposure that is covered by that guarantee. However, the part of the exposure not covered by that guarantee shall be subject to the minimum thresholds of the PD, LGD and CCF concerned.</w:t>
      </w:r>
    </w:p>
    <w:p w14:paraId="7B5379C7" w14:textId="504EA8B8"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98" w:name="_Ref215503947"/>
      <w:r w:rsidRPr="00305E0F">
        <w:rPr>
          <w:color w:val="auto"/>
          <w:lang w:val="en-GB"/>
        </w:rPr>
        <w:t xml:space="preserve">For exposures belonging to the exposure classes to banks or corporates  referred to in </w:t>
      </w:r>
      <w:r w:rsidR="00601ED3" w:rsidRPr="00305E0F">
        <w:rPr>
          <w:color w:val="auto"/>
          <w:lang w:val="en-GB"/>
        </w:rPr>
        <w:t>paragraph</w:t>
      </w:r>
      <w:r w:rsidRPr="00305E0F">
        <w:rPr>
          <w:color w:val="auto"/>
          <w:lang w:val="en-GB"/>
        </w:rPr>
        <w:t xml:space="preserve"> </w:t>
      </w:r>
      <w:r w:rsidR="00601ED3" w:rsidRPr="00305E0F">
        <w:rPr>
          <w:color w:val="auto"/>
          <w:lang w:val="en-GB"/>
        </w:rPr>
        <w:fldChar w:fldCharType="begin"/>
      </w:r>
      <w:r w:rsidR="00601ED3" w:rsidRPr="00305E0F">
        <w:rPr>
          <w:color w:val="auto"/>
          <w:lang w:val="en-GB"/>
        </w:rPr>
        <w:instrText xml:space="preserve"> REF _Ref214974472 \r \h </w:instrText>
      </w:r>
      <w:r w:rsidR="00601ED3" w:rsidRPr="00305E0F">
        <w:rPr>
          <w:color w:val="auto"/>
          <w:lang w:val="en-GB"/>
        </w:rPr>
      </w:r>
      <w:r w:rsidR="00601ED3" w:rsidRPr="00305E0F">
        <w:rPr>
          <w:color w:val="auto"/>
          <w:lang w:val="en-GB"/>
        </w:rPr>
        <w:fldChar w:fldCharType="separate"/>
      </w:r>
      <w:r w:rsidR="00601ED3" w:rsidRPr="00305E0F">
        <w:rPr>
          <w:color w:val="auto"/>
          <w:lang w:val="en-GB"/>
        </w:rPr>
        <w:t>19</w:t>
      </w:r>
      <w:r w:rsidR="00601ED3" w:rsidRPr="00305E0F">
        <w:rPr>
          <w:color w:val="auto"/>
          <w:lang w:val="en-GB"/>
        </w:rPr>
        <w:fldChar w:fldCharType="end"/>
      </w:r>
      <w:r w:rsidR="00601ED3" w:rsidRPr="00305E0F">
        <w:rPr>
          <w:color w:val="auto"/>
          <w:lang w:val="en-GB"/>
        </w:rPr>
        <w:t xml:space="preserve"> sub-paragraphs </w:t>
      </w:r>
      <w:r w:rsidRPr="00305E0F">
        <w:rPr>
          <w:color w:val="auto"/>
          <w:lang w:val="en-GB"/>
        </w:rPr>
        <w:fldChar w:fldCharType="begin"/>
      </w:r>
      <w:r w:rsidRPr="00305E0F">
        <w:rPr>
          <w:color w:val="auto"/>
          <w:lang w:val="en-GB"/>
        </w:rPr>
        <w:instrText xml:space="preserve"> REF _Ref215071482 \r \h </w:instrText>
      </w:r>
      <w:r w:rsidRPr="00305E0F">
        <w:rPr>
          <w:color w:val="auto"/>
          <w:lang w:val="en-GB"/>
        </w:rPr>
      </w:r>
      <w:r w:rsidRPr="00305E0F">
        <w:rPr>
          <w:color w:val="auto"/>
          <w:lang w:val="en-GB"/>
        </w:rPr>
        <w:fldChar w:fldCharType="separate"/>
      </w:r>
      <w:r w:rsidR="00594C05" w:rsidRPr="00305E0F">
        <w:rPr>
          <w:color w:val="auto"/>
          <w:lang w:val="en-GB"/>
        </w:rPr>
        <w:t>19.3</w:t>
      </w:r>
      <w:r w:rsidRPr="00305E0F">
        <w:rPr>
          <w:color w:val="auto"/>
          <w:lang w:val="en-GB"/>
        </w:rPr>
        <w:fldChar w:fldCharType="end"/>
      </w:r>
      <w:r w:rsidRPr="00305E0F">
        <w:rPr>
          <w:color w:val="auto"/>
          <w:lang w:val="en-GB"/>
        </w:rPr>
        <w:t xml:space="preserve"> or</w:t>
      </w:r>
      <w:r w:rsidR="00601ED3" w:rsidRPr="00305E0F">
        <w:rPr>
          <w:color w:val="auto"/>
          <w:lang w:val="en-GB"/>
        </w:rPr>
        <w:t xml:space="preserve"> </w:t>
      </w:r>
      <w:r w:rsidRPr="00305E0F">
        <w:rPr>
          <w:color w:val="auto"/>
          <w:lang w:val="en-GB"/>
        </w:rPr>
        <w:fldChar w:fldCharType="begin"/>
      </w:r>
      <w:r w:rsidRPr="00305E0F">
        <w:rPr>
          <w:color w:val="auto"/>
          <w:lang w:val="en-GB"/>
        </w:rPr>
        <w:instrText xml:space="preserve"> REF _Ref214978989 \r \h </w:instrText>
      </w:r>
      <w:r w:rsidRPr="00305E0F">
        <w:rPr>
          <w:color w:val="auto"/>
          <w:lang w:val="en-GB"/>
        </w:rPr>
      </w:r>
      <w:r w:rsidRPr="00305E0F">
        <w:rPr>
          <w:color w:val="auto"/>
          <w:lang w:val="en-GB"/>
        </w:rPr>
        <w:fldChar w:fldCharType="separate"/>
      </w:r>
      <w:r w:rsidR="00594C05" w:rsidRPr="00305E0F">
        <w:rPr>
          <w:color w:val="auto"/>
          <w:lang w:val="en-GB"/>
        </w:rPr>
        <w:t>19.4</w:t>
      </w:r>
      <w:r w:rsidRPr="00305E0F">
        <w:rPr>
          <w:color w:val="auto"/>
          <w:lang w:val="en-GB"/>
        </w:rPr>
        <w:fldChar w:fldCharType="end"/>
      </w:r>
      <w:r w:rsidRPr="00305E0F">
        <w:rPr>
          <w:color w:val="auto"/>
          <w:lang w:val="en-GB"/>
        </w:rPr>
        <w:t xml:space="preserve">, for the sole purpose of calculating risk-weighted exposure amounts and expected loss amounts of those exposures, and in particular for the purposes of </w:t>
      </w:r>
      <w:r w:rsidR="00601ED3" w:rsidRPr="00305E0F">
        <w:rPr>
          <w:color w:val="auto"/>
          <w:lang w:val="en-GB"/>
        </w:rPr>
        <w:t>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_Ref215047688 \r \h </w:instrText>
      </w:r>
      <w:r w:rsidRPr="00305E0F">
        <w:rPr>
          <w:color w:val="auto"/>
          <w:lang w:val="en-GB"/>
        </w:rPr>
      </w:r>
      <w:r w:rsidRPr="00305E0F">
        <w:rPr>
          <w:color w:val="auto"/>
          <w:lang w:val="en-GB"/>
        </w:rPr>
        <w:fldChar w:fldCharType="separate"/>
      </w:r>
      <w:r w:rsidR="00594C05" w:rsidRPr="00305E0F">
        <w:rPr>
          <w:color w:val="auto"/>
          <w:lang w:val="en-GB"/>
        </w:rPr>
        <w:t>71</w:t>
      </w:r>
      <w:r w:rsidRPr="00305E0F">
        <w:rPr>
          <w:color w:val="auto"/>
          <w:lang w:val="en-GB"/>
        </w:rPr>
        <w:fldChar w:fldCharType="end"/>
      </w:r>
      <w:r w:rsidR="00601ED3" w:rsidRPr="00305E0F">
        <w:rPr>
          <w:color w:val="auto"/>
          <w:lang w:val="en-GB"/>
        </w:rPr>
        <w:t xml:space="preserve"> </w:t>
      </w:r>
      <w:r w:rsidRPr="00305E0F">
        <w:rPr>
          <w:color w:val="auto"/>
          <w:lang w:val="en-GB"/>
        </w:rPr>
        <w:t>to</w:t>
      </w:r>
      <w:r w:rsidR="00601ED3" w:rsidRPr="00305E0F">
        <w:rPr>
          <w:color w:val="auto"/>
          <w:lang w:val="en-GB"/>
        </w:rPr>
        <w:t xml:space="preserve"> </w:t>
      </w:r>
      <w:r w:rsidRPr="00305E0F">
        <w:rPr>
          <w:color w:val="auto"/>
          <w:lang w:val="en-GB"/>
        </w:rPr>
        <w:fldChar w:fldCharType="begin"/>
      </w:r>
      <w:r w:rsidRPr="00305E0F">
        <w:rPr>
          <w:color w:val="auto"/>
          <w:lang w:val="en-GB"/>
        </w:rPr>
        <w:instrText xml:space="preserve"> REF _Ref215230416 \r \h </w:instrText>
      </w:r>
      <w:r w:rsidRPr="00305E0F">
        <w:rPr>
          <w:color w:val="auto"/>
          <w:lang w:val="en-GB"/>
        </w:rPr>
      </w:r>
      <w:r w:rsidRPr="00305E0F">
        <w:rPr>
          <w:color w:val="auto"/>
          <w:lang w:val="en-GB"/>
        </w:rPr>
        <w:fldChar w:fldCharType="separate"/>
      </w:r>
      <w:r w:rsidR="00594C05" w:rsidRPr="00305E0F">
        <w:rPr>
          <w:color w:val="auto"/>
          <w:lang w:val="en-GB"/>
        </w:rPr>
        <w:t>79</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_Ref215068985 \r \h </w:instrText>
      </w:r>
      <w:r w:rsidRPr="00305E0F">
        <w:rPr>
          <w:color w:val="auto"/>
          <w:lang w:val="en-GB"/>
        </w:rPr>
      </w:r>
      <w:r w:rsidRPr="00305E0F">
        <w:rPr>
          <w:color w:val="auto"/>
          <w:lang w:val="en-GB"/>
        </w:rPr>
        <w:fldChar w:fldCharType="separate"/>
      </w:r>
      <w:r w:rsidR="00594C05" w:rsidRPr="00305E0F">
        <w:rPr>
          <w:color w:val="auto"/>
          <w:lang w:val="en-GB"/>
        </w:rPr>
        <w:t>89</w:t>
      </w:r>
      <w:r w:rsidRPr="00305E0F">
        <w:rPr>
          <w:color w:val="auto"/>
          <w:lang w:val="en-GB"/>
        </w:rPr>
        <w:fldChar w:fldCharType="end"/>
      </w:r>
      <w:r w:rsidR="00601ED3" w:rsidRPr="00305E0F">
        <w:rPr>
          <w:color w:val="auto"/>
          <w:lang w:val="en-GB"/>
        </w:rPr>
        <w:t xml:space="preserve"> </w:t>
      </w:r>
      <w:r w:rsidR="008118AB" w:rsidRPr="00305E0F">
        <w:rPr>
          <w:color w:val="auto"/>
          <w:lang w:val="en-GB"/>
        </w:rPr>
        <w:t>to</w:t>
      </w:r>
      <w:r w:rsidR="00601ED3" w:rsidRPr="00305E0F">
        <w:rPr>
          <w:color w:val="auto"/>
          <w:lang w:val="en-GB"/>
        </w:rPr>
        <w:t xml:space="preserve"> </w:t>
      </w:r>
      <w:r w:rsidRPr="00305E0F">
        <w:rPr>
          <w:color w:val="auto"/>
          <w:lang w:val="en-GB"/>
        </w:rPr>
        <w:fldChar w:fldCharType="begin"/>
      </w:r>
      <w:r w:rsidRPr="00305E0F">
        <w:rPr>
          <w:color w:val="auto"/>
          <w:lang w:val="en-GB"/>
        </w:rPr>
        <w:instrText xml:space="preserve"> REF _Ref215221235 \r \h </w:instrText>
      </w:r>
      <w:r w:rsidRPr="00305E0F">
        <w:rPr>
          <w:color w:val="auto"/>
          <w:lang w:val="en-GB"/>
        </w:rPr>
      </w:r>
      <w:r w:rsidRPr="00305E0F">
        <w:rPr>
          <w:color w:val="auto"/>
          <w:lang w:val="en-GB"/>
        </w:rPr>
        <w:fldChar w:fldCharType="separate"/>
      </w:r>
      <w:r w:rsidR="00594C05" w:rsidRPr="00305E0F">
        <w:rPr>
          <w:color w:val="auto"/>
          <w:lang w:val="en-GB"/>
        </w:rPr>
        <w:t>93</w:t>
      </w:r>
      <w:r w:rsidRPr="00305E0F">
        <w:rPr>
          <w:color w:val="auto"/>
          <w:lang w:val="en-GB"/>
        </w:rPr>
        <w:fldChar w:fldCharType="end"/>
      </w:r>
      <w:r w:rsidR="00601ED3" w:rsidRPr="00305E0F">
        <w:rPr>
          <w:color w:val="auto"/>
          <w:lang w:val="en-GB"/>
        </w:rPr>
        <w:t xml:space="preserve"> and paragraphs </w:t>
      </w:r>
      <w:r w:rsidRPr="00305E0F">
        <w:rPr>
          <w:color w:val="auto"/>
          <w:lang w:val="en-GB"/>
        </w:rPr>
        <w:fldChar w:fldCharType="begin"/>
      </w:r>
      <w:r w:rsidRPr="00305E0F">
        <w:rPr>
          <w:color w:val="auto"/>
          <w:lang w:val="en-GB"/>
        </w:rPr>
        <w:instrText xml:space="preserve"> REF _Ref215086495 \r \h </w:instrText>
      </w:r>
      <w:r w:rsidRPr="00305E0F">
        <w:rPr>
          <w:color w:val="auto"/>
          <w:lang w:val="en-GB"/>
        </w:rPr>
      </w:r>
      <w:r w:rsidRPr="00305E0F">
        <w:rPr>
          <w:color w:val="auto"/>
          <w:lang w:val="en-GB"/>
        </w:rPr>
        <w:fldChar w:fldCharType="separate"/>
      </w:r>
      <w:r w:rsidR="00594C05" w:rsidRPr="00305E0F">
        <w:rPr>
          <w:color w:val="auto"/>
          <w:lang w:val="en-GB"/>
        </w:rPr>
        <w:t>94</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_Ref215086356 \r \h </w:instrText>
      </w:r>
      <w:r w:rsidRPr="00305E0F">
        <w:rPr>
          <w:color w:val="auto"/>
          <w:lang w:val="en-GB"/>
        </w:rPr>
      </w:r>
      <w:r w:rsidRPr="00305E0F">
        <w:rPr>
          <w:color w:val="auto"/>
          <w:lang w:val="en-GB"/>
        </w:rPr>
        <w:fldChar w:fldCharType="separate"/>
      </w:r>
      <w:r w:rsidR="00594C05" w:rsidRPr="00305E0F">
        <w:rPr>
          <w:color w:val="auto"/>
          <w:lang w:val="en-GB"/>
        </w:rPr>
        <w:t>98</w:t>
      </w:r>
      <w:r w:rsidRPr="00305E0F">
        <w:rPr>
          <w:color w:val="auto"/>
          <w:lang w:val="en-GB"/>
        </w:rPr>
        <w:fldChar w:fldCharType="end"/>
      </w:r>
      <w:r w:rsidR="00601ED3" w:rsidRPr="00305E0F">
        <w:rPr>
          <w:color w:val="auto"/>
          <w:lang w:val="en-GB"/>
        </w:rPr>
        <w:t>-</w:t>
      </w:r>
      <w:r w:rsidRPr="00305E0F">
        <w:rPr>
          <w:color w:val="auto"/>
          <w:lang w:val="en-GB"/>
        </w:rPr>
        <w:fldChar w:fldCharType="begin"/>
      </w:r>
      <w:r w:rsidRPr="00305E0F">
        <w:rPr>
          <w:color w:val="auto"/>
          <w:lang w:val="en-GB"/>
        </w:rPr>
        <w:instrText xml:space="preserve"> REF _Ref215221320 \r \h </w:instrText>
      </w:r>
      <w:r w:rsidRPr="00305E0F">
        <w:rPr>
          <w:color w:val="auto"/>
          <w:lang w:val="en-GB"/>
        </w:rPr>
      </w:r>
      <w:r w:rsidRPr="00305E0F">
        <w:rPr>
          <w:color w:val="auto"/>
          <w:lang w:val="en-GB"/>
        </w:rPr>
        <w:fldChar w:fldCharType="separate"/>
      </w:r>
      <w:r w:rsidR="00594C05" w:rsidRPr="00305E0F">
        <w:rPr>
          <w:color w:val="auto"/>
          <w:lang w:val="en-GB"/>
        </w:rPr>
        <w:t>99</w:t>
      </w:r>
      <w:r w:rsidRPr="00305E0F">
        <w:rPr>
          <w:color w:val="auto"/>
          <w:lang w:val="en-GB"/>
        </w:rPr>
        <w:fldChar w:fldCharType="end"/>
      </w:r>
      <w:r w:rsidRPr="00305E0F">
        <w:rPr>
          <w:color w:val="auto"/>
          <w:lang w:val="en-GB"/>
        </w:rPr>
        <w:t xml:space="preserve"> and</w:t>
      </w:r>
      <w:r w:rsidR="00601ED3"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_Ref215086374 \r \h </w:instrText>
      </w:r>
      <w:r w:rsidRPr="00305E0F">
        <w:rPr>
          <w:color w:val="auto"/>
          <w:lang w:val="en-GB"/>
        </w:rPr>
      </w:r>
      <w:r w:rsidRPr="00305E0F">
        <w:rPr>
          <w:color w:val="auto"/>
          <w:lang w:val="en-GB"/>
        </w:rPr>
        <w:fldChar w:fldCharType="separate"/>
      </w:r>
      <w:r w:rsidR="00594C05" w:rsidRPr="00305E0F">
        <w:rPr>
          <w:color w:val="auto"/>
          <w:lang w:val="en-GB"/>
        </w:rPr>
        <w:t>102</w:t>
      </w:r>
      <w:r w:rsidRPr="00305E0F">
        <w:rPr>
          <w:color w:val="auto"/>
          <w:lang w:val="en-GB"/>
        </w:rPr>
        <w:fldChar w:fldCharType="end"/>
      </w:r>
      <w:r w:rsidRPr="00305E0F">
        <w:rPr>
          <w:color w:val="auto"/>
          <w:lang w:val="en-GB"/>
        </w:rPr>
        <w:t xml:space="preserve">, the PD value for each exposure that is used as an input to the formula for calculating risk-weighted exposure amounts and expected loss shall not be </w:t>
      </w:r>
      <w:r w:rsidR="00601ED3" w:rsidRPr="00305E0F">
        <w:rPr>
          <w:color w:val="auto"/>
          <w:lang w:val="en-GB"/>
        </w:rPr>
        <w:t>less</w:t>
      </w:r>
      <w:r w:rsidRPr="00305E0F">
        <w:rPr>
          <w:color w:val="auto"/>
          <w:lang w:val="en-GB"/>
        </w:rPr>
        <w:t xml:space="preserve"> than the following PD </w:t>
      </w:r>
      <w:r w:rsidR="00601ED3" w:rsidRPr="00305E0F">
        <w:rPr>
          <w:color w:val="auto"/>
          <w:lang w:val="en-GB"/>
        </w:rPr>
        <w:t xml:space="preserve">input </w:t>
      </w:r>
      <w:r w:rsidRPr="00305E0F">
        <w:rPr>
          <w:color w:val="auto"/>
          <w:lang w:val="en-GB"/>
        </w:rPr>
        <w:t>floor value: 0,05%.</w:t>
      </w:r>
      <w:bookmarkEnd w:id="98"/>
    </w:p>
    <w:p w14:paraId="087AC486" w14:textId="6003BDC5"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exposures belonging to the exposure classes referred to in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_Ref214974754 \r \h </w:instrText>
      </w:r>
      <w:r w:rsidRPr="00305E0F">
        <w:rPr>
          <w:color w:val="auto"/>
          <w:lang w:val="en-GB"/>
        </w:rPr>
      </w:r>
      <w:r w:rsidRPr="00305E0F">
        <w:rPr>
          <w:color w:val="auto"/>
          <w:lang w:val="en-GB"/>
        </w:rPr>
        <w:fldChar w:fldCharType="separate"/>
      </w:r>
      <w:r w:rsidR="00594C05" w:rsidRPr="00305E0F">
        <w:rPr>
          <w:color w:val="auto"/>
          <w:lang w:val="en-GB"/>
        </w:rPr>
        <w:t>19.2</w:t>
      </w:r>
      <w:r w:rsidRPr="00305E0F">
        <w:rPr>
          <w:color w:val="auto"/>
          <w:lang w:val="en-GB"/>
        </w:rPr>
        <w:fldChar w:fldCharType="end"/>
      </w:r>
      <w:r w:rsidRPr="00305E0F">
        <w:rPr>
          <w:color w:val="auto"/>
          <w:lang w:val="en-GB"/>
        </w:rPr>
        <w:t>, for the sole purpose of calculating risk-weighted exposure amounts and expected loss amounts for those exposures, the PD value for each exposure that is used as an input to the formula for calculating risk-weighted exposure amounts and expected loss shall not be lower than the following PD floor value: 0,03%.</w:t>
      </w:r>
    </w:p>
    <w:p w14:paraId="043FB58F" w14:textId="46336D8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lastRenderedPageBreak/>
        <w:t>In the case of corporate receivables exposures purchased by the bank for which the bank cannot estimate PDs or for which the bank's estimates of PDs do not meet the requirements set out in Chapter VI, PDs shall be determined in accordance with the following methods:</w:t>
      </w:r>
    </w:p>
    <w:p w14:paraId="71F2570D" w14:textId="7B90D3BF"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For senior </w:t>
      </w:r>
      <w:r w:rsidR="00C227F5" w:rsidRPr="00305E0F">
        <w:rPr>
          <w:color w:val="auto"/>
          <w:lang w:val="en-GB"/>
        </w:rPr>
        <w:t>claims</w:t>
      </w:r>
      <w:r w:rsidRPr="00305E0F">
        <w:rPr>
          <w:color w:val="auto"/>
          <w:lang w:val="en-GB"/>
        </w:rPr>
        <w:t xml:space="preserve"> in corporate receivables purchased by the bank, PD </w:t>
      </w:r>
      <w:r w:rsidR="00C227F5" w:rsidRPr="00305E0F">
        <w:rPr>
          <w:color w:val="auto"/>
          <w:lang w:val="en-GB"/>
        </w:rPr>
        <w:t>shall be</w:t>
      </w:r>
      <w:r w:rsidRPr="00305E0F">
        <w:rPr>
          <w:color w:val="auto"/>
          <w:lang w:val="en-GB"/>
        </w:rPr>
        <w:t xml:space="preserve"> the bank’s estimate of expected loss divided by LGD for those receivables;</w:t>
      </w:r>
    </w:p>
    <w:p w14:paraId="684D7AE9" w14:textId="175CD344" w:rsidR="00EB0050" w:rsidRPr="00305E0F" w:rsidRDefault="00B02122">
      <w:pPr>
        <w:pStyle w:val="P68B1DB1-ListParagraph11"/>
        <w:numPr>
          <w:ilvl w:val="1"/>
          <w:numId w:val="2"/>
        </w:numPr>
        <w:shd w:val="clear" w:color="auto" w:fill="FFFFFF"/>
        <w:tabs>
          <w:tab w:val="left" w:pos="0"/>
          <w:tab w:val="left" w:pos="567"/>
        </w:tabs>
        <w:spacing w:before="60" w:after="0" w:line="240" w:lineRule="auto"/>
        <w:jc w:val="both"/>
        <w:rPr>
          <w:color w:val="auto"/>
          <w:sz w:val="24"/>
          <w:szCs w:val="24"/>
          <w:lang w:val="en-GB"/>
        </w:rPr>
      </w:pPr>
      <w:r w:rsidRPr="00305E0F">
        <w:rPr>
          <w:color w:val="auto"/>
          <w:sz w:val="24"/>
          <w:szCs w:val="24"/>
          <w:lang w:val="en-GB"/>
        </w:rPr>
        <w:t xml:space="preserve">For subordinated </w:t>
      </w:r>
      <w:r w:rsidR="00C227F5" w:rsidRPr="00305E0F">
        <w:rPr>
          <w:color w:val="auto"/>
          <w:sz w:val="24"/>
          <w:szCs w:val="24"/>
          <w:lang w:val="en-GB"/>
        </w:rPr>
        <w:t>claims</w:t>
      </w:r>
      <w:r w:rsidRPr="00305E0F">
        <w:rPr>
          <w:color w:val="auto"/>
          <w:sz w:val="24"/>
          <w:szCs w:val="24"/>
          <w:lang w:val="en-GB"/>
        </w:rPr>
        <w:t xml:space="preserve"> in respect of claims on </w:t>
      </w:r>
      <w:r w:rsidR="00C227F5" w:rsidRPr="00305E0F">
        <w:rPr>
          <w:color w:val="auto"/>
          <w:sz w:val="24"/>
          <w:szCs w:val="24"/>
          <w:lang w:val="en-GB"/>
        </w:rPr>
        <w:t>corporates</w:t>
      </w:r>
      <w:r w:rsidRPr="00305E0F">
        <w:rPr>
          <w:color w:val="auto"/>
          <w:sz w:val="24"/>
          <w:szCs w:val="24"/>
          <w:lang w:val="en-GB"/>
        </w:rPr>
        <w:t xml:space="preserve"> </w:t>
      </w:r>
      <w:r w:rsidR="00C227F5" w:rsidRPr="00305E0F">
        <w:rPr>
          <w:color w:val="auto"/>
          <w:sz w:val="24"/>
          <w:szCs w:val="24"/>
          <w:lang w:val="en-GB"/>
        </w:rPr>
        <w:t>purchased</w:t>
      </w:r>
      <w:r w:rsidRPr="00305E0F">
        <w:rPr>
          <w:color w:val="auto"/>
          <w:sz w:val="24"/>
          <w:szCs w:val="24"/>
          <w:lang w:val="en-GB"/>
        </w:rPr>
        <w:t xml:space="preserve"> by the bank, PD </w:t>
      </w:r>
      <w:r w:rsidR="00C227F5" w:rsidRPr="00305E0F">
        <w:rPr>
          <w:color w:val="auto"/>
          <w:sz w:val="24"/>
          <w:szCs w:val="24"/>
          <w:lang w:val="en-GB"/>
        </w:rPr>
        <w:t>shall be</w:t>
      </w:r>
      <w:r w:rsidRPr="00305E0F">
        <w:rPr>
          <w:color w:val="auto"/>
          <w:sz w:val="24"/>
          <w:szCs w:val="24"/>
          <w:lang w:val="en-GB"/>
        </w:rPr>
        <w:t xml:space="preserve"> the bank’s estimate of expected loss;</w:t>
      </w:r>
      <w:r w:rsidRPr="00305E0F">
        <w:rPr>
          <w:color w:val="auto"/>
          <w:sz w:val="18"/>
          <w:szCs w:val="18"/>
          <w:highlight w:val="lightGray"/>
          <w:lang w:val="en-GB"/>
        </w:rPr>
        <w:t xml:space="preserve"> </w:t>
      </w:r>
    </w:p>
    <w:p w14:paraId="3CBF7A84" w14:textId="50EBE962" w:rsidR="00EB0050" w:rsidRPr="00305E0F" w:rsidRDefault="00B02122">
      <w:pPr>
        <w:pStyle w:val="P68B1DB1-ListParagraph11"/>
        <w:numPr>
          <w:ilvl w:val="1"/>
          <w:numId w:val="2"/>
        </w:numPr>
        <w:shd w:val="clear" w:color="auto" w:fill="FFFFFF"/>
        <w:tabs>
          <w:tab w:val="left" w:pos="0"/>
          <w:tab w:val="left" w:pos="567"/>
        </w:tabs>
        <w:spacing w:before="60" w:after="0" w:line="240" w:lineRule="auto"/>
        <w:jc w:val="both"/>
        <w:rPr>
          <w:color w:val="auto"/>
          <w:sz w:val="24"/>
          <w:szCs w:val="24"/>
          <w:lang w:val="en-GB"/>
        </w:rPr>
      </w:pPr>
      <w:r w:rsidRPr="00305E0F">
        <w:rPr>
          <w:color w:val="auto"/>
          <w:sz w:val="24"/>
          <w:szCs w:val="24"/>
          <w:lang w:val="en-GB"/>
        </w:rPr>
        <w:t xml:space="preserve">A bank that has received, pursuant to paragraphs </w:t>
      </w:r>
      <w:r w:rsidRPr="00305E0F">
        <w:rPr>
          <w:color w:val="auto"/>
          <w:sz w:val="24"/>
          <w:szCs w:val="24"/>
          <w:lang w:val="en-GB"/>
        </w:rPr>
        <w:fldChar w:fldCharType="begin"/>
      </w:r>
      <w:r w:rsidRPr="00305E0F">
        <w:rPr>
          <w:color w:val="auto"/>
          <w:sz w:val="24"/>
          <w:szCs w:val="24"/>
          <w:lang w:val="en-GB"/>
        </w:rPr>
        <w:instrText xml:space="preserve"> REF _Ref215069496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4</w:t>
      </w:r>
      <w:r w:rsidRPr="00305E0F">
        <w:rPr>
          <w:color w:val="auto"/>
          <w:sz w:val="24"/>
          <w:szCs w:val="24"/>
          <w:lang w:val="en-GB"/>
        </w:rPr>
        <w:fldChar w:fldCharType="end"/>
      </w:r>
      <w:r w:rsidR="00C227F5" w:rsidRPr="00305E0F">
        <w:rPr>
          <w:color w:val="auto"/>
          <w:sz w:val="24"/>
          <w:szCs w:val="24"/>
          <w:lang w:val="en-GB"/>
        </w:rPr>
        <w:t>-</w:t>
      </w:r>
      <w:r w:rsidRPr="00305E0F">
        <w:rPr>
          <w:color w:val="auto"/>
          <w:sz w:val="24"/>
          <w:szCs w:val="24"/>
          <w:lang w:val="en-GB"/>
        </w:rPr>
        <w:fldChar w:fldCharType="begin"/>
      </w:r>
      <w:r w:rsidRPr="00305E0F">
        <w:rPr>
          <w:color w:val="auto"/>
          <w:sz w:val="24"/>
          <w:szCs w:val="24"/>
          <w:lang w:val="en-GB"/>
        </w:rPr>
        <w:instrText xml:space="preserve"> REF _Ref215069507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7</w:t>
      </w:r>
      <w:r w:rsidRPr="00305E0F">
        <w:rPr>
          <w:color w:val="auto"/>
          <w:sz w:val="24"/>
          <w:szCs w:val="24"/>
          <w:lang w:val="en-GB"/>
        </w:rPr>
        <w:fldChar w:fldCharType="end"/>
      </w:r>
      <w:r w:rsidRPr="00305E0F">
        <w:rPr>
          <w:color w:val="auto"/>
          <w:sz w:val="24"/>
          <w:szCs w:val="24"/>
          <w:lang w:val="en-GB"/>
        </w:rPr>
        <w:t>, the approval of the National Bank of Moldova to use its own LGD estimates for exposures to corporates and that can decompose its EL estimates for purchased corporate receivables into PDs and LGDs in a manner that the National Bank of Moldova considers reliable, may use the PD estimate resulting from this decomposition.</w:t>
      </w:r>
      <w:r w:rsidRPr="00305E0F">
        <w:rPr>
          <w:color w:val="auto"/>
          <w:sz w:val="18"/>
          <w:szCs w:val="18"/>
          <w:highlight w:val="lightGray"/>
          <w:lang w:val="en-GB"/>
        </w:rPr>
        <w:t xml:space="preserve"> </w:t>
      </w:r>
    </w:p>
    <w:p w14:paraId="6368A383" w14:textId="621FB3E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In the case of defaulted obligors, the PD shall be 100%.</w:t>
      </w:r>
    </w:p>
    <w:p w14:paraId="20921FFA" w14:textId="57A0EA80"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r w:rsidRPr="00305E0F">
        <w:rPr>
          <w:color w:val="auto"/>
          <w:sz w:val="24"/>
          <w:szCs w:val="24"/>
          <w:lang w:val="en-GB"/>
        </w:rPr>
        <w:t xml:space="preserve">In the case of an exposure covered by unfunded credit protection, a bank using its own estimates of LGD under paragraphs </w:t>
      </w:r>
      <w:r w:rsidRPr="00305E0F">
        <w:rPr>
          <w:color w:val="auto"/>
          <w:sz w:val="24"/>
          <w:szCs w:val="24"/>
          <w:lang w:val="en-GB"/>
        </w:rPr>
        <w:fldChar w:fldCharType="begin"/>
      </w:r>
      <w:r w:rsidRPr="00305E0F">
        <w:rPr>
          <w:color w:val="auto"/>
          <w:sz w:val="24"/>
          <w:szCs w:val="24"/>
          <w:lang w:val="en-GB"/>
        </w:rPr>
        <w:instrText xml:space="preserve"> REF _Ref215069496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4</w:t>
      </w:r>
      <w:r w:rsidRPr="00305E0F">
        <w:rPr>
          <w:color w:val="auto"/>
          <w:sz w:val="24"/>
          <w:szCs w:val="24"/>
          <w:lang w:val="en-GB"/>
        </w:rPr>
        <w:fldChar w:fldCharType="end"/>
      </w:r>
      <w:r w:rsidRPr="00305E0F">
        <w:rPr>
          <w:color w:val="auto"/>
          <w:sz w:val="24"/>
          <w:szCs w:val="24"/>
          <w:lang w:val="en-GB"/>
        </w:rPr>
        <w:t>-</w:t>
      </w:r>
      <w:r w:rsidRPr="00305E0F">
        <w:rPr>
          <w:color w:val="auto"/>
          <w:sz w:val="24"/>
          <w:szCs w:val="24"/>
          <w:lang w:val="en-GB"/>
        </w:rPr>
        <w:fldChar w:fldCharType="begin"/>
      </w:r>
      <w:r w:rsidRPr="00305E0F">
        <w:rPr>
          <w:color w:val="auto"/>
          <w:sz w:val="24"/>
          <w:szCs w:val="24"/>
          <w:lang w:val="en-GB"/>
        </w:rPr>
        <w:instrText xml:space="preserve"> REF _Ref215069507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7</w:t>
      </w:r>
      <w:r w:rsidRPr="00305E0F">
        <w:rPr>
          <w:color w:val="auto"/>
          <w:sz w:val="24"/>
          <w:szCs w:val="24"/>
          <w:lang w:val="en-GB"/>
        </w:rPr>
        <w:fldChar w:fldCharType="end"/>
      </w:r>
      <w:r w:rsidRPr="00305E0F">
        <w:rPr>
          <w:color w:val="auto"/>
          <w:sz w:val="24"/>
          <w:szCs w:val="24"/>
          <w:lang w:val="en-GB"/>
        </w:rPr>
        <w:t xml:space="preserve"> both for the exposure covered by unfunded credit protection and for comparable direct exposures to the protection provider may recognise the unfunded credit protection in the LGD in accordance with paragraphs </w:t>
      </w:r>
      <w:r w:rsidRPr="00305E0F">
        <w:rPr>
          <w:color w:val="auto"/>
          <w:sz w:val="24"/>
          <w:szCs w:val="24"/>
          <w:lang w:val="en-GB"/>
        </w:rPr>
        <w:fldChar w:fldCharType="begin"/>
      </w:r>
      <w:r w:rsidRPr="00305E0F">
        <w:rPr>
          <w:color w:val="auto"/>
          <w:sz w:val="24"/>
          <w:szCs w:val="24"/>
          <w:lang w:val="en-GB"/>
        </w:rPr>
        <w:instrText xml:space="preserve"> REF _Ref215298820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220</w:t>
      </w:r>
      <w:r w:rsidRPr="00305E0F">
        <w:rPr>
          <w:color w:val="auto"/>
          <w:sz w:val="24"/>
          <w:szCs w:val="24"/>
          <w:lang w:val="en-GB"/>
        </w:rPr>
        <w:fldChar w:fldCharType="end"/>
      </w:r>
      <w:r w:rsidRPr="00305E0F">
        <w:rPr>
          <w:color w:val="auto"/>
          <w:sz w:val="24"/>
          <w:szCs w:val="24"/>
          <w:lang w:val="en-GB"/>
        </w:rPr>
        <w:t>-</w:t>
      </w:r>
      <w:r w:rsidRPr="00305E0F">
        <w:rPr>
          <w:color w:val="auto"/>
          <w:sz w:val="24"/>
          <w:szCs w:val="24"/>
          <w:lang w:val="en-GB"/>
        </w:rPr>
        <w:fldChar w:fldCharType="begin"/>
      </w:r>
      <w:r w:rsidRPr="00305E0F">
        <w:rPr>
          <w:color w:val="auto"/>
          <w:sz w:val="24"/>
          <w:szCs w:val="24"/>
          <w:lang w:val="en-GB"/>
        </w:rPr>
        <w:instrText xml:space="preserve"> REF _Ref215504514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230</w:t>
      </w:r>
      <w:r w:rsidRPr="00305E0F">
        <w:rPr>
          <w:color w:val="auto"/>
          <w:sz w:val="24"/>
          <w:szCs w:val="24"/>
          <w:lang w:val="en-GB"/>
        </w:rPr>
        <w:fldChar w:fldCharType="end"/>
      </w:r>
      <w:r w:rsidRPr="00305E0F">
        <w:rPr>
          <w:color w:val="auto"/>
          <w:sz w:val="24"/>
          <w:szCs w:val="24"/>
          <w:lang w:val="en-GB"/>
        </w:rPr>
        <w:t>.</w:t>
      </w:r>
      <w:r w:rsidRPr="00305E0F">
        <w:rPr>
          <w:color w:val="auto"/>
          <w:sz w:val="18"/>
          <w:szCs w:val="18"/>
          <w:highlight w:val="lightGray"/>
          <w:lang w:val="en-GB"/>
        </w:rPr>
        <w:t xml:space="preserve"> </w:t>
      </w:r>
    </w:p>
    <w:p w14:paraId="20E17A90" w14:textId="00815637"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r w:rsidRPr="00305E0F">
        <w:rPr>
          <w:color w:val="auto"/>
          <w:sz w:val="24"/>
          <w:szCs w:val="24"/>
          <w:lang w:val="en-GB"/>
        </w:rPr>
        <w:t xml:space="preserve">For dilution risk of purchased corporate receivables, PD </w:t>
      </w:r>
      <w:r w:rsidR="00C227F5" w:rsidRPr="00305E0F">
        <w:rPr>
          <w:color w:val="auto"/>
          <w:sz w:val="24"/>
          <w:szCs w:val="24"/>
          <w:lang w:val="en-GB"/>
        </w:rPr>
        <w:t>shall be</w:t>
      </w:r>
      <w:r w:rsidRPr="00305E0F">
        <w:rPr>
          <w:color w:val="auto"/>
          <w:sz w:val="24"/>
          <w:szCs w:val="24"/>
          <w:lang w:val="en-GB"/>
        </w:rPr>
        <w:t xml:space="preserve"> set equal to the bank’s expected loss estimates for dilution risk. A bank that has received, pursuant to paragraphs </w:t>
      </w:r>
      <w:r w:rsidRPr="00305E0F">
        <w:rPr>
          <w:color w:val="auto"/>
          <w:sz w:val="24"/>
          <w:szCs w:val="24"/>
          <w:lang w:val="en-GB"/>
        </w:rPr>
        <w:fldChar w:fldCharType="begin"/>
      </w:r>
      <w:r w:rsidRPr="00305E0F">
        <w:rPr>
          <w:color w:val="auto"/>
          <w:sz w:val="24"/>
          <w:szCs w:val="24"/>
          <w:lang w:val="en-GB"/>
        </w:rPr>
        <w:instrText xml:space="preserve"> REF _Ref215069496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4</w:t>
      </w:r>
      <w:r w:rsidRPr="00305E0F">
        <w:rPr>
          <w:color w:val="auto"/>
          <w:sz w:val="24"/>
          <w:szCs w:val="24"/>
          <w:lang w:val="en-GB"/>
        </w:rPr>
        <w:fldChar w:fldCharType="end"/>
      </w:r>
      <w:r w:rsidR="00C227F5" w:rsidRPr="00305E0F">
        <w:rPr>
          <w:color w:val="auto"/>
          <w:sz w:val="24"/>
          <w:szCs w:val="24"/>
          <w:lang w:val="en-GB"/>
        </w:rPr>
        <w:t xml:space="preserve"> </w:t>
      </w:r>
      <w:r w:rsidRPr="00305E0F">
        <w:rPr>
          <w:color w:val="auto"/>
          <w:sz w:val="24"/>
          <w:szCs w:val="24"/>
          <w:lang w:val="en-GB"/>
        </w:rPr>
        <w:t>to</w:t>
      </w:r>
      <w:r w:rsidR="00C227F5" w:rsidRPr="00305E0F">
        <w:rPr>
          <w:color w:val="auto"/>
          <w:sz w:val="24"/>
          <w:szCs w:val="24"/>
          <w:lang w:val="en-GB"/>
        </w:rPr>
        <w:t xml:space="preserve"> </w:t>
      </w:r>
      <w:r w:rsidRPr="00305E0F">
        <w:rPr>
          <w:color w:val="auto"/>
          <w:sz w:val="24"/>
          <w:szCs w:val="24"/>
          <w:lang w:val="en-GB"/>
        </w:rPr>
        <w:fldChar w:fldCharType="begin"/>
      </w:r>
      <w:r w:rsidRPr="00305E0F">
        <w:rPr>
          <w:color w:val="auto"/>
          <w:sz w:val="24"/>
          <w:szCs w:val="24"/>
          <w:lang w:val="en-GB"/>
        </w:rPr>
        <w:instrText xml:space="preserve"> REF _Ref215069507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7</w:t>
      </w:r>
      <w:r w:rsidRPr="00305E0F">
        <w:rPr>
          <w:color w:val="auto"/>
          <w:sz w:val="24"/>
          <w:szCs w:val="24"/>
          <w:lang w:val="en-GB"/>
        </w:rPr>
        <w:fldChar w:fldCharType="end"/>
      </w:r>
      <w:r w:rsidRPr="00305E0F">
        <w:rPr>
          <w:color w:val="auto"/>
          <w:sz w:val="24"/>
          <w:szCs w:val="24"/>
          <w:lang w:val="en-GB"/>
        </w:rPr>
        <w:t>, the approval of the National Bank of Moldova to use own estimates of LGDs for corporate exposures and that can decompose its expected loss estimates for dilution risk of purchased corporate receivables into PDs and LGDs in a manner that the National Bank of Moldova considers reliable may use the PD estimates resulting from that decomposition. In calculating the PD, banks may recognise unfunded credit protection in accordance with Regulation No 112/2018.</w:t>
      </w:r>
      <w:r w:rsidRPr="00305E0F">
        <w:rPr>
          <w:color w:val="auto"/>
          <w:sz w:val="18"/>
          <w:szCs w:val="18"/>
          <w:highlight w:val="lightGray"/>
          <w:lang w:val="en-GB"/>
        </w:rPr>
        <w:t xml:space="preserve"> </w:t>
      </w:r>
    </w:p>
    <w:p w14:paraId="48D0F261" w14:textId="7CD52F6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A bank that has received, pursuant to paragraphs </w:t>
      </w:r>
      <w:r w:rsidRPr="00305E0F">
        <w:rPr>
          <w:color w:val="auto"/>
          <w:lang w:val="en-GB"/>
        </w:rPr>
        <w:fldChar w:fldCharType="begin"/>
      </w:r>
      <w:r w:rsidRPr="00305E0F">
        <w:rPr>
          <w:color w:val="auto"/>
          <w:lang w:val="en-GB"/>
        </w:rPr>
        <w:instrText xml:space="preserve"> REF _Ref215069496 \r \h </w:instrText>
      </w:r>
      <w:r w:rsidRPr="00305E0F">
        <w:rPr>
          <w:color w:val="auto"/>
          <w:lang w:val="en-GB"/>
        </w:rPr>
      </w:r>
      <w:r w:rsidRPr="00305E0F">
        <w:rPr>
          <w:color w:val="auto"/>
          <w:lang w:val="en-GB"/>
        </w:rPr>
        <w:fldChar w:fldCharType="separate"/>
      </w:r>
      <w:r w:rsidR="00594C05" w:rsidRPr="00305E0F">
        <w:rPr>
          <w:color w:val="auto"/>
          <w:lang w:val="en-GB"/>
        </w:rPr>
        <w:t>4</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_Ref215069507 \r \h </w:instrText>
      </w:r>
      <w:r w:rsidRPr="00305E0F">
        <w:rPr>
          <w:color w:val="auto"/>
          <w:lang w:val="en-GB"/>
        </w:rPr>
      </w:r>
      <w:r w:rsidRPr="00305E0F">
        <w:rPr>
          <w:color w:val="auto"/>
          <w:lang w:val="en-GB"/>
        </w:rPr>
        <w:fldChar w:fldCharType="separate"/>
      </w:r>
      <w:r w:rsidR="00594C05" w:rsidRPr="00305E0F">
        <w:rPr>
          <w:color w:val="auto"/>
          <w:lang w:val="en-GB"/>
        </w:rPr>
        <w:t>7</w:t>
      </w:r>
      <w:r w:rsidRPr="00305E0F">
        <w:rPr>
          <w:color w:val="auto"/>
          <w:lang w:val="en-GB"/>
        </w:rPr>
        <w:fldChar w:fldCharType="end"/>
      </w:r>
      <w:r w:rsidRPr="00305E0F">
        <w:rPr>
          <w:color w:val="auto"/>
          <w:lang w:val="en-GB"/>
        </w:rPr>
        <w:t>, the approval of the National Bank of Moldova to use its own LGD estimates for dilution risk of purchased corporate receivables may recognise unfunded credit protection by adjusting the PD, subject to paragraph</w:t>
      </w:r>
      <w:r w:rsidR="00C227F5" w:rsidRPr="00305E0F">
        <w:rPr>
          <w:color w:val="auto"/>
          <w:lang w:val="en-GB"/>
        </w:rPr>
        <w:t xml:space="preserve"> </w:t>
      </w:r>
      <w:r w:rsidRPr="00305E0F">
        <w:rPr>
          <w:color w:val="auto"/>
          <w:lang w:val="en-GB"/>
        </w:rPr>
        <w:fldChar w:fldCharType="begin"/>
      </w:r>
      <w:r w:rsidRPr="00305E0F">
        <w:rPr>
          <w:color w:val="auto"/>
          <w:lang w:val="en-GB"/>
        </w:rPr>
        <w:instrText xml:space="preserve"> REF _Ref215503108 \r \h </w:instrText>
      </w:r>
      <w:r w:rsidRPr="00305E0F">
        <w:rPr>
          <w:color w:val="auto"/>
          <w:lang w:val="en-GB"/>
        </w:rPr>
      </w:r>
      <w:r w:rsidRPr="00305E0F">
        <w:rPr>
          <w:color w:val="auto"/>
          <w:lang w:val="en-GB"/>
        </w:rPr>
        <w:fldChar w:fldCharType="separate"/>
      </w:r>
      <w:r w:rsidR="00594C05" w:rsidRPr="00305E0F">
        <w:rPr>
          <w:color w:val="auto"/>
          <w:lang w:val="en-GB"/>
        </w:rPr>
        <w:t>116</w:t>
      </w:r>
      <w:r w:rsidRPr="00305E0F">
        <w:rPr>
          <w:color w:val="auto"/>
          <w:lang w:val="en-GB"/>
        </w:rPr>
        <w:fldChar w:fldCharType="end"/>
      </w:r>
      <w:r w:rsidRPr="00305E0F">
        <w:rPr>
          <w:color w:val="auto"/>
          <w:lang w:val="en-GB"/>
        </w:rPr>
        <w:t>.</w:t>
      </w:r>
    </w:p>
    <w:p w14:paraId="6B8BD8C2" w14:textId="3EF969EB" w:rsidR="00EB0050" w:rsidRPr="00305E0F" w:rsidRDefault="00B02122">
      <w:pPr>
        <w:pStyle w:val="P68B1DB1-ListParagraph15"/>
        <w:shd w:val="clear" w:color="auto" w:fill="FFFFFF"/>
        <w:tabs>
          <w:tab w:val="left" w:pos="0"/>
          <w:tab w:val="left" w:pos="567"/>
        </w:tabs>
        <w:spacing w:before="120" w:after="0" w:line="240" w:lineRule="auto"/>
        <w:ind w:left="0"/>
        <w:contextualSpacing w:val="0"/>
        <w:jc w:val="center"/>
        <w:rPr>
          <w:bCs/>
          <w:iCs/>
          <w:color w:val="auto"/>
          <w:lang w:val="en-GB"/>
        </w:rPr>
      </w:pPr>
      <w:r w:rsidRPr="00305E0F">
        <w:rPr>
          <w:color w:val="auto"/>
          <w:lang w:val="en-GB"/>
        </w:rPr>
        <w:t>Subsection 2</w:t>
      </w:r>
    </w:p>
    <w:p w14:paraId="45072731" w14:textId="6A5EE249" w:rsidR="00EB0050" w:rsidRPr="00305E0F" w:rsidRDefault="00B02122">
      <w:pPr>
        <w:pStyle w:val="P68B1DB1-Normal16"/>
        <w:shd w:val="clear" w:color="auto" w:fill="FFFFFF"/>
        <w:tabs>
          <w:tab w:val="left" w:pos="0"/>
          <w:tab w:val="left" w:pos="567"/>
        </w:tabs>
        <w:spacing w:after="120" w:line="240" w:lineRule="auto"/>
        <w:jc w:val="center"/>
        <w:rPr>
          <w:color w:val="auto"/>
          <w:lang w:val="en-GB"/>
        </w:rPr>
      </w:pPr>
      <w:r w:rsidRPr="00305E0F">
        <w:rPr>
          <w:color w:val="auto"/>
          <w:lang w:val="en-GB"/>
        </w:rPr>
        <w:t>Loss given default</w:t>
      </w:r>
    </w:p>
    <w:p w14:paraId="1FF60791" w14:textId="3508E79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99" w:name="_Ref215503005"/>
      <w:r w:rsidRPr="00305E0F">
        <w:rPr>
          <w:color w:val="auto"/>
          <w:lang w:val="en-GB"/>
        </w:rPr>
        <w:t>Banks shall use the following LGD values:</w:t>
      </w:r>
      <w:bookmarkEnd w:id="99"/>
    </w:p>
    <w:p w14:paraId="61B3B91F" w14:textId="22F4D54D"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Senior exposures without eligible funded credit protection to central governments and central banks, financial sector entities and regional governments, local authorities and public sector entities: 45%; </w:t>
      </w:r>
    </w:p>
    <w:p w14:paraId="195865EE" w14:textId="25A7A98A"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Senior exposures without eligible funded credit protection to corporates that are not financial sector entities: 40%;</w:t>
      </w:r>
    </w:p>
    <w:p w14:paraId="4338F841" w14:textId="2C1FE04F"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Subordinated exposures without eligible collateral: 75%;</w:t>
      </w:r>
    </w:p>
    <w:p w14:paraId="6FF6A1EA" w14:textId="7BE46D10"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Covered bonds eligible for the treatment set out in paragraphs 75</w:t>
      </w:r>
      <w:r w:rsidRPr="00305E0F">
        <w:rPr>
          <w:color w:val="auto"/>
          <w:vertAlign w:val="superscript"/>
          <w:lang w:val="en-GB"/>
        </w:rPr>
        <w:t>14</w:t>
      </w:r>
      <w:r w:rsidRPr="00305E0F">
        <w:rPr>
          <w:color w:val="auto"/>
          <w:lang w:val="en-GB"/>
        </w:rPr>
        <w:t xml:space="preserve"> and 75</w:t>
      </w:r>
      <w:r w:rsidRPr="00305E0F">
        <w:rPr>
          <w:color w:val="auto"/>
          <w:vertAlign w:val="superscript"/>
          <w:lang w:val="en-GB"/>
        </w:rPr>
        <w:t>15</w:t>
      </w:r>
      <w:r w:rsidRPr="00305E0F">
        <w:rPr>
          <w:color w:val="auto"/>
          <w:lang w:val="en-GB"/>
        </w:rPr>
        <w:t xml:space="preserve"> of Regulation </w:t>
      </w:r>
      <w:r w:rsidR="00C227F5" w:rsidRPr="00305E0F">
        <w:rPr>
          <w:color w:val="auto"/>
          <w:lang w:val="en-GB"/>
        </w:rPr>
        <w:t>No</w:t>
      </w:r>
      <w:r w:rsidRPr="00305E0F">
        <w:rPr>
          <w:color w:val="auto"/>
          <w:lang w:val="en-GB"/>
        </w:rPr>
        <w:t xml:space="preserve"> 111</w:t>
      </w:r>
      <w:r w:rsidR="00C227F5" w:rsidRPr="00305E0F">
        <w:rPr>
          <w:color w:val="auto"/>
          <w:lang w:val="en-GB"/>
        </w:rPr>
        <w:t>/2018</w:t>
      </w:r>
      <w:r w:rsidRPr="00305E0F">
        <w:rPr>
          <w:color w:val="auto"/>
          <w:lang w:val="en-GB"/>
        </w:rPr>
        <w:t xml:space="preserve"> may be assigned a LGD value of 11</w:t>
      </w:r>
      <w:r w:rsidR="00C227F5" w:rsidRPr="00305E0F">
        <w:rPr>
          <w:color w:val="auto"/>
          <w:lang w:val="en-GB"/>
        </w:rPr>
        <w:t>,</w:t>
      </w:r>
      <w:r w:rsidRPr="00305E0F">
        <w:rPr>
          <w:color w:val="auto"/>
          <w:lang w:val="en-GB"/>
        </w:rPr>
        <w:t>25%;</w:t>
      </w:r>
    </w:p>
    <w:p w14:paraId="1846D858" w14:textId="1DB68C31"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For exposures related to purchased senior corporate receivables, where a bank cannot estimate PD or where the bank’s PD estimates do not meet the requirements set out in Chapter VI: 40%;</w:t>
      </w:r>
    </w:p>
    <w:p w14:paraId="55EB26F8" w14:textId="7821E34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For exposures related to subordinated corporate receivables purchased by the bank, where the bank cannot estimate PDs or where the bank's estimates of PDs do not meet the requirements set out in Chapter VI: 100%;</w:t>
      </w:r>
    </w:p>
    <w:p w14:paraId="08EEA770" w14:textId="1C3B58C3"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For dilution risk of purchased corporate receivables: 100%.</w:t>
      </w:r>
    </w:p>
    <w:p w14:paraId="5F6E66EC" w14:textId="2F223490"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r w:rsidRPr="00305E0F">
        <w:rPr>
          <w:color w:val="auto"/>
          <w:sz w:val="24"/>
          <w:szCs w:val="24"/>
          <w:lang w:val="en-GB"/>
        </w:rPr>
        <w:t xml:space="preserve">For dilution and default risk, where a bank has received, pursuant to paragraphs </w:t>
      </w:r>
      <w:r w:rsidRPr="00305E0F">
        <w:rPr>
          <w:color w:val="auto"/>
          <w:sz w:val="24"/>
          <w:szCs w:val="24"/>
          <w:lang w:val="en-GB"/>
        </w:rPr>
        <w:fldChar w:fldCharType="begin"/>
      </w:r>
      <w:r w:rsidRPr="00305E0F">
        <w:rPr>
          <w:color w:val="auto"/>
          <w:sz w:val="24"/>
          <w:szCs w:val="24"/>
          <w:lang w:val="en-GB"/>
        </w:rPr>
        <w:instrText xml:space="preserve"> REF _Ref215069496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4</w:t>
      </w:r>
      <w:r w:rsidRPr="00305E0F">
        <w:rPr>
          <w:color w:val="auto"/>
          <w:sz w:val="24"/>
          <w:szCs w:val="24"/>
          <w:lang w:val="en-GB"/>
        </w:rPr>
        <w:fldChar w:fldCharType="end"/>
      </w:r>
      <w:r w:rsidR="00C227F5" w:rsidRPr="00305E0F">
        <w:rPr>
          <w:color w:val="auto"/>
          <w:sz w:val="24"/>
          <w:szCs w:val="24"/>
          <w:lang w:val="en-GB"/>
        </w:rPr>
        <w:t>-</w:t>
      </w:r>
      <w:r w:rsidRPr="00305E0F">
        <w:rPr>
          <w:color w:val="auto"/>
          <w:sz w:val="24"/>
          <w:szCs w:val="24"/>
          <w:lang w:val="en-GB"/>
        </w:rPr>
        <w:fldChar w:fldCharType="begin"/>
      </w:r>
      <w:r w:rsidRPr="00305E0F">
        <w:rPr>
          <w:color w:val="auto"/>
          <w:sz w:val="24"/>
          <w:szCs w:val="24"/>
          <w:lang w:val="en-GB"/>
        </w:rPr>
        <w:instrText xml:space="preserve"> REF _Ref215069507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7</w:t>
      </w:r>
      <w:r w:rsidRPr="00305E0F">
        <w:rPr>
          <w:color w:val="auto"/>
          <w:sz w:val="24"/>
          <w:szCs w:val="24"/>
          <w:lang w:val="en-GB"/>
        </w:rPr>
        <w:fldChar w:fldCharType="end"/>
      </w:r>
      <w:r w:rsidRPr="00305E0F">
        <w:rPr>
          <w:color w:val="auto"/>
          <w:sz w:val="24"/>
          <w:szCs w:val="24"/>
          <w:lang w:val="en-GB"/>
        </w:rPr>
        <w:t>, the approval of the National Bank of Moldova to use own LGD estimates for exposures to corporates and may decompose its EL estimates for receivables on corporates purchased by the bank into PDs and LGDs in a manner that the National Bank of Moldova considers reliable, the LGD estimate for receivables on corporates purchased by the bank may be used.</w:t>
      </w:r>
      <w:r w:rsidRPr="00305E0F">
        <w:rPr>
          <w:color w:val="auto"/>
          <w:sz w:val="18"/>
          <w:szCs w:val="18"/>
          <w:highlight w:val="lightGray"/>
          <w:lang w:val="en-GB"/>
        </w:rPr>
        <w:t xml:space="preserve"> </w:t>
      </w:r>
    </w:p>
    <w:p w14:paraId="6B84C10F" w14:textId="4214CE7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00" w:name="_Ref215503108"/>
      <w:r w:rsidRPr="00305E0F">
        <w:rPr>
          <w:color w:val="auto"/>
          <w:lang w:val="en-GB"/>
        </w:rPr>
        <w:lastRenderedPageBreak/>
        <w:t xml:space="preserve">In the case of an exposure covered by unfunded credit protection, a bank that uses its own estimates of LGD under paragraphs </w:t>
      </w:r>
      <w:r w:rsidRPr="00305E0F">
        <w:rPr>
          <w:color w:val="auto"/>
          <w:lang w:val="en-GB"/>
        </w:rPr>
        <w:fldChar w:fldCharType="begin"/>
      </w:r>
      <w:r w:rsidRPr="00305E0F">
        <w:rPr>
          <w:color w:val="auto"/>
          <w:lang w:val="en-GB"/>
        </w:rPr>
        <w:instrText xml:space="preserve"> REF _Ref215069496 \r \h </w:instrText>
      </w:r>
      <w:r w:rsidRPr="00305E0F">
        <w:rPr>
          <w:color w:val="auto"/>
          <w:lang w:val="en-GB"/>
        </w:rPr>
      </w:r>
      <w:r w:rsidRPr="00305E0F">
        <w:rPr>
          <w:color w:val="auto"/>
          <w:lang w:val="en-GB"/>
        </w:rPr>
        <w:fldChar w:fldCharType="separate"/>
      </w:r>
      <w:r w:rsidR="00594C05" w:rsidRPr="00305E0F">
        <w:rPr>
          <w:color w:val="auto"/>
          <w:lang w:val="en-GB"/>
        </w:rPr>
        <w:t>4</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_Ref215069507 \r \h </w:instrText>
      </w:r>
      <w:r w:rsidRPr="00305E0F">
        <w:rPr>
          <w:color w:val="auto"/>
          <w:lang w:val="en-GB"/>
        </w:rPr>
      </w:r>
      <w:r w:rsidRPr="00305E0F">
        <w:rPr>
          <w:color w:val="auto"/>
          <w:lang w:val="en-GB"/>
        </w:rPr>
        <w:fldChar w:fldCharType="separate"/>
      </w:r>
      <w:r w:rsidR="00594C05" w:rsidRPr="00305E0F">
        <w:rPr>
          <w:color w:val="auto"/>
          <w:lang w:val="en-GB"/>
        </w:rPr>
        <w:t>7</w:t>
      </w:r>
      <w:r w:rsidRPr="00305E0F">
        <w:rPr>
          <w:color w:val="auto"/>
          <w:lang w:val="en-GB"/>
        </w:rPr>
        <w:fldChar w:fldCharType="end"/>
      </w:r>
      <w:r w:rsidRPr="00305E0F">
        <w:rPr>
          <w:color w:val="auto"/>
          <w:lang w:val="en-GB"/>
        </w:rPr>
        <w:t xml:space="preserve"> both for the exposure that is covered by unfunded credit protection and for comparable direct exposures to the protection provider may recognise the unfunded credit protection in the LGD in accordance with paragraphs </w:t>
      </w:r>
      <w:r w:rsidRPr="00305E0F">
        <w:rPr>
          <w:color w:val="auto"/>
          <w:lang w:val="en-GB"/>
        </w:rPr>
        <w:fldChar w:fldCharType="begin"/>
      </w:r>
      <w:r w:rsidRPr="00305E0F">
        <w:rPr>
          <w:color w:val="auto"/>
          <w:lang w:val="en-GB"/>
        </w:rPr>
        <w:instrText xml:space="preserve"> REF _Ref215298820 \r \h </w:instrText>
      </w:r>
      <w:r w:rsidRPr="00305E0F">
        <w:rPr>
          <w:color w:val="auto"/>
          <w:lang w:val="en-GB"/>
        </w:rPr>
      </w:r>
      <w:r w:rsidRPr="00305E0F">
        <w:rPr>
          <w:color w:val="auto"/>
          <w:lang w:val="en-GB"/>
        </w:rPr>
        <w:fldChar w:fldCharType="separate"/>
      </w:r>
      <w:r w:rsidR="00594C05" w:rsidRPr="00305E0F">
        <w:rPr>
          <w:color w:val="auto"/>
          <w:lang w:val="en-GB"/>
        </w:rPr>
        <w:t>220</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_Ref215504514 \r \h </w:instrText>
      </w:r>
      <w:r w:rsidRPr="00305E0F">
        <w:rPr>
          <w:color w:val="auto"/>
          <w:lang w:val="en-GB"/>
        </w:rPr>
      </w:r>
      <w:r w:rsidRPr="00305E0F">
        <w:rPr>
          <w:color w:val="auto"/>
          <w:lang w:val="en-GB"/>
        </w:rPr>
        <w:fldChar w:fldCharType="separate"/>
      </w:r>
      <w:r w:rsidR="00594C05" w:rsidRPr="00305E0F">
        <w:rPr>
          <w:color w:val="auto"/>
          <w:lang w:val="en-GB"/>
        </w:rPr>
        <w:t>230</w:t>
      </w:r>
      <w:r w:rsidRPr="00305E0F">
        <w:rPr>
          <w:color w:val="auto"/>
          <w:lang w:val="en-GB"/>
        </w:rPr>
        <w:fldChar w:fldCharType="end"/>
      </w:r>
      <w:r w:rsidRPr="00305E0F">
        <w:rPr>
          <w:color w:val="auto"/>
          <w:lang w:val="en-GB"/>
        </w:rPr>
        <w:t>.</w:t>
      </w:r>
      <w:bookmarkEnd w:id="100"/>
    </w:p>
    <w:p w14:paraId="5EEF5801" w14:textId="50199C06"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01" w:name="_Ref215221969"/>
      <w:r w:rsidRPr="00305E0F">
        <w:rPr>
          <w:color w:val="auto"/>
          <w:lang w:val="en-GB"/>
        </w:rPr>
        <w:t>For exposures to corporates assigned to the exposure classes referred to in</w:t>
      </w:r>
      <w:r w:rsidR="0089189D" w:rsidRPr="00305E0F">
        <w:rPr>
          <w:color w:val="auto"/>
          <w:lang w:val="en-GB"/>
        </w:rPr>
        <w:t xml:space="preserve"> 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89189D"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_Ref214978989 \r \h </w:instrText>
      </w:r>
      <w:r w:rsidRPr="00305E0F">
        <w:rPr>
          <w:color w:val="auto"/>
          <w:lang w:val="en-GB"/>
        </w:rPr>
      </w:r>
      <w:r w:rsidRPr="00305E0F">
        <w:rPr>
          <w:color w:val="auto"/>
          <w:lang w:val="en-GB"/>
        </w:rPr>
        <w:fldChar w:fldCharType="separate"/>
      </w:r>
      <w:r w:rsidR="00594C05" w:rsidRPr="00305E0F">
        <w:rPr>
          <w:color w:val="auto"/>
          <w:lang w:val="en-GB"/>
        </w:rPr>
        <w:t>19.4</w:t>
      </w:r>
      <w:r w:rsidRPr="00305E0F">
        <w:rPr>
          <w:color w:val="auto"/>
          <w:lang w:val="en-GB"/>
        </w:rPr>
        <w:fldChar w:fldCharType="end"/>
      </w:r>
      <w:r w:rsidRPr="00305E0F">
        <w:rPr>
          <w:color w:val="auto"/>
          <w:lang w:val="en-GB"/>
        </w:rPr>
        <w:t xml:space="preserve">, for the sole purpose of calculating risk-weighted exposure amounts and expected loss amounts of those exposures, in particular for the purposes of </w:t>
      </w:r>
      <w:r w:rsidR="0089189D"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_Ref215047700 \r \h </w:instrText>
      </w:r>
      <w:r w:rsidRPr="00305E0F">
        <w:rPr>
          <w:color w:val="auto"/>
          <w:lang w:val="en-GB"/>
        </w:rPr>
      </w:r>
      <w:r w:rsidRPr="00305E0F">
        <w:rPr>
          <w:color w:val="auto"/>
          <w:lang w:val="en-GB"/>
        </w:rPr>
        <w:fldChar w:fldCharType="separate"/>
      </w:r>
      <w:r w:rsidR="00594C05" w:rsidRPr="00305E0F">
        <w:rPr>
          <w:color w:val="auto"/>
          <w:lang w:val="en-GB"/>
        </w:rPr>
        <w:t>71.3</w:t>
      </w:r>
      <w:r w:rsidRPr="00305E0F">
        <w:rPr>
          <w:color w:val="auto"/>
          <w:lang w:val="en-GB"/>
        </w:rPr>
        <w:fldChar w:fldCharType="end"/>
      </w:r>
      <w:r w:rsidRPr="00305E0F">
        <w:rPr>
          <w:color w:val="auto"/>
          <w:lang w:val="en-GB"/>
        </w:rPr>
        <w:t>,</w:t>
      </w:r>
      <w:r w:rsidR="0089189D" w:rsidRPr="00305E0F">
        <w:rPr>
          <w:color w:val="auto"/>
          <w:lang w:val="en-GB"/>
        </w:rPr>
        <w:t xml:space="preserve"> paragraphs </w:t>
      </w:r>
      <w:r w:rsidRPr="00305E0F">
        <w:rPr>
          <w:color w:val="auto"/>
          <w:lang w:val="en-GB"/>
        </w:rPr>
        <w:fldChar w:fldCharType="begin"/>
      </w:r>
      <w:r w:rsidRPr="00305E0F">
        <w:rPr>
          <w:color w:val="auto"/>
          <w:lang w:val="en-GB"/>
        </w:rPr>
        <w:instrText xml:space="preserve"> REF _Ref215068985 \r \h </w:instrText>
      </w:r>
      <w:r w:rsidRPr="00305E0F">
        <w:rPr>
          <w:color w:val="auto"/>
          <w:lang w:val="en-GB"/>
        </w:rPr>
      </w:r>
      <w:r w:rsidRPr="00305E0F">
        <w:rPr>
          <w:color w:val="auto"/>
          <w:lang w:val="en-GB"/>
        </w:rPr>
        <w:fldChar w:fldCharType="separate"/>
      </w:r>
      <w:r w:rsidR="00594C05" w:rsidRPr="00305E0F">
        <w:rPr>
          <w:color w:val="auto"/>
          <w:lang w:val="en-GB"/>
        </w:rPr>
        <w:t>89</w:t>
      </w:r>
      <w:r w:rsidRPr="00305E0F">
        <w:rPr>
          <w:color w:val="auto"/>
          <w:lang w:val="en-GB"/>
        </w:rPr>
        <w:fldChar w:fldCharType="end"/>
      </w:r>
      <w:r w:rsidR="0089189D" w:rsidRPr="00305E0F">
        <w:rPr>
          <w:color w:val="auto"/>
          <w:lang w:val="en-GB"/>
        </w:rPr>
        <w:t>-</w:t>
      </w:r>
      <w:r w:rsidRPr="00305E0F">
        <w:rPr>
          <w:color w:val="auto"/>
          <w:lang w:val="en-GB"/>
        </w:rPr>
        <w:fldChar w:fldCharType="begin"/>
      </w:r>
      <w:r w:rsidRPr="00305E0F">
        <w:rPr>
          <w:color w:val="auto"/>
          <w:lang w:val="en-GB"/>
        </w:rPr>
        <w:instrText xml:space="preserve"> REF _Ref215221235 \r \h </w:instrText>
      </w:r>
      <w:r w:rsidRPr="00305E0F">
        <w:rPr>
          <w:color w:val="auto"/>
          <w:lang w:val="en-GB"/>
        </w:rPr>
      </w:r>
      <w:r w:rsidRPr="00305E0F">
        <w:rPr>
          <w:color w:val="auto"/>
          <w:lang w:val="en-GB"/>
        </w:rPr>
        <w:fldChar w:fldCharType="separate"/>
      </w:r>
      <w:r w:rsidR="00594C05" w:rsidRPr="00305E0F">
        <w:rPr>
          <w:color w:val="auto"/>
          <w:lang w:val="en-GB"/>
        </w:rPr>
        <w:t>93</w:t>
      </w:r>
      <w:r w:rsidRPr="00305E0F">
        <w:rPr>
          <w:color w:val="auto"/>
          <w:lang w:val="en-GB"/>
        </w:rPr>
        <w:fldChar w:fldCharType="end"/>
      </w:r>
      <w:r w:rsidRPr="00305E0F">
        <w:rPr>
          <w:color w:val="auto"/>
          <w:lang w:val="en-GB"/>
        </w:rPr>
        <w:t xml:space="preserve"> and</w:t>
      </w:r>
      <w:r w:rsidR="0089189D" w:rsidRPr="00305E0F">
        <w:rPr>
          <w:color w:val="auto"/>
          <w:lang w:val="en-GB"/>
        </w:rPr>
        <w:t xml:space="preserve"> paragraphs </w:t>
      </w:r>
      <w:r w:rsidRPr="00305E0F">
        <w:rPr>
          <w:color w:val="auto"/>
          <w:lang w:val="en-GB"/>
        </w:rPr>
        <w:fldChar w:fldCharType="begin"/>
      </w:r>
      <w:r w:rsidRPr="00305E0F">
        <w:rPr>
          <w:color w:val="auto"/>
          <w:lang w:val="en-GB"/>
        </w:rPr>
        <w:instrText xml:space="preserve"> REF _Ref215086495 \r \h </w:instrText>
      </w:r>
      <w:r w:rsidRPr="00305E0F">
        <w:rPr>
          <w:color w:val="auto"/>
          <w:lang w:val="en-GB"/>
        </w:rPr>
      </w:r>
      <w:r w:rsidRPr="00305E0F">
        <w:rPr>
          <w:color w:val="auto"/>
          <w:lang w:val="en-GB"/>
        </w:rPr>
        <w:fldChar w:fldCharType="separate"/>
      </w:r>
      <w:r w:rsidR="00594C05" w:rsidRPr="00305E0F">
        <w:rPr>
          <w:color w:val="auto"/>
          <w:lang w:val="en-GB"/>
        </w:rPr>
        <w:t>94</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_Ref215086356 \r \h </w:instrText>
      </w:r>
      <w:r w:rsidRPr="00305E0F">
        <w:rPr>
          <w:color w:val="auto"/>
          <w:lang w:val="en-GB"/>
        </w:rPr>
      </w:r>
      <w:r w:rsidRPr="00305E0F">
        <w:rPr>
          <w:color w:val="auto"/>
          <w:lang w:val="en-GB"/>
        </w:rPr>
        <w:fldChar w:fldCharType="separate"/>
      </w:r>
      <w:r w:rsidR="00594C05" w:rsidRPr="00305E0F">
        <w:rPr>
          <w:color w:val="auto"/>
          <w:lang w:val="en-GB"/>
        </w:rPr>
        <w:t>98</w:t>
      </w:r>
      <w:r w:rsidRPr="00305E0F">
        <w:rPr>
          <w:color w:val="auto"/>
          <w:lang w:val="en-GB"/>
        </w:rPr>
        <w:fldChar w:fldCharType="end"/>
      </w:r>
      <w:r w:rsidR="0089189D" w:rsidRPr="00305E0F">
        <w:rPr>
          <w:color w:val="auto"/>
          <w:lang w:val="en-GB"/>
        </w:rPr>
        <w:t>-</w:t>
      </w:r>
      <w:r w:rsidRPr="00305E0F">
        <w:rPr>
          <w:color w:val="auto"/>
          <w:lang w:val="en-GB"/>
        </w:rPr>
        <w:fldChar w:fldCharType="begin"/>
      </w:r>
      <w:r w:rsidRPr="00305E0F">
        <w:rPr>
          <w:color w:val="auto"/>
          <w:lang w:val="en-GB"/>
        </w:rPr>
        <w:instrText xml:space="preserve"> REF _Ref215221320 \r \h </w:instrText>
      </w:r>
      <w:r w:rsidRPr="00305E0F">
        <w:rPr>
          <w:color w:val="auto"/>
          <w:lang w:val="en-GB"/>
        </w:rPr>
      </w:r>
      <w:r w:rsidRPr="00305E0F">
        <w:rPr>
          <w:color w:val="auto"/>
          <w:lang w:val="en-GB"/>
        </w:rPr>
        <w:fldChar w:fldCharType="separate"/>
      </w:r>
      <w:r w:rsidR="00594C05" w:rsidRPr="00305E0F">
        <w:rPr>
          <w:color w:val="auto"/>
          <w:lang w:val="en-GB"/>
        </w:rPr>
        <w:t>99</w:t>
      </w:r>
      <w:r w:rsidRPr="00305E0F">
        <w:rPr>
          <w:color w:val="auto"/>
          <w:lang w:val="en-GB"/>
        </w:rPr>
        <w:fldChar w:fldCharType="end"/>
      </w:r>
      <w:r w:rsidRPr="00305E0F">
        <w:rPr>
          <w:color w:val="auto"/>
          <w:lang w:val="en-GB"/>
        </w:rPr>
        <w:t xml:space="preserve"> and</w:t>
      </w:r>
      <w:r w:rsidR="0089189D"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_Ref215086374 \r \h </w:instrText>
      </w:r>
      <w:r w:rsidRPr="00305E0F">
        <w:rPr>
          <w:color w:val="auto"/>
          <w:lang w:val="en-GB"/>
        </w:rPr>
      </w:r>
      <w:r w:rsidRPr="00305E0F">
        <w:rPr>
          <w:color w:val="auto"/>
          <w:lang w:val="en-GB"/>
        </w:rPr>
        <w:fldChar w:fldCharType="separate"/>
      </w:r>
      <w:r w:rsidR="00594C05" w:rsidRPr="00305E0F">
        <w:rPr>
          <w:color w:val="auto"/>
          <w:lang w:val="en-GB"/>
        </w:rPr>
        <w:t>102</w:t>
      </w:r>
      <w:r w:rsidRPr="00305E0F">
        <w:rPr>
          <w:color w:val="auto"/>
          <w:lang w:val="en-GB"/>
        </w:rPr>
        <w:fldChar w:fldCharType="end"/>
      </w:r>
      <w:r w:rsidRPr="00305E0F">
        <w:rPr>
          <w:color w:val="auto"/>
          <w:lang w:val="en-GB"/>
        </w:rPr>
        <w:t xml:space="preserve">, where own estimates of LGD are used, the LGD values that are used for each exposure as inputs to the formula for calculating risk-weighted exposure amounts and expected loss shall not be </w:t>
      </w:r>
      <w:r w:rsidR="0089189D" w:rsidRPr="00305E0F">
        <w:rPr>
          <w:color w:val="auto"/>
          <w:lang w:val="en-GB"/>
        </w:rPr>
        <w:t>less</w:t>
      </w:r>
      <w:r w:rsidRPr="00305E0F">
        <w:rPr>
          <w:color w:val="auto"/>
          <w:lang w:val="en-GB"/>
        </w:rPr>
        <w:t xml:space="preserve"> than the LGD input floor values disclosed in Table 3, calculated in accordance with </w:t>
      </w:r>
      <w:r w:rsidR="0089189D" w:rsidRPr="00305E0F">
        <w:rPr>
          <w:color w:val="auto"/>
          <w:lang w:val="en-GB"/>
        </w:rPr>
        <w:t>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_Ref215221786 \r \h </w:instrText>
      </w:r>
      <w:r w:rsidRPr="00305E0F">
        <w:rPr>
          <w:color w:val="auto"/>
          <w:lang w:val="en-GB"/>
        </w:rPr>
      </w:r>
      <w:r w:rsidRPr="00305E0F">
        <w:rPr>
          <w:color w:val="auto"/>
          <w:lang w:val="en-GB"/>
        </w:rPr>
        <w:fldChar w:fldCharType="separate"/>
      </w:r>
      <w:r w:rsidR="00594C05" w:rsidRPr="00305E0F">
        <w:rPr>
          <w:color w:val="auto"/>
          <w:lang w:val="en-GB"/>
        </w:rPr>
        <w:t>119</w:t>
      </w:r>
      <w:r w:rsidRPr="00305E0F">
        <w:rPr>
          <w:color w:val="auto"/>
          <w:lang w:val="en-GB"/>
        </w:rPr>
        <w:fldChar w:fldCharType="end"/>
      </w:r>
      <w:r w:rsidR="0089189D" w:rsidRPr="00305E0F">
        <w:rPr>
          <w:color w:val="auto"/>
          <w:lang w:val="en-GB"/>
        </w:rPr>
        <w:t xml:space="preserve"> </w:t>
      </w:r>
      <w:r w:rsidRPr="00305E0F">
        <w:rPr>
          <w:color w:val="auto"/>
          <w:lang w:val="en-GB"/>
        </w:rPr>
        <w:t>to</w:t>
      </w:r>
      <w:r w:rsidR="0089189D" w:rsidRPr="00305E0F">
        <w:rPr>
          <w:color w:val="auto"/>
          <w:lang w:val="en-GB"/>
        </w:rPr>
        <w:t xml:space="preserve"> </w:t>
      </w:r>
      <w:r w:rsidRPr="00305E0F">
        <w:rPr>
          <w:color w:val="auto"/>
          <w:lang w:val="en-GB"/>
        </w:rPr>
        <w:fldChar w:fldCharType="begin"/>
      </w:r>
      <w:r w:rsidRPr="00305E0F">
        <w:rPr>
          <w:color w:val="auto"/>
          <w:lang w:val="en-GB"/>
        </w:rPr>
        <w:instrText xml:space="preserve"> REF _Ref215221791 \r \h </w:instrText>
      </w:r>
      <w:r w:rsidRPr="00305E0F">
        <w:rPr>
          <w:color w:val="auto"/>
          <w:lang w:val="en-GB"/>
        </w:rPr>
      </w:r>
      <w:r w:rsidRPr="00305E0F">
        <w:rPr>
          <w:color w:val="auto"/>
          <w:lang w:val="en-GB"/>
        </w:rPr>
        <w:fldChar w:fldCharType="separate"/>
      </w:r>
      <w:r w:rsidR="00594C05" w:rsidRPr="00305E0F">
        <w:rPr>
          <w:color w:val="auto"/>
          <w:lang w:val="en-GB"/>
        </w:rPr>
        <w:t>121</w:t>
      </w:r>
      <w:r w:rsidRPr="00305E0F">
        <w:rPr>
          <w:color w:val="auto"/>
          <w:lang w:val="en-GB"/>
        </w:rPr>
        <w:fldChar w:fldCharType="end"/>
      </w:r>
      <w:r w:rsidRPr="00305E0F">
        <w:rPr>
          <w:color w:val="auto"/>
          <w:lang w:val="en-GB"/>
        </w:rPr>
        <w:t>.</w:t>
      </w:r>
      <w:bookmarkEnd w:id="101"/>
    </w:p>
    <w:p w14:paraId="1F81EB56" w14:textId="71BB4E22" w:rsidR="00EB0050" w:rsidRPr="00305E0F" w:rsidRDefault="00B02122">
      <w:pPr>
        <w:pStyle w:val="P68B1DB1-title-table22"/>
        <w:shd w:val="clear" w:color="auto" w:fill="FFFFFF"/>
        <w:spacing w:before="120" w:beforeAutospacing="0" w:after="120" w:afterAutospacing="0" w:line="312" w:lineRule="atLeast"/>
        <w:ind w:firstLine="567"/>
        <w:jc w:val="right"/>
        <w:rPr>
          <w:rFonts w:eastAsiaTheme="minorHAnsi"/>
          <w:iCs/>
          <w:color w:val="auto"/>
          <w:lang w:val="en-GB"/>
        </w:rPr>
      </w:pPr>
      <w:r w:rsidRPr="00305E0F">
        <w:rPr>
          <w:rFonts w:eastAsiaTheme="minorHAnsi"/>
          <w:color w:val="auto"/>
          <w:lang w:val="en-GB"/>
        </w:rPr>
        <w:t>Table 3</w:t>
      </w:r>
    </w:p>
    <w:tbl>
      <w:tblPr>
        <w:tblW w:w="93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44"/>
        <w:gridCol w:w="3981"/>
        <w:gridCol w:w="1413"/>
      </w:tblGrid>
      <w:tr w:rsidR="00305E0F" w:rsidRPr="00305E0F" w14:paraId="40BBF187" w14:textId="77777777">
        <w:trPr>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562E13D7" w14:textId="21A17A43" w:rsidR="00EB0050" w:rsidRPr="00305E0F" w:rsidRDefault="0089189D" w:rsidP="008118AB">
            <w:pPr>
              <w:pStyle w:val="tbl-norm"/>
              <w:spacing w:before="60" w:beforeAutospacing="0" w:after="60" w:afterAutospacing="0" w:line="312" w:lineRule="atLeast"/>
              <w:ind w:left="239" w:right="102"/>
              <w:jc w:val="both"/>
              <w:rPr>
                <w:b/>
                <w:bCs/>
                <w:lang w:val="en-GB"/>
              </w:rPr>
            </w:pPr>
            <w:r w:rsidRPr="00305E0F">
              <w:rPr>
                <w:b/>
                <w:lang w:val="en-GB"/>
              </w:rPr>
              <w:t>LGD input floors (LGD</w:t>
            </w:r>
            <w:r w:rsidRPr="00305E0F">
              <w:rPr>
                <w:rStyle w:val="subscript"/>
                <w:b/>
                <w:sz w:val="17"/>
                <w:szCs w:val="17"/>
                <w:vertAlign w:val="subscript"/>
                <w:lang w:val="en-GB"/>
              </w:rPr>
              <w:t xml:space="preserve"> floor</w:t>
            </w:r>
            <w:r w:rsidRPr="00305E0F">
              <w:rPr>
                <w:b/>
                <w:lang w:val="en-GB"/>
              </w:rPr>
              <w:t xml:space="preserve">) for exposures to corporates assigned to the exposure classes referred to in paragraph </w:t>
            </w:r>
            <w:r w:rsidRPr="00305E0F">
              <w:rPr>
                <w:lang w:val="en-GB"/>
              </w:rPr>
              <w:fldChar w:fldCharType="begin"/>
            </w:r>
            <w:r w:rsidRPr="00305E0F">
              <w:rPr>
                <w:b/>
                <w:bCs/>
                <w:lang w:val="en-GB"/>
              </w:rPr>
              <w:instrText xml:space="preserve"> REF _Ref214974472 \r \h </w:instrText>
            </w:r>
            <w:r w:rsidRPr="00305E0F">
              <w:rPr>
                <w:lang w:val="en-GB"/>
              </w:rPr>
            </w:r>
            <w:r w:rsidRPr="00305E0F">
              <w:rPr>
                <w:b/>
                <w:bCs/>
                <w:lang w:val="en-GB"/>
              </w:rPr>
              <w:fldChar w:fldCharType="separate"/>
            </w:r>
            <w:r w:rsidR="00594C05" w:rsidRPr="00305E0F">
              <w:rPr>
                <w:b/>
                <w:bCs/>
                <w:lang w:val="en-GB"/>
              </w:rPr>
              <w:t>19</w:t>
            </w:r>
            <w:r w:rsidRPr="00305E0F">
              <w:rPr>
                <w:b/>
                <w:bCs/>
                <w:lang w:val="en-GB"/>
              </w:rPr>
              <w:fldChar w:fldCharType="end"/>
            </w:r>
            <w:r w:rsidRPr="00305E0F">
              <w:rPr>
                <w:b/>
                <w:lang w:val="en-GB"/>
              </w:rPr>
              <w:t xml:space="preserve"> sub-paragraph</w:t>
            </w:r>
            <w:r w:rsidRPr="00305E0F">
              <w:rPr>
                <w:lang w:val="en-GB"/>
              </w:rPr>
              <w:t xml:space="preserve"> </w:t>
            </w:r>
            <w:r w:rsidRPr="00305E0F">
              <w:rPr>
                <w:lang w:val="en-GB"/>
              </w:rPr>
              <w:fldChar w:fldCharType="begin"/>
            </w:r>
            <w:r w:rsidRPr="00305E0F">
              <w:rPr>
                <w:b/>
                <w:bCs/>
                <w:lang w:val="en-GB"/>
              </w:rPr>
              <w:instrText xml:space="preserve"> REF _Ref214978989 \r \h </w:instrText>
            </w:r>
            <w:r w:rsidRPr="00305E0F">
              <w:rPr>
                <w:lang w:val="en-GB"/>
              </w:rPr>
            </w:r>
            <w:r w:rsidRPr="00305E0F">
              <w:rPr>
                <w:b/>
                <w:bCs/>
                <w:lang w:val="en-GB"/>
              </w:rPr>
              <w:fldChar w:fldCharType="separate"/>
            </w:r>
            <w:r w:rsidR="00594C05" w:rsidRPr="00305E0F">
              <w:rPr>
                <w:b/>
                <w:bCs/>
                <w:lang w:val="en-GB"/>
              </w:rPr>
              <w:t>19.4</w:t>
            </w:r>
            <w:r w:rsidRPr="00305E0F">
              <w:rPr>
                <w:b/>
                <w:bCs/>
                <w:lang w:val="en-GB"/>
              </w:rPr>
              <w:fldChar w:fldCharType="end"/>
            </w:r>
          </w:p>
        </w:tc>
      </w:tr>
      <w:tr w:rsidR="00305E0F" w:rsidRPr="00305E0F" w14:paraId="35492441" w14:textId="77777777">
        <w:trPr>
          <w:jc w:val="center"/>
        </w:trPr>
        <w:tc>
          <w:tcPr>
            <w:tcW w:w="4245" w:type="dxa"/>
            <w:tcBorders>
              <w:top w:val="outset" w:sz="6" w:space="0" w:color="auto"/>
              <w:left w:val="outset" w:sz="6" w:space="0" w:color="auto"/>
              <w:bottom w:val="outset" w:sz="6" w:space="0" w:color="auto"/>
              <w:right w:val="outset" w:sz="6" w:space="0" w:color="auto"/>
            </w:tcBorders>
            <w:hideMark/>
          </w:tcPr>
          <w:p w14:paraId="052D9A65" w14:textId="45BA5AA8" w:rsidR="00EB0050" w:rsidRPr="00305E0F" w:rsidRDefault="0089189D" w:rsidP="008118AB">
            <w:pPr>
              <w:pStyle w:val="tbl-norm"/>
              <w:spacing w:before="60" w:beforeAutospacing="0" w:after="60" w:afterAutospacing="0" w:line="312" w:lineRule="atLeast"/>
              <w:ind w:left="97" w:right="177"/>
              <w:jc w:val="both"/>
              <w:rPr>
                <w:b/>
                <w:bCs/>
                <w:lang w:val="en-GB"/>
              </w:rPr>
            </w:pPr>
            <w:r w:rsidRPr="00305E0F">
              <w:rPr>
                <w:b/>
                <w:lang w:val="en-GB"/>
              </w:rPr>
              <w:t>Exposure without eligible FCP (LGD</w:t>
            </w:r>
            <w:r w:rsidRPr="00305E0F">
              <w:rPr>
                <w:rStyle w:val="subscript"/>
                <w:b/>
                <w:sz w:val="17"/>
                <w:szCs w:val="17"/>
                <w:vertAlign w:val="subscript"/>
                <w:lang w:val="en-GB"/>
              </w:rPr>
              <w:t xml:space="preserve"> U-floor</w:t>
            </w:r>
            <w:r w:rsidRPr="00305E0F">
              <w:rPr>
                <w:b/>
                <w:lang w:val="en-GB"/>
              </w:rPr>
              <w:t>)</w:t>
            </w:r>
          </w:p>
        </w:tc>
        <w:tc>
          <w:tcPr>
            <w:tcW w:w="5093" w:type="dxa"/>
            <w:gridSpan w:val="2"/>
            <w:tcBorders>
              <w:top w:val="outset" w:sz="6" w:space="0" w:color="auto"/>
              <w:left w:val="outset" w:sz="6" w:space="0" w:color="auto"/>
              <w:bottom w:val="outset" w:sz="6" w:space="0" w:color="auto"/>
              <w:right w:val="outset" w:sz="6" w:space="0" w:color="auto"/>
            </w:tcBorders>
            <w:hideMark/>
          </w:tcPr>
          <w:p w14:paraId="4188B9B5" w14:textId="301C96F4" w:rsidR="00EB0050" w:rsidRPr="00305E0F" w:rsidRDefault="00B02122" w:rsidP="008118AB">
            <w:pPr>
              <w:pStyle w:val="tbl-norm"/>
              <w:spacing w:before="60" w:beforeAutospacing="0" w:after="60" w:afterAutospacing="0" w:line="312" w:lineRule="atLeast"/>
              <w:ind w:left="144" w:right="244"/>
              <w:jc w:val="both"/>
              <w:rPr>
                <w:b/>
                <w:bCs/>
                <w:lang w:val="en-GB"/>
              </w:rPr>
            </w:pPr>
            <w:r w:rsidRPr="00305E0F">
              <w:rPr>
                <w:b/>
                <w:lang w:val="en-GB"/>
              </w:rPr>
              <w:t>Exposure fully secured by an eligible FCP (LGD</w:t>
            </w:r>
            <w:r w:rsidRPr="00305E0F">
              <w:rPr>
                <w:rStyle w:val="subscript"/>
                <w:b/>
                <w:sz w:val="17"/>
                <w:szCs w:val="17"/>
                <w:vertAlign w:val="subscript"/>
                <w:lang w:val="en-GB"/>
              </w:rPr>
              <w:t xml:space="preserve"> S-floor</w:t>
            </w:r>
            <w:r w:rsidRPr="00305E0F">
              <w:rPr>
                <w:b/>
                <w:lang w:val="en-GB"/>
              </w:rPr>
              <w:t>)</w:t>
            </w:r>
          </w:p>
        </w:tc>
      </w:tr>
      <w:tr w:rsidR="00305E0F" w:rsidRPr="00305E0F" w14:paraId="5F1E6805" w14:textId="77777777">
        <w:trPr>
          <w:jc w:val="center"/>
        </w:trPr>
        <w:tc>
          <w:tcPr>
            <w:tcW w:w="4245" w:type="dxa"/>
            <w:vMerge w:val="restart"/>
            <w:tcBorders>
              <w:top w:val="outset" w:sz="6" w:space="0" w:color="auto"/>
              <w:left w:val="outset" w:sz="6" w:space="0" w:color="auto"/>
              <w:bottom w:val="outset" w:sz="6" w:space="0" w:color="auto"/>
              <w:right w:val="outset" w:sz="6" w:space="0" w:color="auto"/>
            </w:tcBorders>
            <w:hideMark/>
          </w:tcPr>
          <w:p w14:paraId="5200A0BD" w14:textId="77777777" w:rsidR="00EB0050" w:rsidRPr="00305E0F" w:rsidRDefault="00B02122">
            <w:pPr>
              <w:pStyle w:val="tbl-norm"/>
              <w:spacing w:before="60" w:beforeAutospacing="0" w:after="60" w:afterAutospacing="0" w:line="312" w:lineRule="atLeast"/>
              <w:ind w:firstLine="567"/>
              <w:jc w:val="both"/>
              <w:rPr>
                <w:lang w:val="en-GB"/>
              </w:rPr>
            </w:pPr>
            <w:r w:rsidRPr="00305E0F">
              <w:rPr>
                <w:lang w:val="en-GB"/>
              </w:rPr>
              <w:t>25 %</w:t>
            </w:r>
          </w:p>
        </w:tc>
        <w:tc>
          <w:tcPr>
            <w:tcW w:w="4275" w:type="dxa"/>
            <w:tcBorders>
              <w:top w:val="outset" w:sz="6" w:space="0" w:color="auto"/>
              <w:left w:val="outset" w:sz="6" w:space="0" w:color="auto"/>
              <w:bottom w:val="outset" w:sz="6" w:space="0" w:color="auto"/>
              <w:right w:val="outset" w:sz="6" w:space="0" w:color="auto"/>
            </w:tcBorders>
            <w:hideMark/>
          </w:tcPr>
          <w:p w14:paraId="7D23454D" w14:textId="40E47CE0" w:rsidR="00EB0050" w:rsidRPr="00305E0F" w:rsidRDefault="00B02122">
            <w:pPr>
              <w:pStyle w:val="tbl-norm"/>
              <w:spacing w:before="0" w:beforeAutospacing="0" w:after="0" w:afterAutospacing="0"/>
              <w:ind w:left="144" w:firstLine="30"/>
              <w:jc w:val="both"/>
              <w:rPr>
                <w:lang w:val="en-GB"/>
              </w:rPr>
            </w:pPr>
            <w:r w:rsidRPr="00305E0F">
              <w:rPr>
                <w:lang w:val="en-GB"/>
              </w:rPr>
              <w:t xml:space="preserve">financial </w:t>
            </w:r>
            <w:r w:rsidR="0089189D" w:rsidRPr="00305E0F">
              <w:rPr>
                <w:lang w:val="en-GB"/>
              </w:rPr>
              <w:t>collateral</w:t>
            </w:r>
          </w:p>
        </w:tc>
        <w:tc>
          <w:tcPr>
            <w:tcW w:w="0" w:type="auto"/>
            <w:tcBorders>
              <w:top w:val="outset" w:sz="6" w:space="0" w:color="auto"/>
              <w:left w:val="outset" w:sz="6" w:space="0" w:color="auto"/>
              <w:bottom w:val="outset" w:sz="6" w:space="0" w:color="auto"/>
              <w:right w:val="outset" w:sz="6" w:space="0" w:color="auto"/>
            </w:tcBorders>
            <w:hideMark/>
          </w:tcPr>
          <w:p w14:paraId="4D26A896" w14:textId="77777777" w:rsidR="00EB0050" w:rsidRPr="00305E0F" w:rsidRDefault="00B02122">
            <w:pPr>
              <w:pStyle w:val="tbl-norm"/>
              <w:spacing w:before="0" w:beforeAutospacing="0" w:after="0" w:afterAutospacing="0"/>
              <w:ind w:firstLine="567"/>
              <w:jc w:val="both"/>
              <w:rPr>
                <w:lang w:val="en-GB"/>
              </w:rPr>
            </w:pPr>
            <w:r w:rsidRPr="00305E0F">
              <w:rPr>
                <w:lang w:val="en-GB"/>
              </w:rPr>
              <w:t>0 %</w:t>
            </w:r>
          </w:p>
        </w:tc>
      </w:tr>
      <w:tr w:rsidR="00305E0F" w:rsidRPr="00305E0F" w14:paraId="366720A8" w14:textId="77777777">
        <w:trPr>
          <w:jc w:val="center"/>
        </w:trPr>
        <w:tc>
          <w:tcPr>
            <w:tcW w:w="4245" w:type="dxa"/>
            <w:vMerge/>
            <w:tcBorders>
              <w:top w:val="outset" w:sz="6" w:space="0" w:color="auto"/>
              <w:left w:val="outset" w:sz="6" w:space="0" w:color="auto"/>
              <w:bottom w:val="outset" w:sz="6" w:space="0" w:color="auto"/>
              <w:right w:val="outset" w:sz="6" w:space="0" w:color="auto"/>
            </w:tcBorders>
            <w:vAlign w:val="center"/>
            <w:hideMark/>
          </w:tcPr>
          <w:p w14:paraId="2C896661" w14:textId="77777777" w:rsidR="00EB0050" w:rsidRPr="00305E0F" w:rsidRDefault="00EB0050">
            <w:pPr>
              <w:ind w:firstLine="567"/>
              <w:rPr>
                <w:sz w:val="24"/>
                <w:szCs w:val="24"/>
                <w:lang w:val="en-GB"/>
              </w:rPr>
            </w:pPr>
          </w:p>
        </w:tc>
        <w:tc>
          <w:tcPr>
            <w:tcW w:w="4275" w:type="dxa"/>
            <w:tcBorders>
              <w:top w:val="outset" w:sz="6" w:space="0" w:color="auto"/>
              <w:left w:val="outset" w:sz="6" w:space="0" w:color="auto"/>
              <w:bottom w:val="outset" w:sz="6" w:space="0" w:color="auto"/>
              <w:right w:val="outset" w:sz="6" w:space="0" w:color="auto"/>
            </w:tcBorders>
            <w:hideMark/>
          </w:tcPr>
          <w:p w14:paraId="2E29538F" w14:textId="77777777" w:rsidR="00EB0050" w:rsidRPr="00305E0F" w:rsidRDefault="00B02122">
            <w:pPr>
              <w:pStyle w:val="tbl-norm"/>
              <w:spacing w:before="0" w:beforeAutospacing="0" w:after="0" w:afterAutospacing="0"/>
              <w:ind w:left="144" w:firstLine="30"/>
              <w:jc w:val="both"/>
              <w:rPr>
                <w:lang w:val="en-GB"/>
              </w:rPr>
            </w:pPr>
            <w:r w:rsidRPr="00305E0F">
              <w:rPr>
                <w:lang w:val="en-GB"/>
              </w:rPr>
              <w:t>receivables</w:t>
            </w:r>
          </w:p>
        </w:tc>
        <w:tc>
          <w:tcPr>
            <w:tcW w:w="0" w:type="auto"/>
            <w:tcBorders>
              <w:top w:val="outset" w:sz="6" w:space="0" w:color="auto"/>
              <w:left w:val="outset" w:sz="6" w:space="0" w:color="auto"/>
              <w:bottom w:val="outset" w:sz="6" w:space="0" w:color="auto"/>
              <w:right w:val="outset" w:sz="6" w:space="0" w:color="auto"/>
            </w:tcBorders>
            <w:hideMark/>
          </w:tcPr>
          <w:p w14:paraId="027750E5" w14:textId="77777777" w:rsidR="00EB0050" w:rsidRPr="00305E0F" w:rsidRDefault="00B02122">
            <w:pPr>
              <w:pStyle w:val="tbl-norm"/>
              <w:spacing w:before="0" w:beforeAutospacing="0" w:after="0" w:afterAutospacing="0"/>
              <w:ind w:firstLine="567"/>
              <w:jc w:val="both"/>
              <w:rPr>
                <w:lang w:val="en-GB"/>
              </w:rPr>
            </w:pPr>
            <w:r w:rsidRPr="00305E0F">
              <w:rPr>
                <w:lang w:val="en-GB"/>
              </w:rPr>
              <w:t>10 %</w:t>
            </w:r>
          </w:p>
        </w:tc>
      </w:tr>
      <w:tr w:rsidR="00305E0F" w:rsidRPr="00305E0F" w14:paraId="59A492C6" w14:textId="77777777">
        <w:trPr>
          <w:jc w:val="center"/>
        </w:trPr>
        <w:tc>
          <w:tcPr>
            <w:tcW w:w="4245" w:type="dxa"/>
            <w:vMerge/>
            <w:tcBorders>
              <w:top w:val="outset" w:sz="6" w:space="0" w:color="auto"/>
              <w:left w:val="outset" w:sz="6" w:space="0" w:color="auto"/>
              <w:bottom w:val="outset" w:sz="6" w:space="0" w:color="auto"/>
              <w:right w:val="outset" w:sz="6" w:space="0" w:color="auto"/>
            </w:tcBorders>
            <w:vAlign w:val="center"/>
            <w:hideMark/>
          </w:tcPr>
          <w:p w14:paraId="2D5CA11B" w14:textId="77777777" w:rsidR="00EB0050" w:rsidRPr="00305E0F" w:rsidRDefault="00EB0050">
            <w:pPr>
              <w:ind w:firstLine="567"/>
              <w:rPr>
                <w:sz w:val="24"/>
                <w:szCs w:val="24"/>
                <w:lang w:val="en-GB"/>
              </w:rPr>
            </w:pPr>
          </w:p>
        </w:tc>
        <w:tc>
          <w:tcPr>
            <w:tcW w:w="4275" w:type="dxa"/>
            <w:tcBorders>
              <w:top w:val="outset" w:sz="6" w:space="0" w:color="auto"/>
              <w:left w:val="outset" w:sz="6" w:space="0" w:color="auto"/>
              <w:bottom w:val="outset" w:sz="6" w:space="0" w:color="auto"/>
              <w:right w:val="outset" w:sz="6" w:space="0" w:color="auto"/>
            </w:tcBorders>
            <w:hideMark/>
          </w:tcPr>
          <w:p w14:paraId="559D4BA5" w14:textId="74E60EB0" w:rsidR="00EB0050" w:rsidRPr="00305E0F" w:rsidRDefault="0089189D">
            <w:pPr>
              <w:pStyle w:val="tbl-norm"/>
              <w:spacing w:before="0" w:beforeAutospacing="0" w:after="0" w:afterAutospacing="0"/>
              <w:ind w:left="144" w:firstLine="30"/>
              <w:jc w:val="both"/>
              <w:rPr>
                <w:lang w:val="en-GB"/>
              </w:rPr>
            </w:pPr>
            <w:r w:rsidRPr="00305E0F">
              <w:rPr>
                <w:lang w:val="en-GB"/>
              </w:rPr>
              <w:t>residential property or commercial immovable property</w:t>
            </w:r>
          </w:p>
        </w:tc>
        <w:tc>
          <w:tcPr>
            <w:tcW w:w="0" w:type="auto"/>
            <w:tcBorders>
              <w:top w:val="outset" w:sz="6" w:space="0" w:color="auto"/>
              <w:left w:val="outset" w:sz="6" w:space="0" w:color="auto"/>
              <w:bottom w:val="outset" w:sz="6" w:space="0" w:color="auto"/>
              <w:right w:val="outset" w:sz="6" w:space="0" w:color="auto"/>
            </w:tcBorders>
            <w:hideMark/>
          </w:tcPr>
          <w:p w14:paraId="0E6BD3AF" w14:textId="77777777" w:rsidR="00EB0050" w:rsidRPr="00305E0F" w:rsidRDefault="00B02122">
            <w:pPr>
              <w:pStyle w:val="tbl-norm"/>
              <w:spacing w:before="0" w:beforeAutospacing="0" w:after="0" w:afterAutospacing="0"/>
              <w:ind w:firstLine="567"/>
              <w:jc w:val="both"/>
              <w:rPr>
                <w:lang w:val="en-GB"/>
              </w:rPr>
            </w:pPr>
            <w:r w:rsidRPr="00305E0F">
              <w:rPr>
                <w:lang w:val="en-GB"/>
              </w:rPr>
              <w:t>10 %</w:t>
            </w:r>
          </w:p>
        </w:tc>
      </w:tr>
      <w:tr w:rsidR="00305E0F" w:rsidRPr="00305E0F" w14:paraId="56B41B0A" w14:textId="77777777">
        <w:trPr>
          <w:jc w:val="center"/>
        </w:trPr>
        <w:tc>
          <w:tcPr>
            <w:tcW w:w="4245" w:type="dxa"/>
            <w:vMerge/>
            <w:tcBorders>
              <w:top w:val="outset" w:sz="6" w:space="0" w:color="auto"/>
              <w:left w:val="outset" w:sz="6" w:space="0" w:color="auto"/>
              <w:bottom w:val="outset" w:sz="6" w:space="0" w:color="auto"/>
              <w:right w:val="outset" w:sz="6" w:space="0" w:color="auto"/>
            </w:tcBorders>
            <w:vAlign w:val="center"/>
            <w:hideMark/>
          </w:tcPr>
          <w:p w14:paraId="199FAA99" w14:textId="77777777" w:rsidR="00EB0050" w:rsidRPr="00305E0F" w:rsidRDefault="00EB0050">
            <w:pPr>
              <w:ind w:firstLine="567"/>
              <w:rPr>
                <w:sz w:val="24"/>
                <w:szCs w:val="24"/>
                <w:lang w:val="en-GB"/>
              </w:rPr>
            </w:pPr>
          </w:p>
        </w:tc>
        <w:tc>
          <w:tcPr>
            <w:tcW w:w="4275" w:type="dxa"/>
            <w:tcBorders>
              <w:top w:val="outset" w:sz="6" w:space="0" w:color="auto"/>
              <w:left w:val="outset" w:sz="6" w:space="0" w:color="auto"/>
              <w:bottom w:val="outset" w:sz="6" w:space="0" w:color="auto"/>
              <w:right w:val="outset" w:sz="6" w:space="0" w:color="auto"/>
            </w:tcBorders>
            <w:hideMark/>
          </w:tcPr>
          <w:p w14:paraId="1D605BF1" w14:textId="77777777" w:rsidR="00EB0050" w:rsidRPr="00305E0F" w:rsidRDefault="00B02122">
            <w:pPr>
              <w:pStyle w:val="tbl-norm"/>
              <w:spacing w:before="0" w:beforeAutospacing="0" w:after="0" w:afterAutospacing="0"/>
              <w:ind w:left="144" w:firstLine="30"/>
              <w:jc w:val="both"/>
              <w:rPr>
                <w:lang w:val="en-GB"/>
              </w:rPr>
            </w:pPr>
            <w:r w:rsidRPr="00305E0F">
              <w:rPr>
                <w:lang w:val="en-GB"/>
              </w:rPr>
              <w:t>other physical collateral</w:t>
            </w:r>
          </w:p>
        </w:tc>
        <w:tc>
          <w:tcPr>
            <w:tcW w:w="0" w:type="auto"/>
            <w:tcBorders>
              <w:top w:val="outset" w:sz="6" w:space="0" w:color="auto"/>
              <w:left w:val="outset" w:sz="6" w:space="0" w:color="auto"/>
              <w:bottom w:val="outset" w:sz="6" w:space="0" w:color="auto"/>
              <w:right w:val="outset" w:sz="6" w:space="0" w:color="auto"/>
            </w:tcBorders>
            <w:hideMark/>
          </w:tcPr>
          <w:p w14:paraId="14B3F469" w14:textId="77777777" w:rsidR="00EB0050" w:rsidRPr="00305E0F" w:rsidRDefault="00B02122">
            <w:pPr>
              <w:pStyle w:val="tbl-norm"/>
              <w:spacing w:before="0" w:beforeAutospacing="0" w:after="0" w:afterAutospacing="0"/>
              <w:ind w:firstLine="567"/>
              <w:jc w:val="both"/>
              <w:rPr>
                <w:lang w:val="en-GB"/>
              </w:rPr>
            </w:pPr>
            <w:r w:rsidRPr="00305E0F">
              <w:rPr>
                <w:lang w:val="en-GB"/>
              </w:rPr>
              <w:t>15 %</w:t>
            </w:r>
          </w:p>
        </w:tc>
      </w:tr>
    </w:tbl>
    <w:p w14:paraId="77D2BCE6" w14:textId="77777777" w:rsidR="00EB0050" w:rsidRPr="00305E0F" w:rsidRDefault="00EB0050">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sz w:val="24"/>
          <w:szCs w:val="24"/>
          <w:lang w:val="en-GB"/>
        </w:rPr>
      </w:pPr>
    </w:p>
    <w:p w14:paraId="370AD98B" w14:textId="70826D83"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exposures belonging to the exposure classes referred to in </w:t>
      </w:r>
      <w:r w:rsidR="007B4695"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7B4695" w:rsidRPr="00305E0F">
        <w:rPr>
          <w:color w:val="auto"/>
          <w:lang w:val="en-GB"/>
        </w:rPr>
        <w:t xml:space="preserve">sub-paragraph </w:t>
      </w:r>
      <w:r w:rsidRPr="00305E0F">
        <w:rPr>
          <w:color w:val="auto"/>
          <w:lang w:val="en-GB"/>
        </w:rPr>
        <w:fldChar w:fldCharType="begin"/>
      </w:r>
      <w:r w:rsidRPr="00305E0F">
        <w:rPr>
          <w:color w:val="auto"/>
          <w:lang w:val="en-GB"/>
        </w:rPr>
        <w:instrText xml:space="preserve"> REF _Ref214974754 \r \h </w:instrText>
      </w:r>
      <w:r w:rsidRPr="00305E0F">
        <w:rPr>
          <w:color w:val="auto"/>
          <w:lang w:val="en-GB"/>
        </w:rPr>
      </w:r>
      <w:r w:rsidRPr="00305E0F">
        <w:rPr>
          <w:color w:val="auto"/>
          <w:lang w:val="en-GB"/>
        </w:rPr>
        <w:fldChar w:fldCharType="separate"/>
      </w:r>
      <w:r w:rsidR="00594C05" w:rsidRPr="00305E0F">
        <w:rPr>
          <w:color w:val="auto"/>
          <w:lang w:val="en-GB"/>
        </w:rPr>
        <w:t>19.2</w:t>
      </w:r>
      <w:r w:rsidRPr="00305E0F">
        <w:rPr>
          <w:color w:val="auto"/>
          <w:lang w:val="en-GB"/>
        </w:rPr>
        <w:fldChar w:fldCharType="end"/>
      </w:r>
      <w:r w:rsidRPr="00305E0F">
        <w:rPr>
          <w:color w:val="auto"/>
          <w:lang w:val="en-GB"/>
        </w:rPr>
        <w:t xml:space="preserve">, for the sole purpose of calculating risk-weighted exposure amounts and expected loss amounts of those exposures, and in particular for the purposes of </w:t>
      </w:r>
      <w:r w:rsidR="00F20387" w:rsidRPr="00305E0F">
        <w:rPr>
          <w:color w:val="auto"/>
          <w:lang w:val="en-GB"/>
        </w:rPr>
        <w:t>sub-paragraph</w:t>
      </w:r>
      <w:r w:rsidR="007B4695" w:rsidRPr="00305E0F">
        <w:rPr>
          <w:color w:val="auto"/>
          <w:lang w:val="en-GB"/>
        </w:rPr>
        <w:t xml:space="preserve"> </w:t>
      </w:r>
      <w:r w:rsidRPr="00305E0F">
        <w:rPr>
          <w:color w:val="auto"/>
          <w:lang w:val="en-GB"/>
        </w:rPr>
        <w:fldChar w:fldCharType="begin"/>
      </w:r>
      <w:r w:rsidRPr="00305E0F">
        <w:rPr>
          <w:color w:val="auto"/>
          <w:lang w:val="en-GB"/>
        </w:rPr>
        <w:instrText xml:space="preserve"> REF _Ref215047700 \r \h </w:instrText>
      </w:r>
      <w:r w:rsidRPr="00305E0F">
        <w:rPr>
          <w:color w:val="auto"/>
          <w:lang w:val="en-GB"/>
        </w:rPr>
      </w:r>
      <w:r w:rsidRPr="00305E0F">
        <w:rPr>
          <w:color w:val="auto"/>
          <w:lang w:val="en-GB"/>
        </w:rPr>
        <w:fldChar w:fldCharType="separate"/>
      </w:r>
      <w:r w:rsidR="00594C05" w:rsidRPr="00305E0F">
        <w:rPr>
          <w:color w:val="auto"/>
          <w:lang w:val="en-GB"/>
        </w:rPr>
        <w:t>71.3</w:t>
      </w:r>
      <w:r w:rsidRPr="00305E0F">
        <w:rPr>
          <w:color w:val="auto"/>
          <w:lang w:val="en-GB"/>
        </w:rPr>
        <w:fldChar w:fldCharType="end"/>
      </w:r>
      <w:r w:rsidRPr="00305E0F">
        <w:rPr>
          <w:color w:val="auto"/>
          <w:lang w:val="en-GB"/>
        </w:rPr>
        <w:t>,</w:t>
      </w:r>
      <w:r w:rsidR="00F20387" w:rsidRPr="00305E0F">
        <w:rPr>
          <w:color w:val="auto"/>
          <w:lang w:val="en-GB"/>
        </w:rPr>
        <w:t xml:space="preserve"> paragraphs </w:t>
      </w:r>
      <w:r w:rsidRPr="00305E0F">
        <w:rPr>
          <w:color w:val="auto"/>
          <w:lang w:val="en-GB"/>
        </w:rPr>
        <w:fldChar w:fldCharType="begin"/>
      </w:r>
      <w:r w:rsidRPr="00305E0F">
        <w:rPr>
          <w:color w:val="auto"/>
          <w:lang w:val="en-GB"/>
        </w:rPr>
        <w:instrText xml:space="preserve"> REF _Ref215068985 \r \h </w:instrText>
      </w:r>
      <w:r w:rsidRPr="00305E0F">
        <w:rPr>
          <w:color w:val="auto"/>
          <w:lang w:val="en-GB"/>
        </w:rPr>
      </w:r>
      <w:r w:rsidRPr="00305E0F">
        <w:rPr>
          <w:color w:val="auto"/>
          <w:lang w:val="en-GB"/>
        </w:rPr>
        <w:fldChar w:fldCharType="separate"/>
      </w:r>
      <w:r w:rsidR="00594C05" w:rsidRPr="00305E0F">
        <w:rPr>
          <w:color w:val="auto"/>
          <w:lang w:val="en-GB"/>
        </w:rPr>
        <w:t>89</w:t>
      </w:r>
      <w:r w:rsidRPr="00305E0F">
        <w:rPr>
          <w:color w:val="auto"/>
          <w:lang w:val="en-GB"/>
        </w:rPr>
        <w:fldChar w:fldCharType="end"/>
      </w:r>
      <w:r w:rsidR="00F20387" w:rsidRPr="00305E0F">
        <w:rPr>
          <w:color w:val="auto"/>
          <w:lang w:val="en-GB"/>
        </w:rPr>
        <w:t>-</w:t>
      </w:r>
      <w:r w:rsidRPr="00305E0F">
        <w:rPr>
          <w:color w:val="auto"/>
          <w:lang w:val="en-GB"/>
        </w:rPr>
        <w:fldChar w:fldCharType="begin"/>
      </w:r>
      <w:r w:rsidRPr="00305E0F">
        <w:rPr>
          <w:color w:val="auto"/>
          <w:lang w:val="en-GB"/>
        </w:rPr>
        <w:instrText xml:space="preserve"> REF _Ref215221235 \r \h </w:instrText>
      </w:r>
      <w:r w:rsidRPr="00305E0F">
        <w:rPr>
          <w:color w:val="auto"/>
          <w:lang w:val="en-GB"/>
        </w:rPr>
      </w:r>
      <w:r w:rsidRPr="00305E0F">
        <w:rPr>
          <w:color w:val="auto"/>
          <w:lang w:val="en-GB"/>
        </w:rPr>
        <w:fldChar w:fldCharType="separate"/>
      </w:r>
      <w:r w:rsidR="00594C05" w:rsidRPr="00305E0F">
        <w:rPr>
          <w:color w:val="auto"/>
          <w:lang w:val="en-GB"/>
        </w:rPr>
        <w:t>93</w:t>
      </w:r>
      <w:r w:rsidRPr="00305E0F">
        <w:rPr>
          <w:color w:val="auto"/>
          <w:lang w:val="en-GB"/>
        </w:rPr>
        <w:fldChar w:fldCharType="end"/>
      </w:r>
      <w:r w:rsidRPr="00305E0F">
        <w:rPr>
          <w:color w:val="auto"/>
          <w:lang w:val="en-GB"/>
        </w:rPr>
        <w:t>,</w:t>
      </w:r>
      <w:r w:rsidR="00F20387" w:rsidRPr="00305E0F">
        <w:rPr>
          <w:color w:val="auto"/>
          <w:lang w:val="en-GB"/>
        </w:rPr>
        <w:t xml:space="preserve"> paragraphs </w:t>
      </w:r>
      <w:r w:rsidR="00F20387" w:rsidRPr="00305E0F">
        <w:rPr>
          <w:color w:val="auto"/>
          <w:lang w:val="en-GB"/>
        </w:rPr>
        <w:fldChar w:fldCharType="begin"/>
      </w:r>
      <w:r w:rsidR="00F20387" w:rsidRPr="00305E0F">
        <w:rPr>
          <w:color w:val="auto"/>
          <w:lang w:val="en-GB"/>
        </w:rPr>
        <w:instrText xml:space="preserve"> REF _Ref215086495 \r \h </w:instrText>
      </w:r>
      <w:r w:rsidR="00F20387" w:rsidRPr="00305E0F">
        <w:rPr>
          <w:color w:val="auto"/>
          <w:lang w:val="en-GB"/>
        </w:rPr>
      </w:r>
      <w:r w:rsidR="00F20387" w:rsidRPr="00305E0F">
        <w:rPr>
          <w:color w:val="auto"/>
          <w:lang w:val="en-GB"/>
        </w:rPr>
        <w:fldChar w:fldCharType="separate"/>
      </w:r>
      <w:r w:rsidR="00F20387" w:rsidRPr="00305E0F">
        <w:rPr>
          <w:color w:val="auto"/>
          <w:lang w:val="en-GB"/>
        </w:rPr>
        <w:t>94</w:t>
      </w:r>
      <w:r w:rsidR="00F20387" w:rsidRPr="00305E0F">
        <w:rPr>
          <w:color w:val="auto"/>
          <w:lang w:val="en-GB"/>
        </w:rPr>
        <w:fldChar w:fldCharType="end"/>
      </w:r>
      <w:r w:rsidR="00F20387" w:rsidRPr="00305E0F">
        <w:rPr>
          <w:color w:val="auto"/>
          <w:lang w:val="en-GB"/>
        </w:rPr>
        <w:t>,</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_Ref215086356 \r \h </w:instrText>
      </w:r>
      <w:r w:rsidRPr="00305E0F">
        <w:rPr>
          <w:color w:val="auto"/>
          <w:lang w:val="en-GB"/>
        </w:rPr>
      </w:r>
      <w:r w:rsidRPr="00305E0F">
        <w:rPr>
          <w:color w:val="auto"/>
          <w:lang w:val="en-GB"/>
        </w:rPr>
        <w:fldChar w:fldCharType="separate"/>
      </w:r>
      <w:r w:rsidR="00594C05" w:rsidRPr="00305E0F">
        <w:rPr>
          <w:color w:val="auto"/>
          <w:lang w:val="en-GB"/>
        </w:rPr>
        <w:t>98</w:t>
      </w:r>
      <w:r w:rsidRPr="00305E0F">
        <w:rPr>
          <w:color w:val="auto"/>
          <w:lang w:val="en-GB"/>
        </w:rPr>
        <w:fldChar w:fldCharType="end"/>
      </w:r>
      <w:r w:rsidR="00F20387" w:rsidRPr="00305E0F">
        <w:rPr>
          <w:color w:val="auto"/>
          <w:lang w:val="en-GB"/>
        </w:rPr>
        <w:t>-</w:t>
      </w:r>
      <w:r w:rsidRPr="00305E0F">
        <w:rPr>
          <w:color w:val="auto"/>
          <w:lang w:val="en-GB"/>
        </w:rPr>
        <w:fldChar w:fldCharType="begin"/>
      </w:r>
      <w:r w:rsidRPr="00305E0F">
        <w:rPr>
          <w:color w:val="auto"/>
          <w:lang w:val="en-GB"/>
        </w:rPr>
        <w:instrText xml:space="preserve"> REF _Ref215221320 \r \h </w:instrText>
      </w:r>
      <w:r w:rsidRPr="00305E0F">
        <w:rPr>
          <w:color w:val="auto"/>
          <w:lang w:val="en-GB"/>
        </w:rPr>
      </w:r>
      <w:r w:rsidRPr="00305E0F">
        <w:rPr>
          <w:color w:val="auto"/>
          <w:lang w:val="en-GB"/>
        </w:rPr>
        <w:fldChar w:fldCharType="separate"/>
      </w:r>
      <w:r w:rsidR="00594C05" w:rsidRPr="00305E0F">
        <w:rPr>
          <w:color w:val="auto"/>
          <w:lang w:val="en-GB"/>
        </w:rPr>
        <w:t>99</w:t>
      </w:r>
      <w:r w:rsidRPr="00305E0F">
        <w:rPr>
          <w:color w:val="auto"/>
          <w:lang w:val="en-GB"/>
        </w:rPr>
        <w:fldChar w:fldCharType="end"/>
      </w:r>
      <w:r w:rsidRPr="00305E0F">
        <w:rPr>
          <w:color w:val="auto"/>
          <w:lang w:val="en-GB"/>
        </w:rPr>
        <w:t xml:space="preserve"> and</w:t>
      </w:r>
      <w:r w:rsidR="00F20387"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_Ref215086374 \r \h </w:instrText>
      </w:r>
      <w:r w:rsidRPr="00305E0F">
        <w:rPr>
          <w:color w:val="auto"/>
          <w:lang w:val="en-GB"/>
        </w:rPr>
      </w:r>
      <w:r w:rsidRPr="00305E0F">
        <w:rPr>
          <w:color w:val="auto"/>
          <w:lang w:val="en-GB"/>
        </w:rPr>
        <w:fldChar w:fldCharType="separate"/>
      </w:r>
      <w:r w:rsidR="00594C05" w:rsidRPr="00305E0F">
        <w:rPr>
          <w:color w:val="auto"/>
          <w:lang w:val="en-GB"/>
        </w:rPr>
        <w:t>102</w:t>
      </w:r>
      <w:r w:rsidRPr="00305E0F">
        <w:rPr>
          <w:color w:val="auto"/>
          <w:lang w:val="en-GB"/>
        </w:rPr>
        <w:fldChar w:fldCharType="end"/>
      </w:r>
      <w:r w:rsidRPr="00305E0F">
        <w:rPr>
          <w:color w:val="auto"/>
          <w:lang w:val="en-GB"/>
        </w:rPr>
        <w:t>, where own estimates of LGD are used, the LGD value used as an input in the formula for calculating risk-weighted exposure amounts and expected loss for exposures without an eligible F</w:t>
      </w:r>
      <w:r w:rsidR="00FD1FB7" w:rsidRPr="00305E0F">
        <w:rPr>
          <w:color w:val="auto"/>
          <w:lang w:val="en-GB"/>
        </w:rPr>
        <w:t>CP</w:t>
      </w:r>
      <w:r w:rsidRPr="00305E0F">
        <w:rPr>
          <w:color w:val="auto"/>
          <w:lang w:val="en-GB"/>
        </w:rPr>
        <w:t xml:space="preserve"> shall not be </w:t>
      </w:r>
      <w:r w:rsidR="00704220" w:rsidRPr="00305E0F">
        <w:rPr>
          <w:color w:val="auto"/>
          <w:lang w:val="en-GB"/>
        </w:rPr>
        <w:t>less</w:t>
      </w:r>
      <w:r w:rsidRPr="00305E0F">
        <w:rPr>
          <w:color w:val="auto"/>
          <w:lang w:val="en-GB"/>
        </w:rPr>
        <w:t xml:space="preserve"> than the following LGD floor value: 5%.</w:t>
      </w:r>
    </w:p>
    <w:p w14:paraId="3648697C" w14:textId="32BDB31F"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02" w:name="_Ref215221786"/>
      <w:r w:rsidRPr="00305E0F">
        <w:rPr>
          <w:color w:val="auto"/>
          <w:lang w:val="en-GB"/>
        </w:rPr>
        <w:t xml:space="preserve">For the purposes of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_Ref215221969 \r \h </w:instrText>
      </w:r>
      <w:r w:rsidRPr="00305E0F">
        <w:rPr>
          <w:color w:val="auto"/>
          <w:lang w:val="en-GB"/>
        </w:rPr>
      </w:r>
      <w:r w:rsidRPr="00305E0F">
        <w:rPr>
          <w:color w:val="auto"/>
          <w:lang w:val="en-GB"/>
        </w:rPr>
        <w:fldChar w:fldCharType="separate"/>
      </w:r>
      <w:r w:rsidR="00594C05" w:rsidRPr="00305E0F">
        <w:rPr>
          <w:color w:val="auto"/>
          <w:lang w:val="en-GB"/>
        </w:rPr>
        <w:t>117</w:t>
      </w:r>
      <w:r w:rsidRPr="00305E0F">
        <w:rPr>
          <w:color w:val="auto"/>
          <w:lang w:val="en-GB"/>
        </w:rPr>
        <w:fldChar w:fldCharType="end"/>
      </w:r>
      <w:r w:rsidRPr="00305E0F">
        <w:rPr>
          <w:color w:val="auto"/>
          <w:lang w:val="en-GB"/>
        </w:rPr>
        <w:t>, the LGD</w:t>
      </w:r>
      <w:r w:rsidR="00704220" w:rsidRPr="00305E0F">
        <w:rPr>
          <w:color w:val="auto"/>
          <w:lang w:val="en-GB"/>
        </w:rPr>
        <w:t xml:space="preserve"> input</w:t>
      </w:r>
      <w:r w:rsidRPr="00305E0F">
        <w:rPr>
          <w:color w:val="auto"/>
          <w:lang w:val="en-GB"/>
        </w:rPr>
        <w:t xml:space="preserve"> floors in Table 3 for exposures fully secured by eligible funded credit protection shall apply where the value of the funded credit protection, after the application of the volatility adjustments Hc and H</w:t>
      </w:r>
      <w:r w:rsidRPr="00305E0F">
        <w:rPr>
          <w:color w:val="auto"/>
          <w:vertAlign w:val="subscript"/>
          <w:lang w:val="en-GB"/>
        </w:rPr>
        <w:t>fx</w:t>
      </w:r>
      <w:r w:rsidRPr="00305E0F">
        <w:rPr>
          <w:color w:val="auto"/>
          <w:lang w:val="en-GB"/>
        </w:rPr>
        <w:t xml:space="preserve"> concerned in accordance with </w:t>
      </w:r>
      <w:r w:rsidR="00704220" w:rsidRPr="00305E0F">
        <w:rPr>
          <w:color w:val="auto"/>
          <w:lang w:val="en-GB"/>
        </w:rPr>
        <w:t>paragraph</w:t>
      </w:r>
      <w:r w:rsidRPr="00305E0F">
        <w:rPr>
          <w:color w:val="auto"/>
          <w:lang w:val="en-GB"/>
        </w:rPr>
        <w:t>s 107</w:t>
      </w:r>
      <w:r w:rsidRPr="00305E0F">
        <w:rPr>
          <w:color w:val="auto"/>
          <w:vertAlign w:val="superscript"/>
          <w:lang w:val="en-GB"/>
        </w:rPr>
        <w:t>6</w:t>
      </w:r>
      <w:r w:rsidR="00704220" w:rsidRPr="00305E0F">
        <w:rPr>
          <w:color w:val="auto"/>
          <w:vertAlign w:val="superscript"/>
          <w:lang w:val="en-GB"/>
        </w:rPr>
        <w:t xml:space="preserve"> </w:t>
      </w:r>
      <w:r w:rsidRPr="00305E0F">
        <w:rPr>
          <w:color w:val="auto"/>
          <w:lang w:val="en-GB"/>
        </w:rPr>
        <w:t>to 107</w:t>
      </w:r>
      <w:r w:rsidRPr="00305E0F">
        <w:rPr>
          <w:color w:val="auto"/>
          <w:vertAlign w:val="superscript"/>
          <w:lang w:val="en-GB"/>
        </w:rPr>
        <w:t>10</w:t>
      </w:r>
      <w:r w:rsidRPr="00305E0F">
        <w:rPr>
          <w:color w:val="auto"/>
          <w:lang w:val="en-GB"/>
        </w:rPr>
        <w:t xml:space="preserve"> of Regulation</w:t>
      </w:r>
      <w:r w:rsidR="00704220" w:rsidRPr="00305E0F">
        <w:rPr>
          <w:color w:val="auto"/>
          <w:lang w:val="en-GB"/>
        </w:rPr>
        <w:t xml:space="preserve"> No </w:t>
      </w:r>
      <w:r w:rsidRPr="00305E0F">
        <w:rPr>
          <w:color w:val="auto"/>
          <w:lang w:val="en-GB"/>
        </w:rPr>
        <w:t>112</w:t>
      </w:r>
      <w:r w:rsidR="00704220" w:rsidRPr="00305E0F">
        <w:rPr>
          <w:color w:val="auto"/>
          <w:lang w:val="en-GB"/>
        </w:rPr>
        <w:t>/2018</w:t>
      </w:r>
      <w:r w:rsidRPr="00305E0F">
        <w:rPr>
          <w:color w:val="auto"/>
          <w:lang w:val="en-GB"/>
        </w:rPr>
        <w:t xml:space="preserve">, is equal to or </w:t>
      </w:r>
      <w:r w:rsidR="00704220" w:rsidRPr="00305E0F">
        <w:rPr>
          <w:color w:val="auto"/>
          <w:lang w:val="en-GB"/>
        </w:rPr>
        <w:t>exceeds</w:t>
      </w:r>
      <w:r w:rsidRPr="00305E0F">
        <w:rPr>
          <w:color w:val="auto"/>
          <w:lang w:val="en-GB"/>
        </w:rPr>
        <w:t xml:space="preserve"> the value of the underlying exposure.</w:t>
      </w:r>
      <w:bookmarkEnd w:id="102"/>
    </w:p>
    <w:p w14:paraId="13039889" w14:textId="2481BFE0"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704220" w:rsidRPr="00305E0F">
        <w:rPr>
          <w:color w:val="auto"/>
          <w:lang w:val="en-GB"/>
        </w:rPr>
        <w:t xml:space="preserve">paragraph </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_Ref215221969 \r \h </w:instrText>
      </w:r>
      <w:r w:rsidRPr="00305E0F">
        <w:rPr>
          <w:color w:val="auto"/>
          <w:lang w:val="en-GB"/>
        </w:rPr>
      </w:r>
      <w:r w:rsidRPr="00305E0F">
        <w:rPr>
          <w:color w:val="auto"/>
          <w:lang w:val="en-GB"/>
        </w:rPr>
        <w:fldChar w:fldCharType="separate"/>
      </w:r>
      <w:r w:rsidR="00594C05" w:rsidRPr="00305E0F">
        <w:rPr>
          <w:color w:val="auto"/>
          <w:lang w:val="en-GB"/>
        </w:rPr>
        <w:t>117</w:t>
      </w:r>
      <w:r w:rsidRPr="00305E0F">
        <w:rPr>
          <w:color w:val="auto"/>
          <w:lang w:val="en-GB"/>
        </w:rPr>
        <w:fldChar w:fldCharType="end"/>
      </w:r>
      <w:r w:rsidRPr="00305E0F">
        <w:rPr>
          <w:color w:val="auto"/>
          <w:lang w:val="en-GB"/>
        </w:rPr>
        <w:t xml:space="preserve"> and for the purposes of applying the relevant related adjustments, Hc and H</w:t>
      </w:r>
      <w:r w:rsidRPr="00305E0F">
        <w:rPr>
          <w:color w:val="auto"/>
          <w:vertAlign w:val="subscript"/>
          <w:lang w:val="en-GB"/>
        </w:rPr>
        <w:t>fx</w:t>
      </w:r>
      <w:r w:rsidRPr="00305E0F">
        <w:rPr>
          <w:color w:val="auto"/>
          <w:lang w:val="en-GB"/>
        </w:rPr>
        <w:t xml:space="preserve">, in accordance with </w:t>
      </w:r>
      <w:r w:rsidR="00704220" w:rsidRPr="00305E0F">
        <w:rPr>
          <w:color w:val="auto"/>
          <w:lang w:val="en-GB"/>
        </w:rPr>
        <w:t>paragraph</w:t>
      </w:r>
      <w:r w:rsidRPr="00305E0F">
        <w:rPr>
          <w:color w:val="auto"/>
          <w:lang w:val="en-GB"/>
        </w:rPr>
        <w:t>s 107</w:t>
      </w:r>
      <w:r w:rsidRPr="00305E0F">
        <w:rPr>
          <w:color w:val="auto"/>
          <w:vertAlign w:val="superscript"/>
          <w:lang w:val="en-GB"/>
        </w:rPr>
        <w:t>6</w:t>
      </w:r>
      <w:r w:rsidR="00704220" w:rsidRPr="00305E0F">
        <w:rPr>
          <w:color w:val="auto"/>
          <w:vertAlign w:val="superscript"/>
          <w:lang w:val="en-GB"/>
        </w:rPr>
        <w:t xml:space="preserve"> </w:t>
      </w:r>
      <w:r w:rsidRPr="00305E0F">
        <w:rPr>
          <w:color w:val="auto"/>
          <w:lang w:val="en-GB"/>
        </w:rPr>
        <w:t>to 107</w:t>
      </w:r>
      <w:r w:rsidRPr="00305E0F">
        <w:rPr>
          <w:color w:val="auto"/>
          <w:vertAlign w:val="superscript"/>
          <w:lang w:val="en-GB"/>
        </w:rPr>
        <w:t>10</w:t>
      </w:r>
      <w:r w:rsidRPr="00305E0F">
        <w:rPr>
          <w:color w:val="auto"/>
          <w:lang w:val="en-GB"/>
        </w:rPr>
        <w:t xml:space="preserve"> of Regulation </w:t>
      </w:r>
      <w:r w:rsidR="00704220" w:rsidRPr="00305E0F">
        <w:rPr>
          <w:color w:val="auto"/>
          <w:lang w:val="en-GB"/>
        </w:rPr>
        <w:t xml:space="preserve">No </w:t>
      </w:r>
      <w:r w:rsidRPr="00305E0F">
        <w:rPr>
          <w:color w:val="auto"/>
          <w:lang w:val="en-GB"/>
        </w:rPr>
        <w:t>112</w:t>
      </w:r>
      <w:r w:rsidR="00704220" w:rsidRPr="00305E0F">
        <w:rPr>
          <w:color w:val="auto"/>
          <w:lang w:val="en-GB"/>
        </w:rPr>
        <w:t>/2018</w:t>
      </w:r>
      <w:r w:rsidRPr="00305E0F">
        <w:rPr>
          <w:color w:val="auto"/>
          <w:lang w:val="en-GB"/>
        </w:rPr>
        <w:t xml:space="preserve">, funded credit protection is eligible under this Regulation. In this case, the type of funded credit protection </w:t>
      </w:r>
      <w:r w:rsidR="00704220" w:rsidRPr="00305E0F">
        <w:rPr>
          <w:color w:val="auto"/>
          <w:lang w:val="en-GB"/>
        </w:rPr>
        <w:t>“</w:t>
      </w:r>
      <w:r w:rsidRPr="00305E0F">
        <w:rPr>
          <w:color w:val="auto"/>
          <w:lang w:val="en-GB"/>
        </w:rPr>
        <w:t>other physical collateral</w:t>
      </w:r>
      <w:r w:rsidR="00704220" w:rsidRPr="00305E0F">
        <w:rPr>
          <w:color w:val="auto"/>
          <w:lang w:val="en-GB"/>
        </w:rPr>
        <w:t>”</w:t>
      </w:r>
      <w:r w:rsidRPr="00305E0F">
        <w:rPr>
          <w:color w:val="auto"/>
          <w:lang w:val="en-GB"/>
        </w:rPr>
        <w:t xml:space="preserve"> set out in Table 5 of Regulation No</w:t>
      </w:r>
      <w:r w:rsidR="00704220" w:rsidRPr="00305E0F">
        <w:rPr>
          <w:color w:val="auto"/>
          <w:lang w:val="en-GB"/>
        </w:rPr>
        <w:t xml:space="preserve"> </w:t>
      </w:r>
      <w:r w:rsidRPr="00305E0F">
        <w:rPr>
          <w:color w:val="auto"/>
          <w:lang w:val="en-GB"/>
        </w:rPr>
        <w:t xml:space="preserve">112/2018 shall be understood as </w:t>
      </w:r>
      <w:r w:rsidR="00704220" w:rsidRPr="00305E0F">
        <w:rPr>
          <w:color w:val="auto"/>
          <w:lang w:val="en-GB"/>
        </w:rPr>
        <w:t>“</w:t>
      </w:r>
      <w:r w:rsidRPr="00305E0F">
        <w:rPr>
          <w:color w:val="auto"/>
          <w:lang w:val="en-GB"/>
        </w:rPr>
        <w:t>other physical collateral and other eligible collateral</w:t>
      </w:r>
      <w:r w:rsidR="00704220" w:rsidRPr="00305E0F">
        <w:rPr>
          <w:color w:val="auto"/>
          <w:lang w:val="en-GB"/>
        </w:rPr>
        <w:t>”</w:t>
      </w:r>
      <w:r w:rsidRPr="00305E0F">
        <w:rPr>
          <w:color w:val="auto"/>
          <w:lang w:val="en-GB"/>
        </w:rPr>
        <w:t>.</w:t>
      </w:r>
    </w:p>
    <w:p w14:paraId="623CE653" w14:textId="13816364"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bookmarkStart w:id="103" w:name="_Ref215221791"/>
      <w:r w:rsidRPr="00305E0F">
        <w:rPr>
          <w:color w:val="auto"/>
          <w:sz w:val="24"/>
          <w:szCs w:val="24"/>
          <w:lang w:val="en-GB"/>
        </w:rPr>
        <w:t xml:space="preserve">The </w:t>
      </w:r>
      <w:r w:rsidR="00704220" w:rsidRPr="00305E0F">
        <w:rPr>
          <w:color w:val="auto"/>
          <w:sz w:val="24"/>
          <w:szCs w:val="24"/>
          <w:lang w:val="en-GB"/>
        </w:rPr>
        <w:t xml:space="preserve">applicable </w:t>
      </w:r>
      <w:r w:rsidRPr="00305E0F">
        <w:rPr>
          <w:color w:val="auto"/>
          <w:sz w:val="24"/>
          <w:szCs w:val="24"/>
          <w:lang w:val="en-GB"/>
        </w:rPr>
        <w:t>LGD</w:t>
      </w:r>
      <w:r w:rsidRPr="00305E0F">
        <w:rPr>
          <w:color w:val="auto"/>
          <w:sz w:val="24"/>
          <w:szCs w:val="24"/>
          <w:vertAlign w:val="subscript"/>
          <w:lang w:val="en-GB"/>
        </w:rPr>
        <w:t xml:space="preserve"> floor</w:t>
      </w:r>
      <w:r w:rsidRPr="00305E0F">
        <w:rPr>
          <w:color w:val="auto"/>
          <w:sz w:val="24"/>
          <w:szCs w:val="24"/>
          <w:lang w:val="en-GB"/>
        </w:rPr>
        <w:t xml:space="preserve"> for an exposure partially secured by an FCP shall be calculated as a weighted average between LGD</w:t>
      </w:r>
      <w:r w:rsidRPr="00305E0F">
        <w:rPr>
          <w:color w:val="auto"/>
          <w:sz w:val="24"/>
          <w:szCs w:val="24"/>
          <w:vertAlign w:val="subscript"/>
          <w:lang w:val="en-GB"/>
        </w:rPr>
        <w:t xml:space="preserve"> U-floor </w:t>
      </w:r>
      <w:r w:rsidRPr="00305E0F">
        <w:rPr>
          <w:color w:val="auto"/>
          <w:sz w:val="24"/>
          <w:szCs w:val="24"/>
          <w:lang w:val="en-GB"/>
        </w:rPr>
        <w:t>for the part of the exposure without FCP and LGD</w:t>
      </w:r>
      <w:r w:rsidRPr="00305E0F">
        <w:rPr>
          <w:color w:val="auto"/>
          <w:sz w:val="24"/>
          <w:szCs w:val="24"/>
          <w:vertAlign w:val="subscript"/>
          <w:lang w:val="en-GB"/>
        </w:rPr>
        <w:t xml:space="preserve"> S-floor </w:t>
      </w:r>
      <w:r w:rsidRPr="00305E0F">
        <w:rPr>
          <w:color w:val="auto"/>
          <w:sz w:val="24"/>
          <w:szCs w:val="24"/>
          <w:lang w:val="en-GB"/>
        </w:rPr>
        <w:t>for the part fully secured as follows:</w:t>
      </w:r>
      <w:bookmarkEnd w:id="103"/>
      <w:r w:rsidRPr="00305E0F">
        <w:rPr>
          <w:color w:val="auto"/>
          <w:sz w:val="18"/>
          <w:szCs w:val="18"/>
          <w:highlight w:val="lightGray"/>
          <w:lang w:val="en-GB"/>
        </w:rPr>
        <w:t xml:space="preserve"> </w:t>
      </w:r>
    </w:p>
    <w:p w14:paraId="4854C65B" w14:textId="0E72C50C" w:rsidR="00EB0050" w:rsidRPr="00305E0F" w:rsidRDefault="00B02122">
      <w:pPr>
        <w:pStyle w:val="P68B1DB1-Normal4"/>
        <w:shd w:val="clear" w:color="auto" w:fill="FFFFFF"/>
        <w:tabs>
          <w:tab w:val="left" w:pos="0"/>
          <w:tab w:val="left" w:pos="567"/>
        </w:tabs>
        <w:spacing w:before="60" w:after="0" w:line="240" w:lineRule="auto"/>
        <w:ind w:firstLine="567"/>
        <w:jc w:val="both"/>
        <w:rPr>
          <w:lang w:val="en-GB"/>
        </w:rPr>
      </w:pPr>
      <w:r w:rsidRPr="00305E0F">
        <w:rPr>
          <w:noProof/>
          <w:lang w:val="en-GB"/>
        </w:rPr>
        <w:drawing>
          <wp:inline distT="0" distB="0" distL="0" distR="0" wp14:anchorId="63FE1B19" wp14:editId="3D4C2B6A">
            <wp:extent cx="4953000" cy="5048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0" cy="504825"/>
                    </a:xfrm>
                    <a:prstGeom prst="rect">
                      <a:avLst/>
                    </a:prstGeom>
                    <a:noFill/>
                    <a:ln>
                      <a:noFill/>
                    </a:ln>
                  </pic:spPr>
                </pic:pic>
              </a:graphicData>
            </a:graphic>
          </wp:inline>
        </w:drawing>
      </w:r>
    </w:p>
    <w:p w14:paraId="774A72FD" w14:textId="77777777" w:rsidR="00EB0050" w:rsidRPr="00305E0F" w:rsidRDefault="00B02122">
      <w:pPr>
        <w:pStyle w:val="P68B1DB1-ListParagraph8"/>
        <w:shd w:val="clear" w:color="auto" w:fill="FFFFFF"/>
        <w:tabs>
          <w:tab w:val="left" w:pos="0"/>
          <w:tab w:val="left" w:pos="567"/>
        </w:tabs>
        <w:spacing w:before="60" w:after="0" w:line="240" w:lineRule="auto"/>
        <w:ind w:left="0" w:firstLine="567"/>
        <w:jc w:val="both"/>
        <w:rPr>
          <w:color w:val="auto"/>
          <w:lang w:val="en-GB"/>
        </w:rPr>
      </w:pPr>
      <w:r w:rsidRPr="00305E0F">
        <w:rPr>
          <w:color w:val="auto"/>
          <w:lang w:val="en-GB"/>
        </w:rPr>
        <w:t>where:</w:t>
      </w:r>
    </w:p>
    <w:p w14:paraId="7E2A3D42" w14:textId="77777777" w:rsidR="00EB0050" w:rsidRPr="00305E0F" w:rsidRDefault="00EB0050">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sz w:val="24"/>
          <w:szCs w:val="24"/>
          <w:lang w:val="en-GB"/>
        </w:rPr>
      </w:pPr>
    </w:p>
    <w:p w14:paraId="357CF5CD" w14:textId="58C7CF7A" w:rsidR="00EB0050" w:rsidRPr="00305E0F" w:rsidRDefault="00B02122">
      <w:pPr>
        <w:pStyle w:val="P68B1DB1-ListParagraph8"/>
        <w:shd w:val="clear" w:color="auto" w:fill="FFFFFF"/>
        <w:tabs>
          <w:tab w:val="left" w:pos="0"/>
          <w:tab w:val="left" w:pos="567"/>
        </w:tabs>
        <w:spacing w:before="60" w:after="0" w:line="240" w:lineRule="auto"/>
        <w:ind w:left="0" w:firstLine="567"/>
        <w:jc w:val="both"/>
        <w:rPr>
          <w:color w:val="auto"/>
          <w:lang w:val="en-GB"/>
        </w:rPr>
      </w:pPr>
      <w:r w:rsidRPr="00305E0F">
        <w:rPr>
          <w:color w:val="auto"/>
          <w:lang w:val="en-GB"/>
        </w:rPr>
        <w:t>LGD</w:t>
      </w:r>
      <w:r w:rsidRPr="00305E0F">
        <w:rPr>
          <w:color w:val="auto"/>
          <w:vertAlign w:val="subscript"/>
          <w:lang w:val="en-GB"/>
        </w:rPr>
        <w:t xml:space="preserve"> U-floor </w:t>
      </w:r>
      <w:r w:rsidRPr="00305E0F">
        <w:rPr>
          <w:color w:val="auto"/>
          <w:lang w:val="en-GB"/>
        </w:rPr>
        <w:t>and LGD</w:t>
      </w:r>
      <w:r w:rsidRPr="00305E0F">
        <w:rPr>
          <w:color w:val="auto"/>
          <w:vertAlign w:val="subscript"/>
          <w:lang w:val="en-GB"/>
        </w:rPr>
        <w:t xml:space="preserve"> S-floor </w:t>
      </w:r>
      <w:r w:rsidR="000F76FF" w:rsidRPr="00305E0F">
        <w:rPr>
          <w:color w:val="auto"/>
          <w:lang w:val="en-GB"/>
        </w:rPr>
        <w:t xml:space="preserve">are the relevant floor values in </w:t>
      </w:r>
      <w:r w:rsidRPr="00305E0F">
        <w:rPr>
          <w:color w:val="auto"/>
          <w:lang w:val="en-GB"/>
        </w:rPr>
        <w:t>in Table 3;</w:t>
      </w:r>
    </w:p>
    <w:p w14:paraId="7D42ADF9" w14:textId="5FCC3435" w:rsidR="00EB0050" w:rsidRPr="00305E0F" w:rsidRDefault="00B02122">
      <w:pPr>
        <w:pStyle w:val="P68B1DB1-ListParagraph8"/>
        <w:shd w:val="clear" w:color="auto" w:fill="FFFFFF"/>
        <w:tabs>
          <w:tab w:val="left" w:pos="0"/>
          <w:tab w:val="left" w:pos="567"/>
        </w:tabs>
        <w:spacing w:before="60" w:after="0" w:line="240" w:lineRule="auto"/>
        <w:ind w:left="0" w:firstLine="567"/>
        <w:jc w:val="both"/>
        <w:rPr>
          <w:color w:val="auto"/>
          <w:lang w:val="en-GB"/>
        </w:rPr>
      </w:pPr>
      <w:r w:rsidRPr="00305E0F">
        <w:rPr>
          <w:color w:val="auto"/>
          <w:lang w:val="en-GB"/>
        </w:rPr>
        <w:t>E, E</w:t>
      </w:r>
      <w:r w:rsidRPr="00305E0F">
        <w:rPr>
          <w:color w:val="auto"/>
          <w:vertAlign w:val="subscript"/>
          <w:lang w:val="en-GB"/>
        </w:rPr>
        <w:t>S</w:t>
      </w:r>
      <w:r w:rsidRPr="00305E0F">
        <w:rPr>
          <w:color w:val="auto"/>
          <w:lang w:val="en-GB"/>
        </w:rPr>
        <w:t>, E</w:t>
      </w:r>
      <w:r w:rsidRPr="00305E0F">
        <w:rPr>
          <w:color w:val="auto"/>
          <w:vertAlign w:val="subscript"/>
          <w:lang w:val="en-GB"/>
        </w:rPr>
        <w:t>U</w:t>
      </w:r>
      <w:r w:rsidRPr="00305E0F">
        <w:rPr>
          <w:color w:val="auto"/>
          <w:lang w:val="en-GB"/>
        </w:rPr>
        <w:t xml:space="preserve"> and H</w:t>
      </w:r>
      <w:r w:rsidRPr="00305E0F">
        <w:rPr>
          <w:color w:val="auto"/>
          <w:vertAlign w:val="subscript"/>
          <w:lang w:val="en-GB"/>
        </w:rPr>
        <w:t>E</w:t>
      </w:r>
      <w:r w:rsidRPr="00305E0F">
        <w:rPr>
          <w:color w:val="auto"/>
          <w:lang w:val="en-GB"/>
        </w:rPr>
        <w:t xml:space="preserve"> are determined in accordance with paragraphs 107</w:t>
      </w:r>
      <w:r w:rsidRPr="00305E0F">
        <w:rPr>
          <w:color w:val="auto"/>
          <w:vertAlign w:val="superscript"/>
          <w:lang w:val="en-GB"/>
        </w:rPr>
        <w:t>6</w:t>
      </w:r>
      <w:r w:rsidR="000F76FF" w:rsidRPr="00305E0F">
        <w:rPr>
          <w:color w:val="auto"/>
          <w:vertAlign w:val="superscript"/>
          <w:lang w:val="en-GB"/>
        </w:rPr>
        <w:t xml:space="preserve"> </w:t>
      </w:r>
      <w:r w:rsidRPr="00305E0F">
        <w:rPr>
          <w:color w:val="auto"/>
          <w:lang w:val="en-GB"/>
        </w:rPr>
        <w:t>to 107</w:t>
      </w:r>
      <w:r w:rsidRPr="00305E0F">
        <w:rPr>
          <w:color w:val="auto"/>
          <w:vertAlign w:val="superscript"/>
          <w:lang w:val="en-GB"/>
        </w:rPr>
        <w:t>10</w:t>
      </w:r>
      <w:r w:rsidRPr="00305E0F">
        <w:rPr>
          <w:color w:val="auto"/>
          <w:lang w:val="en-GB"/>
        </w:rPr>
        <w:t xml:space="preserve"> of Regulation No 112/2018.</w:t>
      </w:r>
    </w:p>
    <w:p w14:paraId="0A2B26B1" w14:textId="7F5D340D"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Where a bank using own estimates of LGDs for a specific type of unsecured exposures to corporates and unsecured exposures to regional governments, local authorities and public sector entities is not able to take into account, in its own estimates of LGDs, the effect of funded credit protection securing one of such exposures due to the lack of data on recoveries for that funded credit protection, the bank is allowed to apply the formula set out in paragraphs 107</w:t>
      </w:r>
      <w:r w:rsidRPr="00305E0F">
        <w:rPr>
          <w:color w:val="auto"/>
          <w:vertAlign w:val="superscript"/>
          <w:lang w:val="en-GB"/>
        </w:rPr>
        <w:t>6</w:t>
      </w:r>
      <w:r w:rsidR="000F76FF" w:rsidRPr="00305E0F">
        <w:rPr>
          <w:color w:val="auto"/>
          <w:vertAlign w:val="superscript"/>
          <w:lang w:val="en-GB"/>
        </w:rPr>
        <w:t xml:space="preserve"> </w:t>
      </w:r>
      <w:r w:rsidRPr="00305E0F">
        <w:rPr>
          <w:color w:val="auto"/>
          <w:lang w:val="en-GB"/>
        </w:rPr>
        <w:t>to 107</w:t>
      </w:r>
      <w:r w:rsidRPr="00305E0F">
        <w:rPr>
          <w:color w:val="auto"/>
          <w:vertAlign w:val="superscript"/>
          <w:lang w:val="en-GB"/>
        </w:rPr>
        <w:t>10</w:t>
      </w:r>
      <w:r w:rsidRPr="00305E0F">
        <w:rPr>
          <w:color w:val="auto"/>
          <w:lang w:val="en-GB"/>
        </w:rPr>
        <w:t xml:space="preserve"> of Regulation </w:t>
      </w:r>
      <w:r w:rsidR="00594C05" w:rsidRPr="00305E0F">
        <w:rPr>
          <w:color w:val="auto"/>
          <w:lang w:val="en-GB"/>
        </w:rPr>
        <w:t xml:space="preserve">No </w:t>
      </w:r>
      <w:r w:rsidRPr="00305E0F">
        <w:rPr>
          <w:color w:val="auto"/>
          <w:lang w:val="en-GB"/>
        </w:rPr>
        <w:t>112/2018, except that the applicable LGD for an unsecured exposure (LGD</w:t>
      </w:r>
      <w:r w:rsidRPr="00305E0F">
        <w:rPr>
          <w:color w:val="auto"/>
          <w:vertAlign w:val="subscript"/>
          <w:lang w:val="en-GB"/>
        </w:rPr>
        <w:t>U</w:t>
      </w:r>
      <w:r w:rsidRPr="00305E0F">
        <w:rPr>
          <w:color w:val="auto"/>
          <w:lang w:val="en-GB"/>
        </w:rPr>
        <w:t>) of that formula is the bank’s own estimate of LGDs for unsecured exposures. In that case, the funded credit protection shall be eligible in accordance with Regulation No 112/2018 and the bank’s own LGD estimate used as LGD</w:t>
      </w:r>
      <w:r w:rsidRPr="00305E0F">
        <w:rPr>
          <w:color w:val="auto"/>
          <w:vertAlign w:val="subscript"/>
          <w:lang w:val="en-GB"/>
        </w:rPr>
        <w:t>U</w:t>
      </w:r>
      <w:r w:rsidRPr="00305E0F">
        <w:rPr>
          <w:color w:val="auto"/>
          <w:lang w:val="en-GB"/>
        </w:rPr>
        <w:t xml:space="preserve"> shall be calculated on the basis of the underlying loss, excluding any recoveries stemming from that funded credit protection.</w:t>
      </w:r>
    </w:p>
    <w:p w14:paraId="57EB7BB1" w14:textId="5AF2697A"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3</w:t>
      </w:r>
    </w:p>
    <w:p w14:paraId="320A2C72" w14:textId="100B11EF" w:rsidR="00EB0050" w:rsidRPr="00305E0F" w:rsidRDefault="00B02122">
      <w:pPr>
        <w:pStyle w:val="P68B1DB1-ListParagraph15"/>
        <w:shd w:val="clear" w:color="auto" w:fill="FFFFFF"/>
        <w:tabs>
          <w:tab w:val="left" w:pos="0"/>
        </w:tabs>
        <w:spacing w:after="120" w:line="240" w:lineRule="auto"/>
        <w:ind w:left="0"/>
        <w:contextualSpacing w:val="0"/>
        <w:jc w:val="center"/>
        <w:rPr>
          <w:color w:val="auto"/>
          <w:lang w:val="en-GB"/>
        </w:rPr>
      </w:pPr>
      <w:r w:rsidRPr="00305E0F">
        <w:rPr>
          <w:color w:val="auto"/>
          <w:lang w:val="en-GB"/>
        </w:rPr>
        <w:t>Maturity</w:t>
      </w:r>
    </w:p>
    <w:p w14:paraId="275CFF8F" w14:textId="49E45938"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04" w:name="_Ref215228830"/>
      <w:r w:rsidRPr="00305E0F">
        <w:rPr>
          <w:color w:val="auto"/>
          <w:lang w:val="en-GB"/>
        </w:rPr>
        <w:t xml:space="preserve">For exposures for which a bank has not received permission from the National Bank of Moldova to use own estimates of LGD, the maturity value (M) shall be applied consistently and shall be either set at 2,5 years, except for exposures arising from </w:t>
      </w:r>
      <w:r w:rsidR="000F76FF" w:rsidRPr="00305E0F">
        <w:rPr>
          <w:color w:val="auto"/>
          <w:lang w:val="en-GB"/>
        </w:rPr>
        <w:t xml:space="preserve">securities financing transactions </w:t>
      </w:r>
      <w:r w:rsidRPr="00305E0F">
        <w:rPr>
          <w:color w:val="auto"/>
          <w:lang w:val="en-GB"/>
        </w:rPr>
        <w:t>where the maturity is 0,5 years, or alternatively calculated in accordance with paragraph</w:t>
      </w:r>
      <w:r w:rsidR="000F76FF" w:rsidRPr="00305E0F">
        <w:rPr>
          <w:color w:val="auto"/>
          <w:lang w:val="en-GB"/>
        </w:rPr>
        <w:t xml:space="preserve"> </w:t>
      </w:r>
      <w:r w:rsidRPr="00305E0F">
        <w:rPr>
          <w:color w:val="auto"/>
          <w:lang w:val="en-GB"/>
        </w:rPr>
        <w:fldChar w:fldCharType="begin"/>
      </w:r>
      <w:r w:rsidRPr="00305E0F">
        <w:rPr>
          <w:color w:val="auto"/>
          <w:lang w:val="en-GB"/>
        </w:rPr>
        <w:instrText xml:space="preserve"> REF _Ref215222862 \r \h </w:instrText>
      </w:r>
      <w:r w:rsidRPr="00305E0F">
        <w:rPr>
          <w:color w:val="auto"/>
          <w:lang w:val="en-GB"/>
        </w:rPr>
      </w:r>
      <w:r w:rsidRPr="00305E0F">
        <w:rPr>
          <w:color w:val="auto"/>
          <w:lang w:val="en-GB"/>
        </w:rPr>
        <w:fldChar w:fldCharType="separate"/>
      </w:r>
      <w:r w:rsidR="00594C05" w:rsidRPr="00305E0F">
        <w:rPr>
          <w:color w:val="auto"/>
          <w:lang w:val="en-GB"/>
        </w:rPr>
        <w:t>124</w:t>
      </w:r>
      <w:r w:rsidRPr="00305E0F">
        <w:rPr>
          <w:color w:val="auto"/>
          <w:lang w:val="en-GB"/>
        </w:rPr>
        <w:fldChar w:fldCharType="end"/>
      </w:r>
      <w:r w:rsidRPr="00305E0F">
        <w:rPr>
          <w:color w:val="auto"/>
          <w:lang w:val="en-GB"/>
        </w:rPr>
        <w:t>.</w:t>
      </w:r>
      <w:bookmarkEnd w:id="104"/>
    </w:p>
    <w:p w14:paraId="41405A2B" w14:textId="3B5F0EF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05" w:name="_Ref215222862"/>
      <w:r w:rsidRPr="00305E0F">
        <w:rPr>
          <w:color w:val="auto"/>
          <w:lang w:val="en-GB"/>
        </w:rPr>
        <w:t xml:space="preserve">For exposures for which a bank applies own estimates of LGD, the maturity value (M) shall be calculated using periods denominated in years as set out in this paragraph and subject to paragraphs </w:t>
      </w:r>
      <w:r w:rsidRPr="00305E0F">
        <w:rPr>
          <w:color w:val="auto"/>
          <w:lang w:val="en-GB"/>
        </w:rPr>
        <w:fldChar w:fldCharType="begin"/>
      </w:r>
      <w:r w:rsidRPr="00305E0F">
        <w:rPr>
          <w:color w:val="auto"/>
          <w:lang w:val="en-GB"/>
        </w:rPr>
        <w:instrText xml:space="preserve"> REF _Ref215223063 \r \h </w:instrText>
      </w:r>
      <w:r w:rsidRPr="00305E0F">
        <w:rPr>
          <w:color w:val="auto"/>
          <w:lang w:val="en-GB"/>
        </w:rPr>
      </w:r>
      <w:r w:rsidRPr="00305E0F">
        <w:rPr>
          <w:color w:val="auto"/>
          <w:lang w:val="en-GB"/>
        </w:rPr>
        <w:fldChar w:fldCharType="separate"/>
      </w:r>
      <w:r w:rsidR="00594C05" w:rsidRPr="00305E0F">
        <w:rPr>
          <w:color w:val="auto"/>
          <w:lang w:val="en-GB"/>
        </w:rPr>
        <w:t>125</w:t>
      </w:r>
      <w:r w:rsidRPr="00305E0F">
        <w:rPr>
          <w:color w:val="auto"/>
          <w:lang w:val="en-GB"/>
        </w:rPr>
        <w:fldChar w:fldCharType="end"/>
      </w:r>
      <w:r w:rsidR="000F76FF" w:rsidRPr="00305E0F">
        <w:rPr>
          <w:color w:val="auto"/>
          <w:lang w:val="en-GB"/>
        </w:rPr>
        <w:t xml:space="preserve"> </w:t>
      </w:r>
      <w:r w:rsidRPr="00305E0F">
        <w:rPr>
          <w:color w:val="auto"/>
          <w:lang w:val="en-GB"/>
        </w:rPr>
        <w:t>to</w:t>
      </w:r>
      <w:r w:rsidR="000F76FF" w:rsidRPr="00305E0F">
        <w:rPr>
          <w:color w:val="auto"/>
          <w:lang w:val="en-GB"/>
        </w:rPr>
        <w:t xml:space="preserve"> </w:t>
      </w:r>
      <w:r w:rsidR="000F76FF" w:rsidRPr="00305E0F">
        <w:rPr>
          <w:color w:val="auto"/>
          <w:lang w:val="en-GB"/>
        </w:rPr>
        <w:fldChar w:fldCharType="begin"/>
      </w:r>
      <w:r w:rsidR="000F76FF" w:rsidRPr="00305E0F">
        <w:rPr>
          <w:color w:val="auto"/>
          <w:lang w:val="en-GB"/>
        </w:rPr>
        <w:instrText xml:space="preserve"> REF _Ref215223072 \r \h </w:instrText>
      </w:r>
      <w:r w:rsidR="000F76FF" w:rsidRPr="00305E0F">
        <w:rPr>
          <w:color w:val="auto"/>
          <w:lang w:val="en-GB"/>
        </w:rPr>
      </w:r>
      <w:r w:rsidR="000F76FF" w:rsidRPr="00305E0F">
        <w:rPr>
          <w:color w:val="auto"/>
          <w:lang w:val="en-GB"/>
        </w:rPr>
        <w:fldChar w:fldCharType="separate"/>
      </w:r>
      <w:r w:rsidR="000F76FF" w:rsidRPr="00305E0F">
        <w:rPr>
          <w:color w:val="auto"/>
          <w:lang w:val="en-GB"/>
        </w:rPr>
        <w:t>126</w:t>
      </w:r>
      <w:r w:rsidR="000F76FF" w:rsidRPr="00305E0F">
        <w:rPr>
          <w:color w:val="auto"/>
          <w:lang w:val="en-GB"/>
        </w:rPr>
        <w:fldChar w:fldCharType="end"/>
      </w:r>
      <w:r w:rsidR="000F76FF" w:rsidRPr="00305E0F">
        <w:rPr>
          <w:color w:val="auto"/>
          <w:lang w:val="en-GB"/>
        </w:rPr>
        <w:t xml:space="preserve">, </w:t>
      </w:r>
      <w:r w:rsidRPr="00305E0F">
        <w:rPr>
          <w:color w:val="auto"/>
          <w:lang w:val="en-GB"/>
        </w:rPr>
        <w:fldChar w:fldCharType="begin"/>
      </w:r>
      <w:r w:rsidRPr="00305E0F">
        <w:rPr>
          <w:color w:val="auto"/>
          <w:lang w:val="en-GB"/>
        </w:rPr>
        <w:instrText xml:space="preserve"> REF _Ref215223086 \r \h </w:instrText>
      </w:r>
      <w:r w:rsidRPr="00305E0F">
        <w:rPr>
          <w:color w:val="auto"/>
          <w:lang w:val="en-GB"/>
        </w:rPr>
      </w:r>
      <w:r w:rsidRPr="00305E0F">
        <w:rPr>
          <w:color w:val="auto"/>
          <w:lang w:val="en-GB"/>
        </w:rPr>
        <w:fldChar w:fldCharType="separate"/>
      </w:r>
      <w:r w:rsidR="00594C05" w:rsidRPr="00305E0F">
        <w:rPr>
          <w:color w:val="auto"/>
          <w:lang w:val="en-GB"/>
        </w:rPr>
        <w:t>127</w:t>
      </w:r>
      <w:r w:rsidRPr="00305E0F">
        <w:rPr>
          <w:color w:val="auto"/>
          <w:lang w:val="en-GB"/>
        </w:rPr>
        <w:fldChar w:fldCharType="end"/>
      </w:r>
      <w:r w:rsidRPr="00305E0F">
        <w:rPr>
          <w:color w:val="auto"/>
          <w:lang w:val="en-GB"/>
        </w:rPr>
        <w:t>,</w:t>
      </w:r>
      <w:r w:rsidR="000F76FF" w:rsidRPr="00305E0F">
        <w:rPr>
          <w:color w:val="auto"/>
          <w:lang w:val="en-GB"/>
        </w:rPr>
        <w:t xml:space="preserve"> </w:t>
      </w:r>
      <w:r w:rsidRPr="00305E0F">
        <w:rPr>
          <w:color w:val="auto"/>
          <w:lang w:val="en-GB"/>
        </w:rPr>
        <w:t>and</w:t>
      </w:r>
      <w:r w:rsidR="000F76FF" w:rsidRPr="00305E0F">
        <w:rPr>
          <w:color w:val="auto"/>
          <w:lang w:val="en-GB"/>
        </w:rPr>
        <w:t xml:space="preserve"> </w:t>
      </w:r>
      <w:r w:rsidRPr="00305E0F">
        <w:rPr>
          <w:color w:val="auto"/>
          <w:lang w:val="en-GB"/>
        </w:rPr>
        <w:fldChar w:fldCharType="begin"/>
      </w:r>
      <w:r w:rsidRPr="00305E0F">
        <w:rPr>
          <w:color w:val="auto"/>
          <w:lang w:val="en-GB"/>
        </w:rPr>
        <w:instrText xml:space="preserve"> REF _Ref215223098 \r \h </w:instrText>
      </w:r>
      <w:r w:rsidRPr="00305E0F">
        <w:rPr>
          <w:color w:val="auto"/>
          <w:lang w:val="en-GB"/>
        </w:rPr>
      </w:r>
      <w:r w:rsidRPr="00305E0F">
        <w:rPr>
          <w:color w:val="auto"/>
          <w:lang w:val="en-GB"/>
        </w:rPr>
        <w:fldChar w:fldCharType="separate"/>
      </w:r>
      <w:r w:rsidR="00594C05" w:rsidRPr="00305E0F">
        <w:rPr>
          <w:color w:val="auto"/>
          <w:lang w:val="en-GB"/>
        </w:rPr>
        <w:t>128</w:t>
      </w:r>
      <w:r w:rsidRPr="00305E0F">
        <w:rPr>
          <w:color w:val="auto"/>
          <w:lang w:val="en-GB"/>
        </w:rPr>
        <w:fldChar w:fldCharType="end"/>
      </w:r>
      <w:r w:rsidRPr="00305E0F">
        <w:rPr>
          <w:color w:val="auto"/>
          <w:lang w:val="en-GB"/>
        </w:rPr>
        <w:t xml:space="preserve">. M shall not exceed five years, except in the cases of the Basic Approach on the treatment of credit valuation adjustment risk for banks, where M as specified in that </w:t>
      </w:r>
      <w:r w:rsidR="000F76FF" w:rsidRPr="00305E0F">
        <w:rPr>
          <w:color w:val="auto"/>
          <w:lang w:val="en-GB"/>
        </w:rPr>
        <w:t>paragraph shall</w:t>
      </w:r>
      <w:r w:rsidRPr="00305E0F">
        <w:rPr>
          <w:color w:val="auto"/>
          <w:lang w:val="en-GB"/>
        </w:rPr>
        <w:t xml:space="preserve"> be used. M shall be calculated, in each of the following cases, as follows:</w:t>
      </w:r>
      <w:bookmarkEnd w:id="105"/>
    </w:p>
    <w:p w14:paraId="30F3B849" w14:textId="6E67E9F5"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06" w:name="_Ref215227852"/>
      <w:r w:rsidRPr="00305E0F">
        <w:rPr>
          <w:color w:val="auto"/>
          <w:lang w:val="en-GB"/>
        </w:rPr>
        <w:t xml:space="preserve">For an instrument subject to cash flow </w:t>
      </w:r>
      <w:r w:rsidR="000F76FF" w:rsidRPr="00305E0F">
        <w:rPr>
          <w:color w:val="auto"/>
          <w:lang w:val="en-GB"/>
        </w:rPr>
        <w:t>schedule</w:t>
      </w:r>
      <w:r w:rsidRPr="00305E0F">
        <w:rPr>
          <w:color w:val="auto"/>
          <w:lang w:val="en-GB"/>
        </w:rPr>
        <w:t>, maturity (M) shall be calculated according to the following formula:</w:t>
      </w:r>
      <w:bookmarkEnd w:id="106"/>
    </w:p>
    <w:p w14:paraId="6079D4F8" w14:textId="132F18FC" w:rsidR="00EB0050" w:rsidRPr="00305E0F" w:rsidRDefault="00B02122">
      <w:pPr>
        <w:pStyle w:val="ListParagraph"/>
        <w:spacing w:before="120" w:after="120" w:line="360" w:lineRule="auto"/>
        <w:ind w:left="0" w:firstLine="567"/>
        <w:contextualSpacing w:val="0"/>
        <w:jc w:val="both"/>
        <w:rPr>
          <w:rFonts w:ascii="Times New Roman" w:eastAsiaTheme="minorEastAsia" w:hAnsi="Times New Roman" w:cs="Times New Roman"/>
          <w:sz w:val="24"/>
          <w:szCs w:val="24"/>
          <w:lang w:val="en-GB"/>
        </w:rPr>
      </w:pPr>
      <m:oMathPara>
        <m:oMathParaPr>
          <m:jc m:val="center"/>
        </m:oMathParaPr>
        <m:oMath>
          <m:r>
            <w:rPr>
              <w:rFonts w:ascii="Cambria Math" w:eastAsiaTheme="minorEastAsia" w:hAnsi="Cambria Math" w:cs="Times New Roman"/>
              <w:sz w:val="24"/>
              <w:szCs w:val="24"/>
              <w:lang w:val="en-GB"/>
            </w:rPr>
            <m:t>M=</m:t>
          </m:r>
          <m:r>
            <m:rPr>
              <m:sty m:val="p"/>
            </m:rPr>
            <w:rPr>
              <w:rFonts w:ascii="Cambria Math" w:eastAsiaTheme="minorEastAsia" w:hAnsi="Cambria Math" w:cs="Times New Roman"/>
              <w:sz w:val="24"/>
              <w:szCs w:val="24"/>
              <w:lang w:val="en-GB"/>
            </w:rPr>
            <m:t>max⁡</m:t>
          </m:r>
          <m:d>
            <m:dPr>
              <m:begChr m:val="{"/>
              <m:endChr m:val="}"/>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1,min</m:t>
              </m:r>
              <m:d>
                <m:dPr>
                  <m:begChr m:val="{"/>
                  <m:endChr m:val="}"/>
                  <m:ctrlPr>
                    <w:rPr>
                      <w:rFonts w:ascii="Cambria Math" w:eastAsiaTheme="minorEastAsia" w:hAnsi="Cambria Math" w:cs="Times New Roman"/>
                      <w:i/>
                      <w:sz w:val="24"/>
                      <w:szCs w:val="24"/>
                      <w:lang w:val="en-GB"/>
                    </w:rPr>
                  </m:ctrlPr>
                </m:dPr>
                <m:e>
                  <m:f>
                    <m:fPr>
                      <m:ctrlPr>
                        <w:rPr>
                          <w:rFonts w:ascii="Cambria Math" w:eastAsiaTheme="minorEastAsia" w:hAnsi="Cambria Math" w:cs="Times New Roman"/>
                          <w:i/>
                          <w:sz w:val="24"/>
                          <w:szCs w:val="24"/>
                          <w:lang w:val="en-GB"/>
                        </w:rPr>
                      </m:ctrlPr>
                    </m:fPr>
                    <m:num>
                      <m:nary>
                        <m:naryPr>
                          <m:chr m:val="∑"/>
                          <m:limLoc m:val="subSup"/>
                          <m:supHide m:val="1"/>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t</m:t>
                          </m:r>
                        </m:sub>
                        <m:sup/>
                        <m:e>
                          <m:r>
                            <w:rPr>
                              <w:rFonts w:ascii="Cambria Math" w:eastAsiaTheme="minorEastAsia" w:hAnsi="Cambria Math" w:cs="Times New Roman"/>
                              <w:sz w:val="24"/>
                              <w:szCs w:val="24"/>
                              <w:lang w:val="en-GB"/>
                            </w:rPr>
                            <m:t>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CF</m:t>
                              </m:r>
                            </m:e>
                            <m:sub>
                              <m:r>
                                <w:rPr>
                                  <w:rFonts w:ascii="Cambria Math" w:eastAsiaTheme="minorEastAsia" w:hAnsi="Cambria Math" w:cs="Times New Roman"/>
                                  <w:sz w:val="24"/>
                                  <w:szCs w:val="24"/>
                                  <w:lang w:val="en-GB"/>
                                </w:rPr>
                                <m:t>t</m:t>
                              </m:r>
                            </m:sub>
                          </m:sSub>
                        </m:e>
                      </m:nary>
                    </m:num>
                    <m:den>
                      <m:nary>
                        <m:naryPr>
                          <m:chr m:val="∑"/>
                          <m:limLoc m:val="subSup"/>
                          <m:supHide m:val="1"/>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t</m:t>
                          </m:r>
                        </m:sub>
                        <m:sup/>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CF</m:t>
                              </m:r>
                            </m:e>
                            <m:sub>
                              <m:r>
                                <w:rPr>
                                  <w:rFonts w:ascii="Cambria Math" w:eastAsiaTheme="minorEastAsia" w:hAnsi="Cambria Math" w:cs="Times New Roman"/>
                                  <w:sz w:val="24"/>
                                  <w:szCs w:val="24"/>
                                  <w:lang w:val="en-GB"/>
                                </w:rPr>
                                <m:t>t</m:t>
                              </m:r>
                            </m:sub>
                          </m:sSub>
                        </m:e>
                      </m:nary>
                    </m:den>
                  </m:f>
                  <m:r>
                    <w:rPr>
                      <w:rFonts w:ascii="Cambria Math" w:eastAsiaTheme="minorEastAsia" w:hAnsi="Cambria Math" w:cs="Times New Roman"/>
                      <w:sz w:val="24"/>
                      <w:szCs w:val="24"/>
                      <w:lang w:val="en-GB"/>
                    </w:rPr>
                    <m:t>,5</m:t>
                  </m:r>
                </m:e>
              </m:d>
            </m:e>
          </m:d>
        </m:oMath>
      </m:oMathPara>
    </w:p>
    <w:p w14:paraId="06B677EB" w14:textId="23874608" w:rsidR="00EB0050" w:rsidRPr="00305E0F" w:rsidRDefault="00B02122">
      <w:pPr>
        <w:pStyle w:val="P68B1DB1-ListParagraph8"/>
        <w:shd w:val="clear" w:color="auto" w:fill="FFFFFF"/>
        <w:tabs>
          <w:tab w:val="left" w:pos="0"/>
          <w:tab w:val="left" w:pos="567"/>
        </w:tabs>
        <w:spacing w:before="60" w:after="0" w:line="240" w:lineRule="auto"/>
        <w:ind w:left="0" w:firstLine="567"/>
        <w:jc w:val="both"/>
        <w:rPr>
          <w:color w:val="auto"/>
          <w:lang w:val="en-GB"/>
        </w:rPr>
      </w:pPr>
      <w:r w:rsidRPr="00305E0F">
        <w:rPr>
          <w:color w:val="auto"/>
          <w:lang w:val="en-GB"/>
        </w:rPr>
        <w:t>where CF</w:t>
      </w:r>
      <w:r w:rsidRPr="00305E0F">
        <w:rPr>
          <w:color w:val="auto"/>
          <w:vertAlign w:val="subscript"/>
          <w:lang w:val="en-GB"/>
        </w:rPr>
        <w:t>t</w:t>
      </w:r>
      <w:r w:rsidRPr="00305E0F">
        <w:rPr>
          <w:color w:val="auto"/>
          <w:lang w:val="en-GB"/>
        </w:rPr>
        <w:t xml:space="preserve"> represents the cash flows (principal, interest and commissions) that the borrower is required to pay under the contract in period t;</w:t>
      </w:r>
    </w:p>
    <w:p w14:paraId="595C66AE" w14:textId="3099C15D" w:rsidR="00EB0050" w:rsidRPr="00305E0F" w:rsidRDefault="00B02122">
      <w:pPr>
        <w:pStyle w:val="P68B1DB1-ListParagraph11"/>
        <w:numPr>
          <w:ilvl w:val="1"/>
          <w:numId w:val="2"/>
        </w:numPr>
        <w:shd w:val="clear" w:color="auto" w:fill="FFFFFF"/>
        <w:tabs>
          <w:tab w:val="left" w:pos="0"/>
          <w:tab w:val="left" w:pos="567"/>
        </w:tabs>
        <w:spacing w:before="60" w:after="0" w:line="240" w:lineRule="auto"/>
        <w:jc w:val="both"/>
        <w:rPr>
          <w:color w:val="auto"/>
          <w:sz w:val="24"/>
          <w:szCs w:val="24"/>
          <w:lang w:val="en-GB"/>
        </w:rPr>
      </w:pPr>
      <w:r w:rsidRPr="00305E0F">
        <w:rPr>
          <w:color w:val="auto"/>
          <w:sz w:val="24"/>
          <w:szCs w:val="24"/>
          <w:lang w:val="en-GB"/>
        </w:rPr>
        <w:t>For derivatives subject to a master netting agreement, maturity shall be the weighted average of the remaining maturities of the exposures and shall be at least 1 year. For the maturity weighting, the notional amount of each exposure shall be used;</w:t>
      </w:r>
      <w:r w:rsidRPr="00305E0F">
        <w:rPr>
          <w:color w:val="auto"/>
          <w:sz w:val="18"/>
          <w:szCs w:val="18"/>
          <w:highlight w:val="lightGray"/>
          <w:lang w:val="en-GB"/>
        </w:rPr>
        <w:t xml:space="preserve"> </w:t>
      </w:r>
    </w:p>
    <w:p w14:paraId="3EE4213D" w14:textId="04070033"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07" w:name="_Ref215223228"/>
      <w:r w:rsidRPr="00305E0F">
        <w:rPr>
          <w:color w:val="auto"/>
          <w:lang w:val="en-GB"/>
        </w:rPr>
        <w:t xml:space="preserve">For exposures arising from derivatives listed in Annex 1 to the Regulation on the treatment of market risk according to the standardised approach, approved by the Decision of the Executive Board of the National Bank of Moldova </w:t>
      </w:r>
      <w:r w:rsidR="00594C05" w:rsidRPr="00305E0F">
        <w:rPr>
          <w:color w:val="auto"/>
          <w:lang w:val="en-GB"/>
        </w:rPr>
        <w:t xml:space="preserve">No </w:t>
      </w:r>
      <w:r w:rsidRPr="00305E0F">
        <w:rPr>
          <w:color w:val="auto"/>
          <w:lang w:val="en-GB"/>
        </w:rPr>
        <w:t xml:space="preserve">114/2018 (hereinafter – Regulation </w:t>
      </w:r>
      <w:r w:rsidR="00594C05" w:rsidRPr="00305E0F">
        <w:rPr>
          <w:color w:val="auto"/>
          <w:lang w:val="en-GB"/>
        </w:rPr>
        <w:t xml:space="preserve">No </w:t>
      </w:r>
      <w:r w:rsidRPr="00305E0F">
        <w:rPr>
          <w:color w:val="auto"/>
          <w:lang w:val="en-GB"/>
        </w:rPr>
        <w:t xml:space="preserve">114/2018), fully or </w:t>
      </w:r>
      <w:r w:rsidR="002D553F" w:rsidRPr="00305E0F">
        <w:rPr>
          <w:color w:val="auto"/>
          <w:lang w:val="en-GB"/>
        </w:rPr>
        <w:t>nearly-</w:t>
      </w:r>
      <w:r w:rsidRPr="00305E0F">
        <w:rPr>
          <w:color w:val="auto"/>
          <w:lang w:val="en-GB"/>
        </w:rPr>
        <w:t xml:space="preserve">fully collateralised, and for exposures arising from margin lending transactions fully or </w:t>
      </w:r>
      <w:r w:rsidR="002D553F" w:rsidRPr="00305E0F">
        <w:rPr>
          <w:color w:val="auto"/>
          <w:lang w:val="en-GB"/>
        </w:rPr>
        <w:t>nearly-</w:t>
      </w:r>
      <w:r w:rsidRPr="00305E0F">
        <w:rPr>
          <w:color w:val="auto"/>
          <w:lang w:val="en-GB"/>
        </w:rPr>
        <w:t>fully collateralised, subject to a master netting agreement, the maturity shall be the weighted average of the remaining maturities of the transactions and shall be at least 10 days;</w:t>
      </w:r>
      <w:bookmarkEnd w:id="107"/>
    </w:p>
    <w:p w14:paraId="3565B986" w14:textId="206577F3"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08" w:name="_Ref215223254"/>
      <w:r w:rsidRPr="00305E0F">
        <w:rPr>
          <w:color w:val="auto"/>
          <w:lang w:val="en-GB"/>
        </w:rPr>
        <w:t>For repurchase transactions or securities or commodities lending or borrowing transactions subject to a master netting agreement, the maturity shall be the weighted average of the remaining maturities of the transactions and shall be at least 5 days. For the weighting of maturities, the notional amount of each transaction shall be used;</w:t>
      </w:r>
      <w:bookmarkEnd w:id="108"/>
    </w:p>
    <w:p w14:paraId="505105A1" w14:textId="6FB763FD"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09" w:name="_Ref215223274"/>
      <w:r w:rsidRPr="00305E0F">
        <w:rPr>
          <w:color w:val="auto"/>
          <w:lang w:val="en-GB"/>
        </w:rPr>
        <w:lastRenderedPageBreak/>
        <w:t>For secured lending transactions subject to a master netting agreement, M shall be the weighted average remaining maturity of the transactions and shall be at least 20 days; for the weighting of maturities, the notional amount of each transaction shall be used;</w:t>
      </w:r>
      <w:bookmarkEnd w:id="109"/>
    </w:p>
    <w:p w14:paraId="0FD9DEEC" w14:textId="7855E8CA"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10" w:name="_Ref215229237"/>
      <w:r w:rsidRPr="00305E0F">
        <w:rPr>
          <w:color w:val="auto"/>
          <w:lang w:val="en-GB"/>
        </w:rPr>
        <w:t>For a master netting agreement that includes more than one of the types of transactions corresponding to sub</w:t>
      </w:r>
      <w:r w:rsidR="002D553F" w:rsidRPr="00305E0F">
        <w:rPr>
          <w:color w:val="auto"/>
          <w:lang w:val="en-GB"/>
        </w:rPr>
        <w:t>-</w:t>
      </w:r>
      <w:r w:rsidRPr="00305E0F">
        <w:rPr>
          <w:color w:val="auto"/>
          <w:lang w:val="en-GB"/>
        </w:rPr>
        <w:t>paragraphs</w:t>
      </w:r>
      <w:r w:rsidR="002D553F" w:rsidRPr="00305E0F">
        <w:rPr>
          <w:color w:val="auto"/>
          <w:lang w:val="en-GB"/>
        </w:rPr>
        <w:t xml:space="preserve"> </w:t>
      </w:r>
      <w:r w:rsidRPr="00305E0F">
        <w:rPr>
          <w:color w:val="auto"/>
          <w:lang w:val="en-GB"/>
        </w:rPr>
        <w:fldChar w:fldCharType="begin"/>
      </w:r>
      <w:r w:rsidRPr="00305E0F">
        <w:rPr>
          <w:color w:val="auto"/>
          <w:lang w:val="en-GB"/>
        </w:rPr>
        <w:instrText xml:space="preserve"> REF _Ref215223228 \r \h </w:instrText>
      </w:r>
      <w:r w:rsidRPr="00305E0F">
        <w:rPr>
          <w:color w:val="auto"/>
          <w:lang w:val="en-GB"/>
        </w:rPr>
      </w:r>
      <w:r w:rsidRPr="00305E0F">
        <w:rPr>
          <w:color w:val="auto"/>
          <w:lang w:val="en-GB"/>
        </w:rPr>
        <w:fldChar w:fldCharType="separate"/>
      </w:r>
      <w:r w:rsidR="00594C05" w:rsidRPr="00305E0F">
        <w:rPr>
          <w:color w:val="auto"/>
          <w:lang w:val="en-GB"/>
        </w:rPr>
        <w:t>124.3</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_Ref215223254 \r \h </w:instrText>
      </w:r>
      <w:r w:rsidRPr="00305E0F">
        <w:rPr>
          <w:color w:val="auto"/>
          <w:lang w:val="en-GB"/>
        </w:rPr>
      </w:r>
      <w:r w:rsidRPr="00305E0F">
        <w:rPr>
          <w:color w:val="auto"/>
          <w:lang w:val="en-GB"/>
        </w:rPr>
        <w:fldChar w:fldCharType="separate"/>
      </w:r>
      <w:r w:rsidR="00594C05" w:rsidRPr="00305E0F">
        <w:rPr>
          <w:color w:val="auto"/>
          <w:lang w:val="en-GB"/>
        </w:rPr>
        <w:t>124.4</w:t>
      </w:r>
      <w:r w:rsidRPr="00305E0F">
        <w:rPr>
          <w:color w:val="auto"/>
          <w:lang w:val="en-GB"/>
        </w:rPr>
        <w:fldChar w:fldCharType="end"/>
      </w:r>
      <w:r w:rsidRPr="00305E0F">
        <w:rPr>
          <w:color w:val="auto"/>
          <w:lang w:val="en-GB"/>
        </w:rPr>
        <w:t xml:space="preserve"> or</w:t>
      </w:r>
      <w:r w:rsidR="002D553F" w:rsidRPr="00305E0F">
        <w:rPr>
          <w:color w:val="auto"/>
          <w:lang w:val="en-GB"/>
        </w:rPr>
        <w:t xml:space="preserve"> </w:t>
      </w:r>
      <w:r w:rsidRPr="00305E0F">
        <w:rPr>
          <w:color w:val="auto"/>
          <w:lang w:val="en-GB"/>
        </w:rPr>
        <w:fldChar w:fldCharType="begin"/>
      </w:r>
      <w:r w:rsidRPr="00305E0F">
        <w:rPr>
          <w:color w:val="auto"/>
          <w:lang w:val="en-GB"/>
        </w:rPr>
        <w:instrText xml:space="preserve"> REF _Ref215223274 \r \h </w:instrText>
      </w:r>
      <w:r w:rsidRPr="00305E0F">
        <w:rPr>
          <w:color w:val="auto"/>
          <w:lang w:val="en-GB"/>
        </w:rPr>
      </w:r>
      <w:r w:rsidRPr="00305E0F">
        <w:rPr>
          <w:color w:val="auto"/>
          <w:lang w:val="en-GB"/>
        </w:rPr>
        <w:fldChar w:fldCharType="separate"/>
      </w:r>
      <w:r w:rsidR="00594C05" w:rsidRPr="00305E0F">
        <w:rPr>
          <w:color w:val="auto"/>
          <w:lang w:val="en-GB"/>
        </w:rPr>
        <w:t>124.5</w:t>
      </w:r>
      <w:r w:rsidRPr="00305E0F">
        <w:rPr>
          <w:color w:val="auto"/>
          <w:lang w:val="en-GB"/>
        </w:rPr>
        <w:fldChar w:fldCharType="end"/>
      </w:r>
      <w:r w:rsidRPr="00305E0F">
        <w:rPr>
          <w:color w:val="auto"/>
          <w:lang w:val="en-GB"/>
        </w:rPr>
        <w:t xml:space="preserve">, M shall be the weighted average remaining maturity of the transactions and shall be at least the longest holding period, expressed in years, applicable to such transactions as set out in </w:t>
      </w:r>
      <w:r w:rsidR="00704220" w:rsidRPr="00305E0F">
        <w:rPr>
          <w:color w:val="auto"/>
          <w:lang w:val="en-GB"/>
        </w:rPr>
        <w:t>paragraph</w:t>
      </w:r>
      <w:r w:rsidRPr="00305E0F">
        <w:rPr>
          <w:color w:val="auto"/>
          <w:lang w:val="en-GB"/>
        </w:rPr>
        <w:t>s 96 to 96</w:t>
      </w:r>
      <w:r w:rsidRPr="00305E0F">
        <w:rPr>
          <w:color w:val="auto"/>
          <w:vertAlign w:val="superscript"/>
          <w:lang w:val="en-GB"/>
        </w:rPr>
        <w:t>1</w:t>
      </w:r>
      <w:r w:rsidRPr="00305E0F">
        <w:rPr>
          <w:color w:val="auto"/>
          <w:lang w:val="en-GB"/>
        </w:rPr>
        <w:t xml:space="preserve"> of Regulation No 112/2018, i.e. either 10 or 20 days, as applicable; for the weighting of maturities, the notional amount of each transaction shall be used;</w:t>
      </w:r>
      <w:bookmarkEnd w:id="110"/>
    </w:p>
    <w:p w14:paraId="3AFEB7F4" w14:textId="704D9917" w:rsidR="00EB0050" w:rsidRPr="00305E0F" w:rsidRDefault="00B02122">
      <w:pPr>
        <w:pStyle w:val="P68B1DB1-ListParagraph11"/>
        <w:numPr>
          <w:ilvl w:val="1"/>
          <w:numId w:val="2"/>
        </w:numPr>
        <w:shd w:val="clear" w:color="auto" w:fill="FFFFFF"/>
        <w:tabs>
          <w:tab w:val="left" w:pos="0"/>
          <w:tab w:val="left" w:pos="567"/>
        </w:tabs>
        <w:spacing w:before="60" w:after="0" w:line="240" w:lineRule="auto"/>
        <w:jc w:val="both"/>
        <w:rPr>
          <w:color w:val="auto"/>
          <w:sz w:val="24"/>
          <w:szCs w:val="24"/>
          <w:lang w:val="en-GB"/>
        </w:rPr>
      </w:pPr>
      <w:r w:rsidRPr="00305E0F">
        <w:rPr>
          <w:color w:val="auto"/>
          <w:sz w:val="24"/>
          <w:szCs w:val="24"/>
          <w:lang w:val="en-GB"/>
        </w:rPr>
        <w:t xml:space="preserve">For a bank that has received, pursuant to paragraphs </w:t>
      </w:r>
      <w:r w:rsidRPr="00305E0F">
        <w:rPr>
          <w:color w:val="auto"/>
          <w:sz w:val="24"/>
          <w:szCs w:val="24"/>
          <w:lang w:val="en-GB"/>
        </w:rPr>
        <w:fldChar w:fldCharType="begin"/>
      </w:r>
      <w:r w:rsidRPr="00305E0F">
        <w:rPr>
          <w:color w:val="auto"/>
          <w:sz w:val="24"/>
          <w:szCs w:val="24"/>
          <w:lang w:val="en-GB"/>
        </w:rPr>
        <w:instrText xml:space="preserve"> REF _Ref215069496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4</w:t>
      </w:r>
      <w:r w:rsidRPr="00305E0F">
        <w:rPr>
          <w:color w:val="auto"/>
          <w:sz w:val="24"/>
          <w:szCs w:val="24"/>
          <w:lang w:val="en-GB"/>
        </w:rPr>
        <w:fldChar w:fldCharType="end"/>
      </w:r>
      <w:r w:rsidRPr="00305E0F">
        <w:rPr>
          <w:color w:val="auto"/>
          <w:sz w:val="24"/>
          <w:szCs w:val="24"/>
          <w:lang w:val="en-GB"/>
        </w:rPr>
        <w:t>-</w:t>
      </w:r>
      <w:r w:rsidRPr="00305E0F">
        <w:rPr>
          <w:color w:val="auto"/>
          <w:sz w:val="24"/>
          <w:szCs w:val="24"/>
          <w:lang w:val="en-GB"/>
        </w:rPr>
        <w:fldChar w:fldCharType="begin"/>
      </w:r>
      <w:r w:rsidRPr="00305E0F">
        <w:rPr>
          <w:color w:val="auto"/>
          <w:sz w:val="24"/>
          <w:szCs w:val="24"/>
          <w:lang w:val="en-GB"/>
        </w:rPr>
        <w:instrText xml:space="preserve"> REF _Ref215069507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7</w:t>
      </w:r>
      <w:r w:rsidRPr="00305E0F">
        <w:rPr>
          <w:color w:val="auto"/>
          <w:sz w:val="24"/>
          <w:szCs w:val="24"/>
          <w:lang w:val="en-GB"/>
        </w:rPr>
        <w:fldChar w:fldCharType="end"/>
      </w:r>
      <w:r w:rsidRPr="00305E0F">
        <w:rPr>
          <w:color w:val="auto"/>
          <w:sz w:val="24"/>
          <w:szCs w:val="24"/>
          <w:lang w:val="en-GB"/>
        </w:rPr>
        <w:t xml:space="preserve">, the approval of the National Bank of Moldova to use its own estimates of PD for purchased receivables on </w:t>
      </w:r>
      <w:r w:rsidR="002D553F" w:rsidRPr="00305E0F">
        <w:rPr>
          <w:color w:val="auto"/>
          <w:sz w:val="24"/>
          <w:szCs w:val="24"/>
          <w:lang w:val="en-GB"/>
        </w:rPr>
        <w:t>corporates</w:t>
      </w:r>
      <w:r w:rsidRPr="00305E0F">
        <w:rPr>
          <w:color w:val="auto"/>
          <w:sz w:val="24"/>
          <w:szCs w:val="24"/>
          <w:lang w:val="en-GB"/>
        </w:rPr>
        <w:t xml:space="preserve">, in the case of drawn amounts, the maturity shall be equal to the weighted average maturity of the exposures arising from purchased receivables and shall be at least 90 days. The same maturity value shall apply to undrawn amounts under a </w:t>
      </w:r>
      <w:r w:rsidR="002D553F" w:rsidRPr="00305E0F">
        <w:rPr>
          <w:color w:val="auto"/>
          <w:sz w:val="24"/>
          <w:szCs w:val="24"/>
          <w:lang w:val="en-GB"/>
        </w:rPr>
        <w:t>committed</w:t>
      </w:r>
      <w:r w:rsidRPr="00305E0F">
        <w:rPr>
          <w:color w:val="auto"/>
          <w:sz w:val="24"/>
          <w:szCs w:val="24"/>
          <w:lang w:val="en-GB"/>
        </w:rPr>
        <w:t xml:space="preserve"> purchase facility, provided that the purchase facility </w:t>
      </w:r>
      <w:r w:rsidR="002D553F" w:rsidRPr="00305E0F">
        <w:rPr>
          <w:color w:val="auto"/>
          <w:sz w:val="24"/>
          <w:szCs w:val="24"/>
          <w:lang w:val="en-GB"/>
        </w:rPr>
        <w:t xml:space="preserve">contains effective covenants, early amortisation </w:t>
      </w:r>
      <w:r w:rsidRPr="00305E0F">
        <w:rPr>
          <w:color w:val="auto"/>
          <w:sz w:val="24"/>
          <w:szCs w:val="24"/>
          <w:lang w:val="en-GB"/>
        </w:rPr>
        <w:t>triggers or other elements to protect the purchasing bank against a significant future deterioration in the quality of the receivables it is obliged to purchase until the maturity of the facility. In the absence of such effective protection, for unused amounts, maturity shall be calculated as the sum of the longest maturity of a potential claim under the purchase contract and the residual maturity of the purchase facility and shall be at least 90 days;</w:t>
      </w:r>
      <w:r w:rsidRPr="00305E0F">
        <w:rPr>
          <w:color w:val="auto"/>
          <w:sz w:val="18"/>
          <w:szCs w:val="18"/>
          <w:highlight w:val="lightGray"/>
          <w:lang w:val="en-GB"/>
        </w:rPr>
        <w:t xml:space="preserve"> </w:t>
      </w:r>
    </w:p>
    <w:p w14:paraId="7A9CF0C3" w14:textId="2A87F589" w:rsidR="00EB0050" w:rsidRPr="00305E0F" w:rsidRDefault="00B02122">
      <w:pPr>
        <w:pStyle w:val="P68B1DB1-ListParagraph11"/>
        <w:numPr>
          <w:ilvl w:val="1"/>
          <w:numId w:val="2"/>
        </w:numPr>
        <w:shd w:val="clear" w:color="auto" w:fill="FFFFFF"/>
        <w:tabs>
          <w:tab w:val="left" w:pos="0"/>
          <w:tab w:val="left" w:pos="567"/>
        </w:tabs>
        <w:spacing w:before="60" w:after="0" w:line="240" w:lineRule="auto"/>
        <w:jc w:val="both"/>
        <w:rPr>
          <w:color w:val="auto"/>
          <w:sz w:val="24"/>
          <w:szCs w:val="24"/>
          <w:lang w:val="en-GB"/>
        </w:rPr>
      </w:pPr>
      <w:r w:rsidRPr="00305E0F">
        <w:rPr>
          <w:color w:val="auto"/>
          <w:sz w:val="24"/>
          <w:szCs w:val="24"/>
          <w:lang w:val="en-GB"/>
        </w:rPr>
        <w:t xml:space="preserve">For any instruments other than those referred to in this </w:t>
      </w:r>
      <w:r w:rsidR="00704220" w:rsidRPr="00305E0F">
        <w:rPr>
          <w:color w:val="auto"/>
          <w:sz w:val="24"/>
          <w:szCs w:val="24"/>
          <w:lang w:val="en-GB"/>
        </w:rPr>
        <w:t xml:space="preserve">paragraph </w:t>
      </w:r>
      <w:r w:rsidRPr="00305E0F">
        <w:rPr>
          <w:color w:val="auto"/>
          <w:sz w:val="24"/>
          <w:szCs w:val="24"/>
          <w:lang w:val="en-GB"/>
        </w:rPr>
        <w:t>, or where a bank is unable to calculate M as set out in sub</w:t>
      </w:r>
      <w:r w:rsidR="00774B70" w:rsidRPr="00305E0F">
        <w:rPr>
          <w:color w:val="auto"/>
          <w:sz w:val="24"/>
          <w:szCs w:val="24"/>
          <w:lang w:val="en-GB"/>
        </w:rPr>
        <w:t>-</w:t>
      </w:r>
      <w:r w:rsidRPr="00305E0F">
        <w:rPr>
          <w:color w:val="auto"/>
          <w:sz w:val="24"/>
          <w:szCs w:val="24"/>
          <w:lang w:val="en-GB"/>
        </w:rPr>
        <w:t xml:space="preserve">paragraph </w:t>
      </w:r>
      <w:r w:rsidRPr="00305E0F">
        <w:rPr>
          <w:color w:val="auto"/>
          <w:sz w:val="24"/>
          <w:szCs w:val="24"/>
          <w:lang w:val="en-GB"/>
        </w:rPr>
        <w:fldChar w:fldCharType="begin"/>
      </w:r>
      <w:r w:rsidRPr="00305E0F">
        <w:rPr>
          <w:color w:val="auto"/>
          <w:sz w:val="24"/>
          <w:szCs w:val="24"/>
          <w:lang w:val="en-GB"/>
        </w:rPr>
        <w:instrText xml:space="preserve"> REF _Ref215227852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124.1</w:t>
      </w:r>
      <w:r w:rsidRPr="00305E0F">
        <w:rPr>
          <w:color w:val="auto"/>
          <w:sz w:val="24"/>
          <w:szCs w:val="24"/>
          <w:lang w:val="en-GB"/>
        </w:rPr>
        <w:fldChar w:fldCharType="end"/>
      </w:r>
      <w:r w:rsidRPr="00305E0F">
        <w:rPr>
          <w:color w:val="auto"/>
          <w:sz w:val="24"/>
          <w:szCs w:val="24"/>
          <w:lang w:val="en-GB"/>
        </w:rPr>
        <w:t xml:space="preserve">, M, the maximum </w:t>
      </w:r>
      <w:r w:rsidR="00774B70" w:rsidRPr="00305E0F">
        <w:rPr>
          <w:color w:val="auto"/>
          <w:sz w:val="24"/>
          <w:szCs w:val="24"/>
          <w:lang w:val="en-GB"/>
        </w:rPr>
        <w:t>remaining time</w:t>
      </w:r>
      <w:r w:rsidRPr="00305E0F">
        <w:rPr>
          <w:color w:val="auto"/>
          <w:sz w:val="24"/>
          <w:szCs w:val="24"/>
          <w:lang w:val="en-GB"/>
        </w:rPr>
        <w:t xml:space="preserve">, in years, that the </w:t>
      </w:r>
      <w:r w:rsidR="00774B70" w:rsidRPr="00305E0F">
        <w:rPr>
          <w:color w:val="auto"/>
          <w:sz w:val="24"/>
          <w:szCs w:val="24"/>
          <w:lang w:val="en-GB"/>
        </w:rPr>
        <w:t>obligor</w:t>
      </w:r>
      <w:r w:rsidRPr="00305E0F">
        <w:rPr>
          <w:color w:val="auto"/>
          <w:sz w:val="24"/>
          <w:szCs w:val="24"/>
          <w:lang w:val="en-GB"/>
        </w:rPr>
        <w:t xml:space="preserve"> may have at its disposal to pay its contractual obligations in full, including principal, interest and fees, and shall be at least one year;</w:t>
      </w:r>
      <w:r w:rsidRPr="00305E0F">
        <w:rPr>
          <w:color w:val="auto"/>
          <w:sz w:val="18"/>
          <w:szCs w:val="18"/>
          <w:highlight w:val="lightGray"/>
          <w:lang w:val="en-GB"/>
        </w:rPr>
        <w:t xml:space="preserve"> </w:t>
      </w:r>
    </w:p>
    <w:p w14:paraId="25A8A93A" w14:textId="3A0E237D"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In the case of banks that determine exposure values using the </w:t>
      </w:r>
      <w:r w:rsidR="00774B70" w:rsidRPr="00305E0F">
        <w:rPr>
          <w:color w:val="auto"/>
          <w:lang w:val="en-GB"/>
        </w:rPr>
        <w:t>I</w:t>
      </w:r>
      <w:r w:rsidRPr="00305E0F">
        <w:rPr>
          <w:color w:val="auto"/>
          <w:lang w:val="en-GB"/>
        </w:rPr>
        <w:t xml:space="preserve">nternal </w:t>
      </w:r>
      <w:r w:rsidR="00774B70" w:rsidRPr="00305E0F">
        <w:rPr>
          <w:color w:val="auto"/>
          <w:lang w:val="en-GB"/>
        </w:rPr>
        <w:t>M</w:t>
      </w:r>
      <w:r w:rsidRPr="00305E0F">
        <w:rPr>
          <w:color w:val="auto"/>
          <w:lang w:val="en-GB"/>
        </w:rPr>
        <w:t xml:space="preserve">odel </w:t>
      </w:r>
      <w:r w:rsidR="00774B70" w:rsidRPr="00305E0F">
        <w:rPr>
          <w:color w:val="auto"/>
          <w:lang w:val="en-GB"/>
        </w:rPr>
        <w:t>M</w:t>
      </w:r>
      <w:r w:rsidRPr="00305E0F">
        <w:rPr>
          <w:color w:val="auto"/>
          <w:lang w:val="en-GB"/>
        </w:rPr>
        <w:t xml:space="preserve">ethod provided in the normative acts of the National Bank of Moldova </w:t>
      </w:r>
      <w:r w:rsidR="00774B70" w:rsidRPr="00305E0F">
        <w:rPr>
          <w:color w:val="auto"/>
          <w:lang w:val="en-GB"/>
        </w:rPr>
        <w:t>on</w:t>
      </w:r>
      <w:r w:rsidRPr="00305E0F">
        <w:rPr>
          <w:color w:val="auto"/>
          <w:lang w:val="en-GB"/>
        </w:rPr>
        <w:t xml:space="preserve"> the </w:t>
      </w:r>
      <w:r w:rsidR="00774B70" w:rsidRPr="00305E0F">
        <w:rPr>
          <w:color w:val="auto"/>
          <w:lang w:val="en-GB"/>
        </w:rPr>
        <w:t xml:space="preserve">treatment of </w:t>
      </w:r>
      <w:r w:rsidRPr="00305E0F">
        <w:rPr>
          <w:color w:val="auto"/>
          <w:lang w:val="en-GB"/>
        </w:rPr>
        <w:t>counterparty credit risk, for exposures to which that method is applied and which are included in a netting set where the maturity of the longest contract is more than one year, the maturity shall be calculated according to the following formula:</w:t>
      </w:r>
    </w:p>
    <w:p w14:paraId="62077E87" w14:textId="49B9F451" w:rsidR="00EB0050" w:rsidRPr="00305E0F" w:rsidRDefault="00B02122">
      <w:pPr>
        <w:pStyle w:val="P68B1DB1-container-center23"/>
        <w:shd w:val="clear" w:color="auto" w:fill="FFFFFF"/>
        <w:spacing w:before="240" w:beforeAutospacing="0" w:after="0" w:afterAutospacing="0" w:line="312" w:lineRule="atLeast"/>
        <w:rPr>
          <w:rFonts w:ascii="Arial Unicode MS" w:eastAsia="Arial Unicode MS" w:hAnsi="Arial Unicode MS" w:cs="Arial Unicode MS"/>
          <w:color w:val="auto"/>
          <w:sz w:val="21"/>
          <w:szCs w:val="21"/>
          <w:lang w:val="en-GB"/>
        </w:rPr>
      </w:pPr>
      <w:r w:rsidRPr="00305E0F">
        <w:rPr>
          <w:noProof/>
          <w:color w:val="auto"/>
          <w:lang w:val="en-GB"/>
        </w:rPr>
        <w:drawing>
          <wp:inline distT="0" distB="0" distL="0" distR="0" wp14:anchorId="7D33285E" wp14:editId="2414B6EA">
            <wp:extent cx="5939790" cy="476250"/>
            <wp:effectExtent l="0" t="0" r="381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476250"/>
                    </a:xfrm>
                    <a:prstGeom prst="rect">
                      <a:avLst/>
                    </a:prstGeom>
                    <a:noFill/>
                    <a:ln>
                      <a:noFill/>
                    </a:ln>
                  </pic:spPr>
                </pic:pic>
              </a:graphicData>
            </a:graphic>
          </wp:inline>
        </w:drawing>
      </w:r>
    </w:p>
    <w:p w14:paraId="776D7ED0" w14:textId="7B9093E9" w:rsidR="00EB0050" w:rsidRPr="00305E0F" w:rsidRDefault="00EB0050">
      <w:pPr>
        <w:pStyle w:val="ListParagraph"/>
        <w:shd w:val="clear" w:color="auto" w:fill="FFFFFF"/>
        <w:tabs>
          <w:tab w:val="left" w:pos="0"/>
          <w:tab w:val="left" w:pos="567"/>
        </w:tabs>
        <w:spacing w:before="60" w:after="0" w:line="240" w:lineRule="auto"/>
        <w:ind w:left="0"/>
        <w:jc w:val="both"/>
        <w:rPr>
          <w:rFonts w:ascii="Times New Roman" w:hAnsi="Times New Roman" w:cs="Times New Roman"/>
          <w:sz w:val="24"/>
          <w:szCs w:val="24"/>
          <w:lang w:val="en-GB"/>
        </w:rPr>
      </w:pPr>
    </w:p>
    <w:p w14:paraId="4FAF5EAB" w14:textId="3800CEF9" w:rsidR="00EB0050" w:rsidRPr="00305E0F" w:rsidRDefault="00B02122">
      <w:pPr>
        <w:pStyle w:val="P68B1DB1-ListParagraph8"/>
        <w:shd w:val="clear" w:color="auto" w:fill="FFFFFF"/>
        <w:tabs>
          <w:tab w:val="left" w:pos="0"/>
          <w:tab w:val="left" w:pos="567"/>
        </w:tabs>
        <w:spacing w:before="60" w:after="0" w:line="240" w:lineRule="auto"/>
        <w:ind w:left="0"/>
        <w:jc w:val="both"/>
        <w:rPr>
          <w:color w:val="auto"/>
          <w:lang w:val="en-GB"/>
        </w:rPr>
      </w:pPr>
      <w:r w:rsidRPr="00305E0F">
        <w:rPr>
          <w:color w:val="auto"/>
          <w:lang w:val="en-GB"/>
        </w:rPr>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7697"/>
      </w:tblGrid>
      <w:tr w:rsidR="00305E0F" w:rsidRPr="00305E0F" w14:paraId="505F6A10" w14:textId="77777777">
        <w:tc>
          <w:tcPr>
            <w:tcW w:w="1657" w:type="dxa"/>
          </w:tcPr>
          <w:p w14:paraId="1BCCE79E" w14:textId="188AF461" w:rsidR="00EB0050" w:rsidRPr="00305E0F" w:rsidRDefault="00B02122">
            <w:pPr>
              <w:pStyle w:val="P68B1DB1-ListParagraph8"/>
              <w:tabs>
                <w:tab w:val="left" w:pos="0"/>
                <w:tab w:val="left" w:pos="567"/>
              </w:tabs>
              <w:spacing w:before="60"/>
              <w:ind w:left="0"/>
              <w:jc w:val="both"/>
              <w:rPr>
                <w:color w:val="auto"/>
                <w:lang w:val="en-GB"/>
              </w:rPr>
            </w:pPr>
            <w:r w:rsidRPr="00305E0F">
              <w:rPr>
                <w:b/>
                <w:color w:val="auto"/>
                <w:lang w:val="en-GB"/>
              </w:rPr>
              <w:t>S</w:t>
            </w:r>
            <m:oMath>
              <m:sSub>
                <m:sSubPr>
                  <m:ctrlPr>
                    <w:rPr>
                      <w:rFonts w:ascii="Cambria Math" w:hAnsi="Cambria Math"/>
                      <w:b/>
                      <w:bCs/>
                      <w:i/>
                      <w:color w:val="auto"/>
                      <w:kern w:val="0"/>
                      <w:vertAlign w:val="subscript"/>
                      <w:lang w:val="en-GB"/>
                      <w14:ligatures w14:val="none"/>
                    </w:rPr>
                  </m:ctrlPr>
                </m:sSubPr>
                <m:e>
                  <m:r>
                    <m:rPr>
                      <m:sty m:val="bi"/>
                    </m:rPr>
                    <w:rPr>
                      <w:rFonts w:ascii="Cambria Math" w:hAnsi="Cambria Math"/>
                      <w:color w:val="auto"/>
                      <w:vertAlign w:val="subscript"/>
                      <w:lang w:val="en-GB"/>
                    </w:rPr>
                    <m:t>t</m:t>
                  </m:r>
                </m:e>
                <m:sub>
                  <m:r>
                    <m:rPr>
                      <m:sty m:val="bi"/>
                    </m:rPr>
                    <w:rPr>
                      <w:rFonts w:ascii="Cambria Math" w:hAnsi="Cambria Math"/>
                      <w:color w:val="auto"/>
                      <w:vertAlign w:val="subscript"/>
                      <w:lang w:val="en-GB"/>
                    </w:rPr>
                    <m:t>k</m:t>
                  </m:r>
                </m:sub>
              </m:sSub>
            </m:oMath>
            <w:r w:rsidRPr="00305E0F">
              <w:rPr>
                <w:color w:val="auto"/>
                <w:lang w:val="en-GB"/>
              </w:rPr>
              <w:t xml:space="preserve">     </w:t>
            </w:r>
          </w:p>
        </w:tc>
        <w:tc>
          <w:tcPr>
            <w:tcW w:w="7697" w:type="dxa"/>
          </w:tcPr>
          <w:p w14:paraId="1EDE473B" w14:textId="697B8336" w:rsidR="00EB0050" w:rsidRPr="00305E0F" w:rsidRDefault="00B02122">
            <w:pPr>
              <w:pStyle w:val="P68B1DB1-ListParagraph8"/>
              <w:shd w:val="clear" w:color="auto" w:fill="FFFFFF"/>
              <w:tabs>
                <w:tab w:val="left" w:pos="0"/>
                <w:tab w:val="left" w:pos="567"/>
              </w:tabs>
              <w:spacing w:before="60"/>
              <w:ind w:left="0"/>
              <w:jc w:val="both"/>
              <w:rPr>
                <w:color w:val="auto"/>
                <w:lang w:val="en-GB"/>
              </w:rPr>
            </w:pPr>
            <w:r w:rsidRPr="00305E0F">
              <w:rPr>
                <w:color w:val="auto"/>
                <w:lang w:val="en-GB"/>
              </w:rPr>
              <w:t>= a dummy variable whose value for the future period t</w:t>
            </w:r>
            <w:r w:rsidRPr="00305E0F">
              <w:rPr>
                <w:color w:val="auto"/>
                <w:vertAlign w:val="subscript"/>
                <w:lang w:val="en-GB"/>
              </w:rPr>
              <w:t xml:space="preserve"> k </w:t>
            </w:r>
            <w:r w:rsidRPr="00305E0F">
              <w:rPr>
                <w:color w:val="auto"/>
                <w:lang w:val="en-GB"/>
              </w:rPr>
              <w:t>is equal to 0, if t</w:t>
            </w:r>
            <w:r w:rsidRPr="00305E0F">
              <w:rPr>
                <w:color w:val="auto"/>
                <w:vertAlign w:val="subscript"/>
                <w:lang w:val="en-GB"/>
              </w:rPr>
              <w:t xml:space="preserve"> k</w:t>
            </w:r>
            <w:r w:rsidRPr="00305E0F">
              <w:rPr>
                <w:color w:val="auto"/>
                <w:lang w:val="en-GB"/>
              </w:rPr>
              <w:t xml:space="preserve"> &gt; 1 year, and to 1, if t</w:t>
            </w:r>
            <w:r w:rsidRPr="00305E0F">
              <w:rPr>
                <w:color w:val="auto"/>
                <w:vertAlign w:val="subscript"/>
                <w:lang w:val="en-GB"/>
              </w:rPr>
              <w:t xml:space="preserve"> k</w:t>
            </w:r>
            <w:r w:rsidRPr="00305E0F">
              <w:rPr>
                <w:color w:val="auto"/>
                <w:lang w:val="en-GB"/>
              </w:rPr>
              <w:t>≤ 1;</w:t>
            </w:r>
          </w:p>
        </w:tc>
      </w:tr>
      <w:tr w:rsidR="00305E0F" w:rsidRPr="00305E0F" w14:paraId="156337D9" w14:textId="77777777">
        <w:tc>
          <w:tcPr>
            <w:tcW w:w="1657" w:type="dxa"/>
          </w:tcPr>
          <w:p w14:paraId="7774DA86" w14:textId="4E1B1D5E" w:rsidR="00EB0050" w:rsidRPr="00305E0F" w:rsidRDefault="00B02122">
            <w:pPr>
              <w:pStyle w:val="P68B1DB1-ListParagraph13"/>
              <w:tabs>
                <w:tab w:val="left" w:pos="0"/>
                <w:tab w:val="left" w:pos="567"/>
              </w:tabs>
              <w:spacing w:before="60"/>
              <w:ind w:left="0"/>
              <w:jc w:val="both"/>
              <w:rPr>
                <w:color w:val="auto"/>
                <w:lang w:val="en-GB"/>
              </w:rPr>
            </w:pPr>
            <w:r w:rsidRPr="00305E0F">
              <w:rPr>
                <w:color w:val="auto"/>
                <w:lang w:val="en-GB"/>
              </w:rPr>
              <w:t>EE</w:t>
            </w:r>
            <m:oMath>
              <m:sSub>
                <m:sSubPr>
                  <m:ctrlPr>
                    <w:rPr>
                      <w:rFonts w:ascii="Cambria Math" w:hAnsi="Cambria Math"/>
                      <w:bCs/>
                      <w:i/>
                      <w:color w:val="auto"/>
                      <w:kern w:val="0"/>
                      <w:vertAlign w:val="subscript"/>
                      <w:lang w:val="en-GB"/>
                      <w14:ligatures w14:val="none"/>
                    </w:rPr>
                  </m:ctrlPr>
                </m:sSubPr>
                <m:e>
                  <m:r>
                    <m:rPr>
                      <m:sty m:val="bi"/>
                    </m:rPr>
                    <w:rPr>
                      <w:rFonts w:ascii="Cambria Math" w:hAnsi="Cambria Math"/>
                      <w:color w:val="auto"/>
                      <w:vertAlign w:val="subscript"/>
                      <w:lang w:val="en-GB"/>
                    </w:rPr>
                    <m:t>t</m:t>
                  </m:r>
                </m:e>
                <m:sub>
                  <m:r>
                    <m:rPr>
                      <m:sty m:val="bi"/>
                    </m:rPr>
                    <w:rPr>
                      <w:rFonts w:ascii="Cambria Math" w:hAnsi="Cambria Math"/>
                      <w:color w:val="auto"/>
                      <w:vertAlign w:val="subscript"/>
                      <w:lang w:val="en-GB"/>
                    </w:rPr>
                    <m:t>k</m:t>
                  </m:r>
                </m:sub>
              </m:sSub>
            </m:oMath>
          </w:p>
        </w:tc>
        <w:tc>
          <w:tcPr>
            <w:tcW w:w="7697" w:type="dxa"/>
          </w:tcPr>
          <w:p w14:paraId="58F04A67" w14:textId="39DF87B7" w:rsidR="00EB0050" w:rsidRPr="00305E0F" w:rsidRDefault="00B02122">
            <w:pPr>
              <w:pStyle w:val="P68B1DB1-ListParagraph8"/>
              <w:shd w:val="clear" w:color="auto" w:fill="FFFFFF"/>
              <w:tabs>
                <w:tab w:val="left" w:pos="0"/>
                <w:tab w:val="left" w:pos="567"/>
              </w:tabs>
              <w:spacing w:before="60"/>
              <w:ind w:left="0"/>
              <w:jc w:val="both"/>
              <w:rPr>
                <w:color w:val="auto"/>
                <w:kern w:val="0"/>
                <w:lang w:val="en-GB"/>
                <w14:ligatures w14:val="none"/>
              </w:rPr>
            </w:pPr>
            <w:r w:rsidRPr="00305E0F">
              <w:rPr>
                <w:color w:val="auto"/>
                <w:lang w:val="en-GB"/>
              </w:rPr>
              <w:t>= the expected exposure for the future period t</w:t>
            </w:r>
            <w:r w:rsidRPr="00305E0F">
              <w:rPr>
                <w:color w:val="auto"/>
                <w:vertAlign w:val="subscript"/>
                <w:lang w:val="en-GB"/>
              </w:rPr>
              <w:t>k</w:t>
            </w:r>
            <w:r w:rsidRPr="00305E0F">
              <w:rPr>
                <w:color w:val="auto"/>
                <w:lang w:val="en-GB"/>
              </w:rPr>
              <w:t>;</w:t>
            </w:r>
          </w:p>
        </w:tc>
      </w:tr>
      <w:tr w:rsidR="00305E0F" w:rsidRPr="00305E0F" w14:paraId="246345F5" w14:textId="77777777">
        <w:tc>
          <w:tcPr>
            <w:tcW w:w="1657" w:type="dxa"/>
          </w:tcPr>
          <w:p w14:paraId="1A623EED" w14:textId="19324DCE" w:rsidR="00EB0050" w:rsidRPr="00305E0F" w:rsidRDefault="00B02122">
            <w:pPr>
              <w:pStyle w:val="P68B1DB1-ListParagraph13"/>
              <w:tabs>
                <w:tab w:val="left" w:pos="0"/>
                <w:tab w:val="left" w:pos="567"/>
              </w:tabs>
              <w:spacing w:before="60"/>
              <w:ind w:left="0"/>
              <w:jc w:val="both"/>
              <w:rPr>
                <w:color w:val="auto"/>
                <w:lang w:val="en-GB"/>
              </w:rPr>
            </w:pPr>
            <w:r w:rsidRPr="00305E0F">
              <w:rPr>
                <w:color w:val="auto"/>
                <w:lang w:val="en-GB"/>
              </w:rPr>
              <w:t>EffectiveEE</w:t>
            </w:r>
            <m:oMath>
              <m:sSub>
                <m:sSubPr>
                  <m:ctrlPr>
                    <w:rPr>
                      <w:rFonts w:ascii="Cambria Math" w:hAnsi="Cambria Math"/>
                      <w:bCs/>
                      <w:i/>
                      <w:color w:val="auto"/>
                      <w:kern w:val="0"/>
                      <w:vertAlign w:val="subscript"/>
                      <w:lang w:val="en-GB"/>
                      <w14:ligatures w14:val="none"/>
                    </w:rPr>
                  </m:ctrlPr>
                </m:sSubPr>
                <m:e>
                  <m:r>
                    <m:rPr>
                      <m:sty m:val="bi"/>
                    </m:rPr>
                    <w:rPr>
                      <w:rFonts w:ascii="Cambria Math" w:hAnsi="Cambria Math"/>
                      <w:color w:val="auto"/>
                      <w:vertAlign w:val="subscript"/>
                      <w:lang w:val="en-GB"/>
                    </w:rPr>
                    <m:t>t</m:t>
                  </m:r>
                </m:e>
                <m:sub>
                  <m:r>
                    <m:rPr>
                      <m:sty m:val="bi"/>
                    </m:rPr>
                    <w:rPr>
                      <w:rFonts w:ascii="Cambria Math" w:hAnsi="Cambria Math"/>
                      <w:color w:val="auto"/>
                      <w:vertAlign w:val="subscript"/>
                      <w:lang w:val="en-GB"/>
                    </w:rPr>
                    <m:t>k</m:t>
                  </m:r>
                </m:sub>
              </m:sSub>
            </m:oMath>
          </w:p>
        </w:tc>
        <w:tc>
          <w:tcPr>
            <w:tcW w:w="7697" w:type="dxa"/>
          </w:tcPr>
          <w:p w14:paraId="4614BB53" w14:textId="4F6653F1" w:rsidR="00EB0050" w:rsidRPr="00305E0F" w:rsidRDefault="00B02122">
            <w:pPr>
              <w:pStyle w:val="P68B1DB1-ListParagraph8"/>
              <w:shd w:val="clear" w:color="auto" w:fill="FFFFFF"/>
              <w:tabs>
                <w:tab w:val="left" w:pos="0"/>
                <w:tab w:val="left" w:pos="567"/>
              </w:tabs>
              <w:spacing w:before="60"/>
              <w:ind w:left="0"/>
              <w:jc w:val="both"/>
              <w:rPr>
                <w:color w:val="auto"/>
                <w:lang w:val="en-GB"/>
              </w:rPr>
            </w:pPr>
            <w:r w:rsidRPr="00305E0F">
              <w:rPr>
                <w:color w:val="auto"/>
                <w:lang w:val="en-GB"/>
              </w:rPr>
              <w:t>= the effective expected exposure for the future period t</w:t>
            </w:r>
            <w:r w:rsidRPr="00305E0F">
              <w:rPr>
                <w:color w:val="auto"/>
                <w:vertAlign w:val="subscript"/>
                <w:lang w:val="en-GB"/>
              </w:rPr>
              <w:t>k</w:t>
            </w:r>
            <w:r w:rsidRPr="00305E0F">
              <w:rPr>
                <w:color w:val="auto"/>
                <w:lang w:val="en-GB"/>
              </w:rPr>
              <w:t>;</w:t>
            </w:r>
          </w:p>
        </w:tc>
      </w:tr>
      <w:tr w:rsidR="00305E0F" w:rsidRPr="00305E0F" w14:paraId="2C8FFBA4" w14:textId="77777777">
        <w:tc>
          <w:tcPr>
            <w:tcW w:w="1657" w:type="dxa"/>
          </w:tcPr>
          <w:p w14:paraId="0F7F8393" w14:textId="4F723895" w:rsidR="00EB0050" w:rsidRPr="00305E0F" w:rsidRDefault="00B02122">
            <w:pPr>
              <w:pStyle w:val="P68B1DB1-ListParagraph8"/>
              <w:tabs>
                <w:tab w:val="left" w:pos="0"/>
                <w:tab w:val="left" w:pos="567"/>
              </w:tabs>
              <w:spacing w:before="60"/>
              <w:ind w:left="0"/>
              <w:jc w:val="both"/>
              <w:rPr>
                <w:color w:val="auto"/>
                <w:lang w:val="en-GB"/>
              </w:rPr>
            </w:pPr>
            <w:r w:rsidRPr="00305E0F">
              <w:rPr>
                <w:b/>
                <w:color w:val="auto"/>
                <w:lang w:val="en-GB"/>
              </w:rPr>
              <w:t>df</w:t>
            </w:r>
            <m:oMath>
              <m:sSub>
                <m:sSubPr>
                  <m:ctrlPr>
                    <w:rPr>
                      <w:rFonts w:ascii="Cambria Math" w:hAnsi="Cambria Math"/>
                      <w:b/>
                      <w:bCs/>
                      <w:i/>
                      <w:color w:val="auto"/>
                      <w:kern w:val="0"/>
                      <w:vertAlign w:val="subscript"/>
                      <w:lang w:val="en-GB"/>
                      <w14:ligatures w14:val="none"/>
                    </w:rPr>
                  </m:ctrlPr>
                </m:sSubPr>
                <m:e>
                  <m:r>
                    <m:rPr>
                      <m:sty m:val="bi"/>
                    </m:rPr>
                    <w:rPr>
                      <w:rFonts w:ascii="Cambria Math" w:hAnsi="Cambria Math"/>
                      <w:color w:val="auto"/>
                      <w:vertAlign w:val="subscript"/>
                      <w:lang w:val="en-GB"/>
                    </w:rPr>
                    <m:t>t</m:t>
                  </m:r>
                </m:e>
                <m:sub>
                  <m:r>
                    <m:rPr>
                      <m:sty m:val="bi"/>
                    </m:rPr>
                    <w:rPr>
                      <w:rFonts w:ascii="Cambria Math" w:hAnsi="Cambria Math"/>
                      <w:color w:val="auto"/>
                      <w:vertAlign w:val="subscript"/>
                      <w:lang w:val="en-GB"/>
                    </w:rPr>
                    <m:t>k</m:t>
                  </m:r>
                </m:sub>
              </m:sSub>
            </m:oMath>
            <w:r w:rsidRPr="00305E0F">
              <w:rPr>
                <w:color w:val="auto"/>
                <w:lang w:val="en-GB"/>
              </w:rPr>
              <w:t xml:space="preserve">    </w:t>
            </w:r>
          </w:p>
        </w:tc>
        <w:tc>
          <w:tcPr>
            <w:tcW w:w="7697" w:type="dxa"/>
          </w:tcPr>
          <w:p w14:paraId="29E76164" w14:textId="23AF23F0" w:rsidR="00EB0050" w:rsidRPr="00305E0F" w:rsidRDefault="00B02122">
            <w:pPr>
              <w:pStyle w:val="P68B1DB1-ListParagraph8"/>
              <w:shd w:val="clear" w:color="auto" w:fill="FFFFFF"/>
              <w:tabs>
                <w:tab w:val="left" w:pos="0"/>
                <w:tab w:val="left" w:pos="567"/>
              </w:tabs>
              <w:spacing w:before="60"/>
              <w:ind w:left="0"/>
              <w:jc w:val="both"/>
              <w:rPr>
                <w:color w:val="auto"/>
                <w:lang w:val="en-GB"/>
              </w:rPr>
            </w:pPr>
            <w:r w:rsidRPr="00305E0F">
              <w:rPr>
                <w:color w:val="auto"/>
                <w:lang w:val="en-GB"/>
              </w:rPr>
              <w:t>= the risk-free discount factor for the future time period t</w:t>
            </w:r>
            <w:r w:rsidRPr="00305E0F">
              <w:rPr>
                <w:color w:val="auto"/>
                <w:vertAlign w:val="subscript"/>
                <w:lang w:val="en-GB"/>
              </w:rPr>
              <w:t>k</w:t>
            </w:r>
            <w:r w:rsidRPr="00305E0F">
              <w:rPr>
                <w:color w:val="auto"/>
                <w:lang w:val="en-GB"/>
              </w:rPr>
              <w:t>;</w:t>
            </w:r>
          </w:p>
        </w:tc>
      </w:tr>
    </w:tbl>
    <w:p w14:paraId="2F6826D1" w14:textId="7C8F1F5B" w:rsidR="00EB0050" w:rsidRPr="00305E0F" w:rsidRDefault="00B02122">
      <w:pPr>
        <w:pStyle w:val="P68B1DB1-ListParagraph24"/>
        <w:shd w:val="clear" w:color="auto" w:fill="FFFFFF"/>
        <w:tabs>
          <w:tab w:val="left" w:pos="0"/>
          <w:tab w:val="left" w:pos="567"/>
        </w:tabs>
        <w:spacing w:before="60" w:after="0" w:line="240" w:lineRule="auto"/>
        <w:ind w:left="0"/>
        <w:jc w:val="both"/>
        <w:rPr>
          <w:rFonts w:ascii="Times New Roman" w:hAnsi="Times New Roman" w:cs="Times New Roman"/>
          <w:color w:val="auto"/>
          <w:sz w:val="24"/>
          <w:szCs w:val="24"/>
          <w:lang w:val="en-GB"/>
        </w:rPr>
      </w:pPr>
      <w:r w:rsidRPr="00305E0F">
        <w:rPr>
          <w:noProof/>
          <w:color w:val="auto"/>
          <w:lang w:val="en-GB"/>
        </w:rPr>
        <w:drawing>
          <wp:inline distT="0" distB="0" distL="0" distR="0" wp14:anchorId="01E01CC8" wp14:editId="3A5FE6C7">
            <wp:extent cx="1466850" cy="262230"/>
            <wp:effectExtent l="0" t="0" r="0" b="508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8068" cy="271386"/>
                    </a:xfrm>
                    <a:prstGeom prst="rect">
                      <a:avLst/>
                    </a:prstGeom>
                    <a:noFill/>
                    <a:ln>
                      <a:noFill/>
                    </a:ln>
                  </pic:spPr>
                </pic:pic>
              </a:graphicData>
            </a:graphic>
          </wp:inline>
        </w:drawing>
      </w:r>
      <w:r w:rsidRPr="00305E0F">
        <w:rPr>
          <w:rFonts w:ascii="Times New Roman" w:hAnsi="Times New Roman" w:cs="Times New Roman"/>
          <w:color w:val="auto"/>
          <w:sz w:val="24"/>
          <w:szCs w:val="24"/>
          <w:lang w:val="en-GB"/>
        </w:rPr>
        <w:t>,</w:t>
      </w:r>
      <w:r w:rsidRPr="00305E0F">
        <w:rPr>
          <w:rFonts w:ascii="Times New Roman" w:hAnsi="Times New Roman" w:cs="Times New Roman"/>
          <w:color w:val="auto"/>
          <w:sz w:val="18"/>
          <w:szCs w:val="18"/>
          <w:highlight w:val="lightGray"/>
          <w:lang w:val="en-GB"/>
        </w:rPr>
        <w:t xml:space="preserve"> </w:t>
      </w:r>
    </w:p>
    <w:p w14:paraId="7E1031C6" w14:textId="3A368F88"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A bank that uses an internal model to calculate a unilateral credit valuation adjustment (CVA) may use as a maturity value, with the approval of the National Bank of Moldova, the effective duration of the credit estimated by the internal model</w:t>
      </w:r>
      <w:r w:rsidR="00E55548" w:rsidRPr="00305E0F">
        <w:rPr>
          <w:color w:val="auto"/>
          <w:lang w:val="en-GB"/>
        </w:rPr>
        <w:t xml:space="preserve"> as M</w:t>
      </w:r>
      <w:r w:rsidRPr="00305E0F">
        <w:rPr>
          <w:color w:val="auto"/>
          <w:lang w:val="en-GB"/>
        </w:rPr>
        <w:t>.</w:t>
      </w:r>
    </w:p>
    <w:p w14:paraId="3C21F873" w14:textId="45AE772D" w:rsidR="00EB0050" w:rsidRPr="00305E0F" w:rsidRDefault="00B02122">
      <w:pPr>
        <w:pStyle w:val="P68B1DB1-ListParagraph8"/>
        <w:shd w:val="clear" w:color="auto" w:fill="FFFFFF"/>
        <w:tabs>
          <w:tab w:val="left" w:pos="0"/>
          <w:tab w:val="left" w:pos="567"/>
        </w:tabs>
        <w:spacing w:before="60" w:after="0" w:line="240" w:lineRule="auto"/>
        <w:ind w:left="0" w:firstLine="567"/>
        <w:jc w:val="both"/>
        <w:rPr>
          <w:color w:val="auto"/>
          <w:lang w:val="en-GB"/>
        </w:rPr>
      </w:pPr>
      <w:r w:rsidRPr="00305E0F">
        <w:rPr>
          <w:color w:val="auto"/>
          <w:lang w:val="en-GB"/>
        </w:rPr>
        <w:t>Subject to paragraph</w:t>
      </w:r>
      <w:r w:rsidR="00E55548" w:rsidRPr="00305E0F">
        <w:rPr>
          <w:color w:val="auto"/>
          <w:lang w:val="en-GB"/>
        </w:rPr>
        <w:t xml:space="preserve"> </w:t>
      </w:r>
      <w:r w:rsidRPr="00305E0F">
        <w:rPr>
          <w:color w:val="auto"/>
          <w:lang w:val="en-GB"/>
        </w:rPr>
        <w:fldChar w:fldCharType="begin"/>
      </w:r>
      <w:r w:rsidRPr="00305E0F">
        <w:rPr>
          <w:color w:val="auto"/>
          <w:lang w:val="en-GB"/>
        </w:rPr>
        <w:instrText xml:space="preserve"> REF _Ref215222862 \r \h </w:instrText>
      </w:r>
      <w:r w:rsidRPr="00305E0F">
        <w:rPr>
          <w:color w:val="auto"/>
          <w:lang w:val="en-GB"/>
        </w:rPr>
      </w:r>
      <w:r w:rsidRPr="00305E0F">
        <w:rPr>
          <w:color w:val="auto"/>
          <w:lang w:val="en-GB"/>
        </w:rPr>
        <w:fldChar w:fldCharType="separate"/>
      </w:r>
      <w:r w:rsidR="00594C05" w:rsidRPr="00305E0F">
        <w:rPr>
          <w:color w:val="auto"/>
          <w:lang w:val="en-GB"/>
        </w:rPr>
        <w:t>124</w:t>
      </w:r>
      <w:r w:rsidRPr="00305E0F">
        <w:rPr>
          <w:color w:val="auto"/>
          <w:lang w:val="en-GB"/>
        </w:rPr>
        <w:fldChar w:fldCharType="end"/>
      </w:r>
      <w:r w:rsidRPr="00305E0F">
        <w:rPr>
          <w:color w:val="auto"/>
          <w:lang w:val="en-GB"/>
        </w:rPr>
        <w:t xml:space="preserve">, for netting sets where all contracts have an original maturity of less than 1 year, the formula in </w:t>
      </w:r>
      <w:r w:rsidR="00E55548" w:rsidRPr="00305E0F">
        <w:rPr>
          <w:color w:val="auto"/>
          <w:lang w:val="en-GB"/>
        </w:rPr>
        <w:t>sub-</w:t>
      </w:r>
      <w:r w:rsidRPr="00305E0F">
        <w:rPr>
          <w:color w:val="auto"/>
          <w:lang w:val="en-GB"/>
        </w:rPr>
        <w:t>paragraph</w:t>
      </w:r>
      <w:r w:rsidR="00E55548" w:rsidRPr="00305E0F">
        <w:rPr>
          <w:color w:val="auto"/>
          <w:lang w:val="en-GB"/>
        </w:rPr>
        <w:t xml:space="preserve"> </w:t>
      </w:r>
      <w:r w:rsidRPr="00305E0F">
        <w:rPr>
          <w:color w:val="auto"/>
          <w:lang w:val="en-GB"/>
        </w:rPr>
        <w:fldChar w:fldCharType="begin"/>
      </w:r>
      <w:r w:rsidRPr="00305E0F">
        <w:rPr>
          <w:color w:val="auto"/>
          <w:lang w:val="en-GB"/>
        </w:rPr>
        <w:instrText xml:space="preserve"> REF _Ref215227852 \r \h </w:instrText>
      </w:r>
      <w:r w:rsidRPr="00305E0F">
        <w:rPr>
          <w:color w:val="auto"/>
          <w:lang w:val="en-GB"/>
        </w:rPr>
      </w:r>
      <w:r w:rsidRPr="00305E0F">
        <w:rPr>
          <w:color w:val="auto"/>
          <w:lang w:val="en-GB"/>
        </w:rPr>
        <w:fldChar w:fldCharType="separate"/>
      </w:r>
      <w:r w:rsidR="00594C05" w:rsidRPr="00305E0F">
        <w:rPr>
          <w:color w:val="auto"/>
          <w:lang w:val="en-GB"/>
        </w:rPr>
        <w:t>124.1</w:t>
      </w:r>
      <w:r w:rsidRPr="00305E0F">
        <w:rPr>
          <w:color w:val="auto"/>
          <w:lang w:val="en-GB"/>
        </w:rPr>
        <w:fldChar w:fldCharType="end"/>
      </w:r>
      <w:r w:rsidRPr="00305E0F">
        <w:rPr>
          <w:color w:val="auto"/>
          <w:lang w:val="en-GB"/>
        </w:rPr>
        <w:t>;</w:t>
      </w:r>
    </w:p>
    <w:p w14:paraId="2AB8F188" w14:textId="5786761F"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In the case of banks that use the Standardised Approach or the Basic Approach according to the normative acts of the National Bank of Moldova </w:t>
      </w:r>
      <w:r w:rsidR="00E55548" w:rsidRPr="00305E0F">
        <w:rPr>
          <w:color w:val="auto"/>
          <w:lang w:val="en-GB"/>
        </w:rPr>
        <w:t>on</w:t>
      </w:r>
      <w:r w:rsidRPr="00305E0F">
        <w:rPr>
          <w:color w:val="auto"/>
          <w:lang w:val="en-GB"/>
        </w:rPr>
        <w:t xml:space="preserve"> the </w:t>
      </w:r>
      <w:r w:rsidR="00E55548" w:rsidRPr="00305E0F">
        <w:rPr>
          <w:color w:val="auto"/>
          <w:lang w:val="en-GB"/>
        </w:rPr>
        <w:t xml:space="preserve">treatment of </w:t>
      </w:r>
      <w:r w:rsidRPr="00305E0F">
        <w:rPr>
          <w:color w:val="auto"/>
          <w:lang w:val="en-GB"/>
        </w:rPr>
        <w:t xml:space="preserve">credit valuation adjustment risk in order to calculate the own funds requirements for CVA risk of </w:t>
      </w:r>
      <w:r w:rsidRPr="00305E0F">
        <w:rPr>
          <w:color w:val="auto"/>
          <w:lang w:val="en-GB"/>
        </w:rPr>
        <w:lastRenderedPageBreak/>
        <w:t xml:space="preserve">transactions with a given counterparty, M shall not be </w:t>
      </w:r>
      <w:r w:rsidR="00E55548" w:rsidRPr="00305E0F">
        <w:rPr>
          <w:color w:val="auto"/>
          <w:lang w:val="en-GB"/>
        </w:rPr>
        <w:t>greater</w:t>
      </w:r>
      <w:r w:rsidRPr="00305E0F">
        <w:rPr>
          <w:color w:val="auto"/>
          <w:lang w:val="en-GB"/>
        </w:rPr>
        <w:t xml:space="preserve"> than 1 in the formula set ou</w:t>
      </w:r>
      <w:r w:rsidR="00E55548" w:rsidRPr="00305E0F">
        <w:rPr>
          <w:color w:val="auto"/>
          <w:lang w:val="en-GB"/>
        </w:rPr>
        <w:t xml:space="preserve">t in paragraph </w:t>
      </w:r>
      <w:r w:rsidR="00E55548" w:rsidRPr="00305E0F">
        <w:rPr>
          <w:color w:val="auto"/>
          <w:lang w:val="en-GB"/>
        </w:rPr>
        <w:fldChar w:fldCharType="begin"/>
      </w:r>
      <w:r w:rsidR="00E55548" w:rsidRPr="00305E0F">
        <w:rPr>
          <w:color w:val="auto"/>
          <w:lang w:val="en-GB"/>
        </w:rPr>
        <w:instrText xml:space="preserve"> REF _Ref215047688 \r \h </w:instrText>
      </w:r>
      <w:r w:rsidR="00E55548" w:rsidRPr="00305E0F">
        <w:rPr>
          <w:color w:val="auto"/>
          <w:lang w:val="en-GB"/>
        </w:rPr>
      </w:r>
      <w:r w:rsidR="00E55548" w:rsidRPr="00305E0F">
        <w:rPr>
          <w:color w:val="auto"/>
          <w:lang w:val="en-GB"/>
        </w:rPr>
        <w:fldChar w:fldCharType="separate"/>
      </w:r>
      <w:r w:rsidR="00E55548" w:rsidRPr="00305E0F">
        <w:rPr>
          <w:color w:val="auto"/>
          <w:lang w:val="en-GB"/>
        </w:rPr>
        <w:t>71</w:t>
      </w:r>
      <w:r w:rsidR="00E55548" w:rsidRPr="00305E0F">
        <w:rPr>
          <w:color w:val="auto"/>
          <w:lang w:val="en-GB"/>
        </w:rPr>
        <w:fldChar w:fldCharType="end"/>
      </w:r>
      <w:r w:rsidR="00E55548" w:rsidRPr="00305E0F">
        <w:rPr>
          <w:color w:val="auto"/>
          <w:lang w:val="en-GB"/>
        </w:rPr>
        <w:t xml:space="preserve"> sub-paragraph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_Ref215047700 \r \h </w:instrText>
      </w:r>
      <w:r w:rsidRPr="00305E0F">
        <w:rPr>
          <w:color w:val="auto"/>
          <w:lang w:val="en-GB"/>
        </w:rPr>
      </w:r>
      <w:r w:rsidRPr="00305E0F">
        <w:rPr>
          <w:color w:val="auto"/>
          <w:lang w:val="en-GB"/>
        </w:rPr>
        <w:fldChar w:fldCharType="separate"/>
      </w:r>
      <w:r w:rsidR="00594C05" w:rsidRPr="00305E0F">
        <w:rPr>
          <w:color w:val="auto"/>
          <w:lang w:val="en-GB"/>
        </w:rPr>
        <w:t>71.3</w:t>
      </w:r>
      <w:r w:rsidRPr="00305E0F">
        <w:rPr>
          <w:color w:val="auto"/>
          <w:lang w:val="en-GB"/>
        </w:rPr>
        <w:fldChar w:fldCharType="end"/>
      </w:r>
      <w:r w:rsidRPr="00305E0F">
        <w:rPr>
          <w:color w:val="auto"/>
          <w:lang w:val="en-GB"/>
        </w:rPr>
        <w:t xml:space="preserve"> for the purpose of calculating risk-weighted exposure amounts for counterparty risk for the same transactions, as referred to in sub</w:t>
      </w:r>
      <w:r w:rsidR="00E55548" w:rsidRPr="00305E0F">
        <w:rPr>
          <w:color w:val="auto"/>
          <w:lang w:val="en-GB"/>
        </w:rPr>
        <w:t>-</w:t>
      </w:r>
      <w:r w:rsidRPr="00305E0F">
        <w:rPr>
          <w:color w:val="auto"/>
          <w:lang w:val="en-GB"/>
        </w:rPr>
        <w:t xml:space="preserve">paragraphs 1) or 6) of paragraph 132 of Regulation </w:t>
      </w:r>
      <w:r w:rsidR="00E55548" w:rsidRPr="00305E0F">
        <w:rPr>
          <w:color w:val="auto"/>
          <w:lang w:val="en-GB"/>
        </w:rPr>
        <w:t>No</w:t>
      </w:r>
      <w:r w:rsidRPr="00305E0F">
        <w:rPr>
          <w:color w:val="auto"/>
          <w:lang w:val="en-GB"/>
        </w:rPr>
        <w:t xml:space="preserve"> 109</w:t>
      </w:r>
      <w:r w:rsidR="00E55548" w:rsidRPr="00305E0F">
        <w:rPr>
          <w:color w:val="auto"/>
          <w:lang w:val="en-GB"/>
        </w:rPr>
        <w:t>/2018</w:t>
      </w:r>
      <w:r w:rsidRPr="00305E0F">
        <w:rPr>
          <w:color w:val="auto"/>
          <w:lang w:val="en-GB"/>
        </w:rPr>
        <w:t>, as applicable;</w:t>
      </w:r>
    </w:p>
    <w:p w14:paraId="78210709" w14:textId="5F3A82FF"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For revolving exposures, M shall be determined using the maximum contractual </w:t>
      </w:r>
      <w:r w:rsidR="00E55548" w:rsidRPr="00305E0F">
        <w:rPr>
          <w:color w:val="auto"/>
          <w:lang w:val="en-GB"/>
        </w:rPr>
        <w:t>termination</w:t>
      </w:r>
      <w:r w:rsidRPr="00305E0F">
        <w:rPr>
          <w:color w:val="auto"/>
          <w:lang w:val="en-GB"/>
        </w:rPr>
        <w:t xml:space="preserve"> date of the facility; banks shall not use the repayment date of the current drawdown if that date is not the maximum contractual end date of the facility.</w:t>
      </w:r>
    </w:p>
    <w:p w14:paraId="5E14DFC3" w14:textId="25BEC226"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11" w:name="_Ref215223063"/>
      <w:r w:rsidRPr="00305E0F">
        <w:rPr>
          <w:color w:val="auto"/>
          <w:lang w:val="en-GB"/>
        </w:rPr>
        <w:t xml:space="preserve">Where the documentation requires daily </w:t>
      </w:r>
      <w:r w:rsidR="00E55548" w:rsidRPr="00305E0F">
        <w:rPr>
          <w:color w:val="auto"/>
          <w:lang w:val="en-GB"/>
        </w:rPr>
        <w:t>re-margining</w:t>
      </w:r>
      <w:r w:rsidRPr="00305E0F">
        <w:rPr>
          <w:color w:val="auto"/>
          <w:lang w:val="en-GB"/>
        </w:rPr>
        <w:t xml:space="preserve"> and daily revaluation and includes clauses allowing for the prompt liquidation or netting of collateral in the event of default or </w:t>
      </w:r>
      <w:r w:rsidR="00E55548" w:rsidRPr="00305E0F">
        <w:rPr>
          <w:color w:val="auto"/>
          <w:lang w:val="en-GB"/>
        </w:rPr>
        <w:t>failure to</w:t>
      </w:r>
      <w:r w:rsidRPr="00305E0F">
        <w:rPr>
          <w:color w:val="auto"/>
          <w:lang w:val="en-GB"/>
        </w:rPr>
        <w:t xml:space="preserve"> </w:t>
      </w:r>
      <w:r w:rsidR="00E55548" w:rsidRPr="00305E0F">
        <w:rPr>
          <w:color w:val="auto"/>
          <w:lang w:val="en-GB"/>
        </w:rPr>
        <w:t>re</w:t>
      </w:r>
      <w:r w:rsidRPr="00305E0F">
        <w:rPr>
          <w:color w:val="auto"/>
          <w:lang w:val="en-GB"/>
        </w:rPr>
        <w:t>margin, M shall be the weighted average of the remaining maturities of the transactions and shall be at least one day for:</w:t>
      </w:r>
      <w:bookmarkEnd w:id="111"/>
    </w:p>
    <w:p w14:paraId="6007A70C" w14:textId="65F9627F"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Derivatives listed in Annex 1 of Regulation 114/2018, fully or </w:t>
      </w:r>
      <w:r w:rsidR="00E55548" w:rsidRPr="00305E0F">
        <w:rPr>
          <w:color w:val="auto"/>
          <w:lang w:val="en-GB"/>
        </w:rPr>
        <w:t>nearly-</w:t>
      </w:r>
      <w:r w:rsidRPr="00305E0F">
        <w:rPr>
          <w:color w:val="auto"/>
          <w:lang w:val="en-GB"/>
        </w:rPr>
        <w:t>fully collateralised;</w:t>
      </w:r>
    </w:p>
    <w:p w14:paraId="7B60716E" w14:textId="5D428470"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Margin lending transactions fully or </w:t>
      </w:r>
      <w:r w:rsidR="00E55548" w:rsidRPr="00305E0F">
        <w:rPr>
          <w:color w:val="auto"/>
          <w:lang w:val="en-GB"/>
        </w:rPr>
        <w:t>nearly-</w:t>
      </w:r>
      <w:r w:rsidRPr="00305E0F">
        <w:rPr>
          <w:color w:val="auto"/>
          <w:lang w:val="en-GB"/>
        </w:rPr>
        <w:t>fully collateralised;</w:t>
      </w:r>
    </w:p>
    <w:p w14:paraId="6FE5723D" w14:textId="6D4DE74E"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Repurchase transactions, securities or commodities lending or borrowing transactions.</w:t>
      </w:r>
    </w:p>
    <w:p w14:paraId="09895AA4" w14:textId="329C8A36"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12" w:name="_Ref215223072"/>
      <w:r w:rsidRPr="00305E0F">
        <w:rPr>
          <w:color w:val="auto"/>
          <w:lang w:val="en-GB"/>
        </w:rPr>
        <w:t xml:space="preserve">In addition, for </w:t>
      </w:r>
      <w:r w:rsidR="008461F4" w:rsidRPr="00305E0F">
        <w:rPr>
          <w:color w:val="auto"/>
          <w:lang w:val="en-GB"/>
        </w:rPr>
        <w:t>qualifying</w:t>
      </w:r>
      <w:r w:rsidRPr="00305E0F">
        <w:rPr>
          <w:color w:val="auto"/>
          <w:lang w:val="en-GB"/>
        </w:rPr>
        <w:t xml:space="preserve"> short-term exposures that are not part of the current funding of the </w:t>
      </w:r>
      <w:r w:rsidR="008461F4" w:rsidRPr="00305E0F">
        <w:rPr>
          <w:color w:val="auto"/>
          <w:lang w:val="en-GB"/>
        </w:rPr>
        <w:t>obligor</w:t>
      </w:r>
      <w:r w:rsidRPr="00305E0F">
        <w:rPr>
          <w:color w:val="auto"/>
          <w:lang w:val="en-GB"/>
        </w:rPr>
        <w:t xml:space="preserve"> by the bank, the maturity shall be at least one day. </w:t>
      </w:r>
      <w:r w:rsidR="008461F4" w:rsidRPr="00305E0F">
        <w:rPr>
          <w:color w:val="auto"/>
          <w:lang w:val="en-GB"/>
        </w:rPr>
        <w:t>Qualifying</w:t>
      </w:r>
      <w:r w:rsidRPr="00305E0F">
        <w:rPr>
          <w:color w:val="auto"/>
          <w:lang w:val="en-GB"/>
        </w:rPr>
        <w:t xml:space="preserve"> short-term exposures shall include the following:</w:t>
      </w:r>
      <w:bookmarkEnd w:id="112"/>
    </w:p>
    <w:p w14:paraId="7794286A" w14:textId="22B2637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Exposures to banks or investment firms arising from the settlement of foreign </w:t>
      </w:r>
      <w:r w:rsidR="008461F4" w:rsidRPr="00305E0F">
        <w:rPr>
          <w:color w:val="auto"/>
          <w:lang w:val="en-GB"/>
        </w:rPr>
        <w:t>exchange</w:t>
      </w:r>
      <w:r w:rsidRPr="00305E0F">
        <w:rPr>
          <w:color w:val="auto"/>
          <w:lang w:val="en-GB"/>
        </w:rPr>
        <w:t xml:space="preserve"> obligations;</w:t>
      </w:r>
    </w:p>
    <w:p w14:paraId="39917923" w14:textId="4AB57D0D"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Self-liquidating short-term trade financing transactions and purchased corporate receivables, provided that those exposures have a residual maturity of up to one year;</w:t>
      </w:r>
    </w:p>
    <w:p w14:paraId="3C217763" w14:textId="2F8B37E3"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Exposures arising from the settlement of purchases and sales of securities within the usual two business day delivery period;</w:t>
      </w:r>
    </w:p>
    <w:p w14:paraId="138F41F0" w14:textId="08BF1278"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Exposures arising from the settlement of cash payments by </w:t>
      </w:r>
      <w:r w:rsidR="008461F4" w:rsidRPr="00305E0F">
        <w:rPr>
          <w:color w:val="auto"/>
          <w:lang w:val="en-GB"/>
        </w:rPr>
        <w:t>wire</w:t>
      </w:r>
      <w:r w:rsidRPr="00305E0F">
        <w:rPr>
          <w:color w:val="auto"/>
          <w:lang w:val="en-GB"/>
        </w:rPr>
        <w:t xml:space="preserve"> transfer and the settlement of electronic payment transactions and prepaid services, including overdrafts resulting from unsuccessful transactions, not exceeding a reduced, fixed and agreed number of business days;</w:t>
      </w:r>
    </w:p>
    <w:p w14:paraId="173F0715" w14:textId="11A3BD8D"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 Letters of credit issued and confirmed that are short-term, i.e. have a maturity of less than one year, and are self-liquidating.</w:t>
      </w:r>
    </w:p>
    <w:p w14:paraId="5A821A06" w14:textId="5FF13409"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13" w:name="_Ref215223086"/>
      <w:r w:rsidRPr="00305E0F">
        <w:rPr>
          <w:color w:val="auto"/>
          <w:lang w:val="en-GB"/>
        </w:rPr>
        <w:t>For exposures to corporates that are established in the Union and that are not large corporates, banks may choose to set M for all such exposures as set out in paragraph</w:t>
      </w:r>
      <w:r w:rsidR="008461F4" w:rsidRPr="00305E0F">
        <w:rPr>
          <w:color w:val="auto"/>
          <w:lang w:val="en-GB"/>
        </w:rPr>
        <w:t xml:space="preserve"> </w:t>
      </w:r>
      <w:r w:rsidRPr="00305E0F">
        <w:rPr>
          <w:color w:val="auto"/>
          <w:lang w:val="en-GB"/>
        </w:rPr>
        <w:fldChar w:fldCharType="begin"/>
      </w:r>
      <w:r w:rsidRPr="00305E0F">
        <w:rPr>
          <w:color w:val="auto"/>
          <w:lang w:val="en-GB"/>
        </w:rPr>
        <w:instrText xml:space="preserve"> REF _Ref215228830 \r \h  \* MERGEFORMAT </w:instrText>
      </w:r>
      <w:r w:rsidRPr="00305E0F">
        <w:rPr>
          <w:color w:val="auto"/>
          <w:lang w:val="en-GB"/>
        </w:rPr>
      </w:r>
      <w:r w:rsidRPr="00305E0F">
        <w:rPr>
          <w:color w:val="auto"/>
          <w:lang w:val="en-GB"/>
        </w:rPr>
        <w:fldChar w:fldCharType="separate"/>
      </w:r>
      <w:r w:rsidR="00594C05" w:rsidRPr="00305E0F">
        <w:rPr>
          <w:color w:val="auto"/>
          <w:lang w:val="en-GB"/>
        </w:rPr>
        <w:t>123</w:t>
      </w:r>
      <w:r w:rsidRPr="00305E0F">
        <w:rPr>
          <w:color w:val="auto"/>
          <w:lang w:val="en-GB"/>
        </w:rPr>
        <w:fldChar w:fldCharType="end"/>
      </w:r>
      <w:r w:rsidRPr="00305E0F">
        <w:rPr>
          <w:color w:val="auto"/>
          <w:lang w:val="en-GB"/>
        </w:rPr>
        <w:t>, instead of applying paragraph</w:t>
      </w:r>
      <w:r w:rsidR="008461F4" w:rsidRPr="00305E0F">
        <w:rPr>
          <w:color w:val="auto"/>
          <w:lang w:val="en-GB"/>
        </w:rPr>
        <w:t xml:space="preserve"> </w:t>
      </w:r>
      <w:r w:rsidRPr="00305E0F">
        <w:rPr>
          <w:color w:val="auto"/>
          <w:lang w:val="en-GB"/>
        </w:rPr>
        <w:fldChar w:fldCharType="begin"/>
      </w:r>
      <w:r w:rsidRPr="00305E0F">
        <w:rPr>
          <w:color w:val="auto"/>
          <w:lang w:val="en-GB"/>
        </w:rPr>
        <w:instrText xml:space="preserve"> REF _Ref215222862 \r \h  \* MERGEFORMAT </w:instrText>
      </w:r>
      <w:r w:rsidRPr="00305E0F">
        <w:rPr>
          <w:color w:val="auto"/>
          <w:lang w:val="en-GB"/>
        </w:rPr>
      </w:r>
      <w:r w:rsidRPr="00305E0F">
        <w:rPr>
          <w:color w:val="auto"/>
          <w:lang w:val="en-GB"/>
        </w:rPr>
        <w:fldChar w:fldCharType="separate"/>
      </w:r>
      <w:r w:rsidR="00594C05" w:rsidRPr="00305E0F">
        <w:rPr>
          <w:color w:val="auto"/>
          <w:lang w:val="en-GB"/>
        </w:rPr>
        <w:t>124</w:t>
      </w:r>
      <w:r w:rsidRPr="00305E0F">
        <w:rPr>
          <w:color w:val="auto"/>
          <w:lang w:val="en-GB"/>
        </w:rPr>
        <w:fldChar w:fldCharType="end"/>
      </w:r>
      <w:r w:rsidRPr="00305E0F">
        <w:rPr>
          <w:color w:val="auto"/>
          <w:lang w:val="en-GB"/>
        </w:rPr>
        <w:t>.</w:t>
      </w:r>
      <w:bookmarkEnd w:id="113"/>
    </w:p>
    <w:p w14:paraId="1C78B115" w14:textId="436631A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14" w:name="_Ref215223098"/>
      <w:r w:rsidRPr="00305E0F">
        <w:rPr>
          <w:color w:val="auto"/>
          <w:lang w:val="en-GB"/>
        </w:rPr>
        <w:t>Maturity mismatches shall be treated as laid down in Regulation No</w:t>
      </w:r>
      <w:r w:rsidR="008461F4" w:rsidRPr="00305E0F">
        <w:rPr>
          <w:color w:val="auto"/>
          <w:lang w:val="en-GB"/>
        </w:rPr>
        <w:t xml:space="preserve"> </w:t>
      </w:r>
      <w:r w:rsidRPr="00305E0F">
        <w:rPr>
          <w:color w:val="auto"/>
          <w:lang w:val="en-GB"/>
        </w:rPr>
        <w:t>112/2018.</w:t>
      </w:r>
      <w:bookmarkEnd w:id="114"/>
    </w:p>
    <w:p w14:paraId="67264A06" w14:textId="514EA685"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15" w:name="_Ref215505694"/>
      <w:r w:rsidRPr="00305E0F">
        <w:rPr>
          <w:color w:val="auto"/>
          <w:lang w:val="en-GB"/>
        </w:rPr>
        <w:t xml:space="preserve">For the purpose of expressing in years the minimum number of days referred to in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_Ref215222862 \r \h  \* MERGEFORMAT </w:instrText>
      </w:r>
      <w:r w:rsidRPr="00305E0F">
        <w:rPr>
          <w:color w:val="auto"/>
          <w:lang w:val="en-GB"/>
        </w:rPr>
      </w:r>
      <w:r w:rsidRPr="00305E0F">
        <w:rPr>
          <w:color w:val="auto"/>
          <w:lang w:val="en-GB"/>
        </w:rPr>
        <w:fldChar w:fldCharType="separate"/>
      </w:r>
      <w:r w:rsidR="00594C05" w:rsidRPr="00305E0F">
        <w:rPr>
          <w:color w:val="auto"/>
          <w:lang w:val="en-GB"/>
        </w:rPr>
        <w:t>124</w:t>
      </w:r>
      <w:r w:rsidRPr="00305E0F">
        <w:rPr>
          <w:color w:val="auto"/>
          <w:lang w:val="en-GB"/>
        </w:rPr>
        <w:fldChar w:fldCharType="end"/>
      </w:r>
      <w:r w:rsidR="008461F4" w:rsidRPr="00305E0F">
        <w:rPr>
          <w:color w:val="auto"/>
          <w:lang w:val="en-GB"/>
        </w:rPr>
        <w:t xml:space="preserve"> sub-paragraphs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_Ref215223228 \r \h </w:instrText>
      </w:r>
      <w:r w:rsidRPr="00305E0F">
        <w:rPr>
          <w:color w:val="auto"/>
          <w:lang w:val="en-GB"/>
        </w:rPr>
      </w:r>
      <w:r w:rsidRPr="00305E0F">
        <w:rPr>
          <w:color w:val="auto"/>
          <w:lang w:val="en-GB"/>
        </w:rPr>
        <w:fldChar w:fldCharType="separate"/>
      </w:r>
      <w:r w:rsidR="00594C05" w:rsidRPr="00305E0F">
        <w:rPr>
          <w:color w:val="auto"/>
          <w:lang w:val="en-GB"/>
        </w:rPr>
        <w:t>124.3</w:t>
      </w:r>
      <w:r w:rsidRPr="00305E0F">
        <w:rPr>
          <w:color w:val="auto"/>
          <w:lang w:val="en-GB"/>
        </w:rPr>
        <w:fldChar w:fldCharType="end"/>
      </w:r>
      <w:r w:rsidR="008461F4" w:rsidRPr="00305E0F">
        <w:rPr>
          <w:color w:val="auto"/>
          <w:lang w:val="en-GB"/>
        </w:rPr>
        <w:t xml:space="preserve"> </w:t>
      </w:r>
      <w:r w:rsidRPr="00305E0F">
        <w:rPr>
          <w:color w:val="auto"/>
          <w:lang w:val="en-GB"/>
        </w:rPr>
        <w:t>to</w:t>
      </w:r>
      <w:r w:rsidR="008461F4" w:rsidRPr="00305E0F">
        <w:rPr>
          <w:color w:val="auto"/>
          <w:lang w:val="en-GB"/>
        </w:rPr>
        <w:t xml:space="preserve"> </w:t>
      </w:r>
      <w:r w:rsidRPr="00305E0F">
        <w:rPr>
          <w:color w:val="auto"/>
          <w:lang w:val="en-GB"/>
        </w:rPr>
        <w:fldChar w:fldCharType="begin"/>
      </w:r>
      <w:r w:rsidRPr="00305E0F">
        <w:rPr>
          <w:color w:val="auto"/>
          <w:lang w:val="en-GB"/>
        </w:rPr>
        <w:instrText xml:space="preserve"> REF _Ref215229237 \r \h </w:instrText>
      </w:r>
      <w:r w:rsidRPr="00305E0F">
        <w:rPr>
          <w:color w:val="auto"/>
          <w:lang w:val="en-GB"/>
        </w:rPr>
      </w:r>
      <w:r w:rsidRPr="00305E0F">
        <w:rPr>
          <w:color w:val="auto"/>
          <w:lang w:val="en-GB"/>
        </w:rPr>
        <w:fldChar w:fldCharType="separate"/>
      </w:r>
      <w:r w:rsidR="00594C05" w:rsidRPr="00305E0F">
        <w:rPr>
          <w:color w:val="auto"/>
          <w:lang w:val="en-GB"/>
        </w:rPr>
        <w:t>124.6</w:t>
      </w:r>
      <w:r w:rsidRPr="00305E0F">
        <w:rPr>
          <w:color w:val="auto"/>
          <w:lang w:val="en-GB"/>
        </w:rPr>
        <w:fldChar w:fldCharType="end"/>
      </w:r>
      <w:r w:rsidRPr="00305E0F">
        <w:rPr>
          <w:color w:val="auto"/>
          <w:lang w:val="en-GB"/>
        </w:rPr>
        <w:t xml:space="preserve"> and</w:t>
      </w:r>
      <w:r w:rsidR="008461F4" w:rsidRPr="00305E0F">
        <w:rPr>
          <w:color w:val="auto"/>
          <w:lang w:val="en-GB"/>
        </w:rPr>
        <w:t xml:space="preserve"> </w:t>
      </w:r>
      <w:r w:rsidRPr="00305E0F">
        <w:rPr>
          <w:color w:val="auto"/>
          <w:lang w:val="en-GB"/>
        </w:rPr>
        <w:fldChar w:fldCharType="begin"/>
      </w:r>
      <w:r w:rsidRPr="00305E0F">
        <w:rPr>
          <w:color w:val="auto"/>
          <w:lang w:val="en-GB"/>
        </w:rPr>
        <w:instrText xml:space="preserve"> REF _Ref215223063 \r \h </w:instrText>
      </w:r>
      <w:r w:rsidRPr="00305E0F">
        <w:rPr>
          <w:color w:val="auto"/>
          <w:lang w:val="en-GB"/>
        </w:rPr>
      </w:r>
      <w:r w:rsidRPr="00305E0F">
        <w:rPr>
          <w:color w:val="auto"/>
          <w:lang w:val="en-GB"/>
        </w:rPr>
        <w:fldChar w:fldCharType="separate"/>
      </w:r>
      <w:r w:rsidR="00594C05" w:rsidRPr="00305E0F">
        <w:rPr>
          <w:color w:val="auto"/>
          <w:lang w:val="en-GB"/>
        </w:rPr>
        <w:t>125</w:t>
      </w:r>
      <w:r w:rsidRPr="00305E0F">
        <w:rPr>
          <w:color w:val="auto"/>
          <w:lang w:val="en-GB"/>
        </w:rPr>
        <w:fldChar w:fldCharType="end"/>
      </w:r>
      <w:r w:rsidRPr="00305E0F">
        <w:rPr>
          <w:color w:val="auto"/>
          <w:lang w:val="en-GB"/>
        </w:rPr>
        <w:t>, the minimum number of days shall be divided by 365,25.</w:t>
      </w:r>
      <w:bookmarkEnd w:id="115"/>
    </w:p>
    <w:p w14:paraId="6C06F88C" w14:textId="77777777"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Section 2</w:t>
      </w:r>
    </w:p>
    <w:p w14:paraId="45A89F46" w14:textId="5AF10984" w:rsidR="00EB0050" w:rsidRPr="00305E0F" w:rsidRDefault="00B02122">
      <w:pPr>
        <w:pStyle w:val="P68B1DB1-ListParagraph15"/>
        <w:shd w:val="clear" w:color="auto" w:fill="FFFFFF"/>
        <w:tabs>
          <w:tab w:val="left" w:pos="0"/>
        </w:tabs>
        <w:spacing w:after="120" w:line="240" w:lineRule="auto"/>
        <w:ind w:left="0"/>
        <w:contextualSpacing w:val="0"/>
        <w:jc w:val="center"/>
        <w:rPr>
          <w:bCs/>
          <w:iCs/>
          <w:color w:val="auto"/>
          <w:lang w:val="en-GB"/>
        </w:rPr>
      </w:pPr>
      <w:r w:rsidRPr="00305E0F">
        <w:rPr>
          <w:color w:val="auto"/>
          <w:lang w:val="en-GB"/>
        </w:rPr>
        <w:t>Retail exposures</w:t>
      </w:r>
    </w:p>
    <w:p w14:paraId="3202C5B4" w14:textId="77CAFA75"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1</w:t>
      </w:r>
    </w:p>
    <w:p w14:paraId="2F674789" w14:textId="24C8F2D6" w:rsidR="00EB0050" w:rsidRPr="00305E0F" w:rsidRDefault="00B02122">
      <w:pPr>
        <w:pStyle w:val="P68B1DB1-ListParagraph15"/>
        <w:shd w:val="clear" w:color="auto" w:fill="FFFFFF"/>
        <w:tabs>
          <w:tab w:val="left" w:pos="0"/>
        </w:tabs>
        <w:spacing w:after="120" w:line="240" w:lineRule="auto"/>
        <w:ind w:left="0"/>
        <w:contextualSpacing w:val="0"/>
        <w:jc w:val="center"/>
        <w:rPr>
          <w:bCs/>
          <w:iCs/>
          <w:color w:val="auto"/>
          <w:lang w:val="en-GB"/>
        </w:rPr>
      </w:pPr>
      <w:r w:rsidRPr="00305E0F">
        <w:rPr>
          <w:color w:val="auto"/>
          <w:lang w:val="en-GB"/>
        </w:rPr>
        <w:t>Probability of default</w:t>
      </w:r>
    </w:p>
    <w:p w14:paraId="3561943E" w14:textId="5B6CCD87"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sole purpose of calculating risk-weighted exposure amounts and expected loss amounts of those exposures, in particular for the purposes of </w:t>
      </w:r>
      <w:r w:rsidR="00704220" w:rsidRPr="00305E0F">
        <w:rPr>
          <w:color w:val="auto"/>
          <w:lang w:val="en-GB"/>
        </w:rPr>
        <w:t>paragraph</w:t>
      </w:r>
      <w:r w:rsidRPr="00305E0F">
        <w:rPr>
          <w:color w:val="auto"/>
          <w:lang w:val="en-GB"/>
        </w:rPr>
        <w:t xml:space="preserve">s </w:t>
      </w:r>
      <w:r w:rsidRPr="00305E0F">
        <w:rPr>
          <w:color w:val="auto"/>
          <w:lang w:val="en-GB"/>
        </w:rPr>
        <w:fldChar w:fldCharType="begin"/>
      </w:r>
      <w:r w:rsidRPr="00305E0F">
        <w:rPr>
          <w:color w:val="auto"/>
          <w:lang w:val="en-GB"/>
        </w:rPr>
        <w:instrText xml:space="preserve"> REF _Ref215051195 \r \h </w:instrText>
      </w:r>
      <w:r w:rsidRPr="00305E0F">
        <w:rPr>
          <w:color w:val="auto"/>
          <w:lang w:val="en-GB"/>
        </w:rPr>
      </w:r>
      <w:r w:rsidRPr="00305E0F">
        <w:rPr>
          <w:color w:val="auto"/>
          <w:lang w:val="en-GB"/>
        </w:rPr>
        <w:fldChar w:fldCharType="separate"/>
      </w:r>
      <w:r w:rsidR="00594C05" w:rsidRPr="00305E0F">
        <w:rPr>
          <w:color w:val="auto"/>
          <w:lang w:val="en-GB"/>
        </w:rPr>
        <w:t>80</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_Ref215229575 \r \h </w:instrText>
      </w:r>
      <w:r w:rsidRPr="00305E0F">
        <w:rPr>
          <w:color w:val="auto"/>
          <w:lang w:val="en-GB"/>
        </w:rPr>
      </w:r>
      <w:r w:rsidRPr="00305E0F">
        <w:rPr>
          <w:color w:val="auto"/>
          <w:lang w:val="en-GB"/>
        </w:rPr>
        <w:fldChar w:fldCharType="separate"/>
      </w:r>
      <w:r w:rsidR="00594C05" w:rsidRPr="00305E0F">
        <w:rPr>
          <w:color w:val="auto"/>
          <w:lang w:val="en-GB"/>
        </w:rPr>
        <w:t>87</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_Ref215068985 \r \h </w:instrText>
      </w:r>
      <w:r w:rsidRPr="00305E0F">
        <w:rPr>
          <w:color w:val="auto"/>
          <w:lang w:val="en-GB"/>
        </w:rPr>
      </w:r>
      <w:r w:rsidRPr="00305E0F">
        <w:rPr>
          <w:color w:val="auto"/>
          <w:lang w:val="en-GB"/>
        </w:rPr>
        <w:fldChar w:fldCharType="separate"/>
      </w:r>
      <w:r w:rsidR="00594C05" w:rsidRPr="00305E0F">
        <w:rPr>
          <w:color w:val="auto"/>
          <w:lang w:val="en-GB"/>
        </w:rPr>
        <w:t>89</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_Ref215221235 \r \h </w:instrText>
      </w:r>
      <w:r w:rsidRPr="00305E0F">
        <w:rPr>
          <w:color w:val="auto"/>
          <w:lang w:val="en-GB"/>
        </w:rPr>
      </w:r>
      <w:r w:rsidRPr="00305E0F">
        <w:rPr>
          <w:color w:val="auto"/>
          <w:lang w:val="en-GB"/>
        </w:rPr>
        <w:fldChar w:fldCharType="separate"/>
      </w:r>
      <w:r w:rsidR="00594C05" w:rsidRPr="00305E0F">
        <w:rPr>
          <w:color w:val="auto"/>
          <w:lang w:val="en-GB"/>
        </w:rPr>
        <w:t>93</w:t>
      </w:r>
      <w:r w:rsidRPr="00305E0F">
        <w:rPr>
          <w:color w:val="auto"/>
          <w:lang w:val="en-GB"/>
        </w:rPr>
        <w:fldChar w:fldCharType="end"/>
      </w:r>
      <w:r w:rsidRPr="00305E0F">
        <w:rPr>
          <w:color w:val="auto"/>
          <w:lang w:val="en-GB"/>
        </w:rPr>
        <w:t xml:space="preserve"> and </w:t>
      </w:r>
      <w:r w:rsidR="00704220" w:rsidRPr="00305E0F">
        <w:rPr>
          <w:color w:val="auto"/>
          <w:lang w:val="en-GB"/>
        </w:rPr>
        <w:t>paragraph</w:t>
      </w:r>
      <w:r w:rsidRPr="00305E0F">
        <w:rPr>
          <w:color w:val="auto"/>
          <w:lang w:val="en-GB"/>
        </w:rPr>
        <w:t>s</w:t>
      </w:r>
      <w:r w:rsidR="008461F4" w:rsidRPr="00305E0F">
        <w:rPr>
          <w:color w:val="auto"/>
          <w:lang w:val="en-GB"/>
        </w:rPr>
        <w:t xml:space="preserve"> </w:t>
      </w:r>
      <w:r w:rsidRPr="00305E0F">
        <w:rPr>
          <w:color w:val="auto"/>
          <w:lang w:val="en-GB"/>
        </w:rPr>
        <w:fldChar w:fldCharType="begin"/>
      </w:r>
      <w:r w:rsidRPr="00305E0F">
        <w:rPr>
          <w:color w:val="auto"/>
          <w:lang w:val="en-GB"/>
        </w:rPr>
        <w:instrText xml:space="preserve"> REF _Ref215086495 \r \h </w:instrText>
      </w:r>
      <w:r w:rsidRPr="00305E0F">
        <w:rPr>
          <w:color w:val="auto"/>
          <w:lang w:val="en-GB"/>
        </w:rPr>
      </w:r>
      <w:r w:rsidRPr="00305E0F">
        <w:rPr>
          <w:color w:val="auto"/>
          <w:lang w:val="en-GB"/>
        </w:rPr>
        <w:fldChar w:fldCharType="separate"/>
      </w:r>
      <w:r w:rsidR="00594C05" w:rsidRPr="00305E0F">
        <w:rPr>
          <w:color w:val="auto"/>
          <w:lang w:val="en-GB"/>
        </w:rPr>
        <w:t>94</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_Ref215086356 \r \h </w:instrText>
      </w:r>
      <w:r w:rsidRPr="00305E0F">
        <w:rPr>
          <w:color w:val="auto"/>
          <w:lang w:val="en-GB"/>
        </w:rPr>
      </w:r>
      <w:r w:rsidRPr="00305E0F">
        <w:rPr>
          <w:color w:val="auto"/>
          <w:lang w:val="en-GB"/>
        </w:rPr>
        <w:fldChar w:fldCharType="separate"/>
      </w:r>
      <w:r w:rsidR="00594C05" w:rsidRPr="00305E0F">
        <w:rPr>
          <w:color w:val="auto"/>
          <w:lang w:val="en-GB"/>
        </w:rPr>
        <w:t>98</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_Ref215221320 \r \h </w:instrText>
      </w:r>
      <w:r w:rsidRPr="00305E0F">
        <w:rPr>
          <w:color w:val="auto"/>
          <w:lang w:val="en-GB"/>
        </w:rPr>
      </w:r>
      <w:r w:rsidRPr="00305E0F">
        <w:rPr>
          <w:color w:val="auto"/>
          <w:lang w:val="en-GB"/>
        </w:rPr>
        <w:fldChar w:fldCharType="separate"/>
      </w:r>
      <w:r w:rsidR="00594C05" w:rsidRPr="00305E0F">
        <w:rPr>
          <w:color w:val="auto"/>
          <w:lang w:val="en-GB"/>
        </w:rPr>
        <w:t>99</w:t>
      </w:r>
      <w:r w:rsidRPr="00305E0F">
        <w:rPr>
          <w:color w:val="auto"/>
          <w:lang w:val="en-GB"/>
        </w:rPr>
        <w:fldChar w:fldCharType="end"/>
      </w:r>
      <w:r w:rsidRPr="00305E0F">
        <w:rPr>
          <w:color w:val="auto"/>
          <w:lang w:val="en-GB"/>
        </w:rPr>
        <w:t xml:space="preserve"> and</w:t>
      </w:r>
      <w:r w:rsidR="008461F4"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_Ref215086374 \r \h </w:instrText>
      </w:r>
      <w:r w:rsidRPr="00305E0F">
        <w:rPr>
          <w:color w:val="auto"/>
          <w:lang w:val="en-GB"/>
        </w:rPr>
      </w:r>
      <w:r w:rsidRPr="00305E0F">
        <w:rPr>
          <w:color w:val="auto"/>
          <w:lang w:val="en-GB"/>
        </w:rPr>
        <w:fldChar w:fldCharType="separate"/>
      </w:r>
      <w:r w:rsidR="00594C05" w:rsidRPr="00305E0F">
        <w:rPr>
          <w:color w:val="auto"/>
          <w:lang w:val="en-GB"/>
        </w:rPr>
        <w:t>102</w:t>
      </w:r>
      <w:r w:rsidRPr="00305E0F">
        <w:rPr>
          <w:color w:val="auto"/>
          <w:lang w:val="en-GB"/>
        </w:rPr>
        <w:fldChar w:fldCharType="end"/>
      </w:r>
      <w:r w:rsidRPr="00305E0F">
        <w:rPr>
          <w:color w:val="auto"/>
          <w:lang w:val="en-GB"/>
        </w:rPr>
        <w:t>, the PD for each exposure that is used as an input to the formula for calculating risk-weighted exposure amounts and expected loss shall be the higher of the one-year PD associated with the obligor’s internal rating grade or pool to which the retail exposure belongs and the following PD</w:t>
      </w:r>
      <w:r w:rsidR="008461F4" w:rsidRPr="00305E0F">
        <w:rPr>
          <w:color w:val="auto"/>
          <w:lang w:val="en-GB"/>
        </w:rPr>
        <w:t xml:space="preserve"> input</w:t>
      </w:r>
      <w:r w:rsidRPr="00305E0F">
        <w:rPr>
          <w:color w:val="auto"/>
          <w:lang w:val="en-GB"/>
        </w:rPr>
        <w:t xml:space="preserve"> floor values:</w:t>
      </w:r>
    </w:p>
    <w:p w14:paraId="1B95A701" w14:textId="430C6006" w:rsidR="00EB0050" w:rsidRPr="00305E0F" w:rsidRDefault="008461F4">
      <w:pPr>
        <w:pStyle w:val="P68B1DB1-ListParagraph11"/>
        <w:numPr>
          <w:ilvl w:val="1"/>
          <w:numId w:val="2"/>
        </w:numPr>
        <w:shd w:val="clear" w:color="auto" w:fill="FFFFFF"/>
        <w:tabs>
          <w:tab w:val="left" w:pos="0"/>
          <w:tab w:val="left" w:pos="567"/>
        </w:tabs>
        <w:spacing w:before="60" w:after="0" w:line="240" w:lineRule="auto"/>
        <w:jc w:val="both"/>
        <w:rPr>
          <w:color w:val="auto"/>
          <w:sz w:val="24"/>
          <w:szCs w:val="24"/>
          <w:lang w:val="en-GB"/>
        </w:rPr>
      </w:pPr>
      <w:r w:rsidRPr="00305E0F">
        <w:rPr>
          <w:color w:val="auto"/>
          <w:sz w:val="24"/>
          <w:szCs w:val="24"/>
          <w:lang w:val="en-GB"/>
        </w:rPr>
        <w:t>0,1 % for QRRE revolvers;</w:t>
      </w:r>
      <w:r w:rsidRPr="00305E0F">
        <w:rPr>
          <w:color w:val="auto"/>
          <w:sz w:val="18"/>
          <w:szCs w:val="18"/>
          <w:highlight w:val="lightGray"/>
          <w:lang w:val="en-GB"/>
        </w:rPr>
        <w:t xml:space="preserve"> </w:t>
      </w:r>
    </w:p>
    <w:p w14:paraId="3065D387" w14:textId="33AE609D" w:rsidR="00EB0050" w:rsidRPr="00305E0F" w:rsidRDefault="008461F4">
      <w:pPr>
        <w:pStyle w:val="P68B1DB1-ListParagraph11"/>
        <w:numPr>
          <w:ilvl w:val="1"/>
          <w:numId w:val="2"/>
        </w:numPr>
        <w:shd w:val="clear" w:color="auto" w:fill="FFFFFF"/>
        <w:tabs>
          <w:tab w:val="left" w:pos="0"/>
          <w:tab w:val="left" w:pos="567"/>
        </w:tabs>
        <w:spacing w:before="60" w:after="0" w:line="240" w:lineRule="auto"/>
        <w:jc w:val="both"/>
        <w:rPr>
          <w:color w:val="auto"/>
          <w:sz w:val="24"/>
          <w:szCs w:val="24"/>
          <w:lang w:val="en-GB"/>
        </w:rPr>
      </w:pPr>
      <w:r w:rsidRPr="00305E0F">
        <w:rPr>
          <w:color w:val="auto"/>
          <w:sz w:val="24"/>
          <w:szCs w:val="24"/>
          <w:lang w:val="en-GB"/>
        </w:rPr>
        <w:t xml:space="preserve">0,05 % for retail exposures which are not QRRE revolvers. </w:t>
      </w:r>
      <w:r w:rsidRPr="00305E0F">
        <w:rPr>
          <w:color w:val="auto"/>
          <w:sz w:val="18"/>
          <w:szCs w:val="18"/>
          <w:highlight w:val="lightGray"/>
          <w:lang w:val="en-GB"/>
        </w:rPr>
        <w:t xml:space="preserve"> </w:t>
      </w:r>
    </w:p>
    <w:p w14:paraId="337A2D3A" w14:textId="44DE82F2" w:rsidR="00EB0050" w:rsidRPr="00305E0F" w:rsidRDefault="008461F4">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lastRenderedPageBreak/>
        <w:t xml:space="preserve">The PD of obligors or, where an obligation approach is used, of exposures in default shall be 100 %. </w:t>
      </w:r>
    </w:p>
    <w:p w14:paraId="7125DC0A" w14:textId="1F660F64"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r w:rsidRPr="00305E0F">
        <w:rPr>
          <w:color w:val="auto"/>
          <w:sz w:val="24"/>
          <w:szCs w:val="24"/>
          <w:lang w:val="en-GB"/>
        </w:rPr>
        <w:t>For dilution risk on purchased receivables, the PD shall be equal to the expected loss estimates for dilution risk. If a bank can decompose its own expected loss estimates for dilution risk of purchased receivables into PDs and LGDs in a manner that the National Bank of Moldova considers reliable, the PD estimation may be used.</w:t>
      </w:r>
      <w:r w:rsidRPr="00305E0F">
        <w:rPr>
          <w:color w:val="auto"/>
          <w:sz w:val="18"/>
          <w:szCs w:val="18"/>
          <w:highlight w:val="lightGray"/>
          <w:lang w:val="en-GB"/>
        </w:rPr>
        <w:t xml:space="preserve"> </w:t>
      </w:r>
    </w:p>
    <w:p w14:paraId="591694CE" w14:textId="6C23629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an exposure covered by unfunded credit protection, a bank using own estimates of LGD under paragraphs </w:t>
      </w:r>
      <w:r w:rsidRPr="00305E0F">
        <w:rPr>
          <w:color w:val="auto"/>
          <w:lang w:val="en-GB"/>
        </w:rPr>
        <w:fldChar w:fldCharType="begin"/>
      </w:r>
      <w:r w:rsidRPr="00305E0F">
        <w:rPr>
          <w:color w:val="auto"/>
          <w:lang w:val="en-GB"/>
        </w:rPr>
        <w:instrText xml:space="preserve"> REF _Ref215069496 \r \h </w:instrText>
      </w:r>
      <w:r w:rsidRPr="00305E0F">
        <w:rPr>
          <w:color w:val="auto"/>
          <w:lang w:val="en-GB"/>
        </w:rPr>
      </w:r>
      <w:r w:rsidRPr="00305E0F">
        <w:rPr>
          <w:color w:val="auto"/>
          <w:lang w:val="en-GB"/>
        </w:rPr>
        <w:fldChar w:fldCharType="separate"/>
      </w:r>
      <w:r w:rsidR="00594C05" w:rsidRPr="00305E0F">
        <w:rPr>
          <w:color w:val="auto"/>
          <w:lang w:val="en-GB"/>
        </w:rPr>
        <w:t>4</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_Ref215069507 \r \h </w:instrText>
      </w:r>
      <w:r w:rsidRPr="00305E0F">
        <w:rPr>
          <w:color w:val="auto"/>
          <w:lang w:val="en-GB"/>
        </w:rPr>
      </w:r>
      <w:r w:rsidRPr="00305E0F">
        <w:rPr>
          <w:color w:val="auto"/>
          <w:lang w:val="en-GB"/>
        </w:rPr>
        <w:fldChar w:fldCharType="separate"/>
      </w:r>
      <w:r w:rsidR="00594C05" w:rsidRPr="00305E0F">
        <w:rPr>
          <w:color w:val="auto"/>
          <w:lang w:val="en-GB"/>
        </w:rPr>
        <w:t>7</w:t>
      </w:r>
      <w:r w:rsidRPr="00305E0F">
        <w:rPr>
          <w:color w:val="auto"/>
          <w:lang w:val="en-GB"/>
        </w:rPr>
        <w:fldChar w:fldCharType="end"/>
      </w:r>
      <w:r w:rsidRPr="00305E0F">
        <w:rPr>
          <w:color w:val="auto"/>
          <w:lang w:val="en-GB"/>
        </w:rPr>
        <w:t xml:space="preserve"> for comparable direct exposures to the protection provider may recognise the unfunded credit protection in the PD in accordance with paragraphs </w:t>
      </w:r>
      <w:r w:rsidRPr="00305E0F">
        <w:rPr>
          <w:color w:val="auto"/>
          <w:lang w:val="en-GB"/>
        </w:rPr>
        <w:fldChar w:fldCharType="begin"/>
      </w:r>
      <w:r w:rsidRPr="00305E0F">
        <w:rPr>
          <w:color w:val="auto"/>
          <w:lang w:val="en-GB"/>
        </w:rPr>
        <w:instrText xml:space="preserve"> REF _Ref215298820 \r \h </w:instrText>
      </w:r>
      <w:r w:rsidRPr="00305E0F">
        <w:rPr>
          <w:color w:val="auto"/>
          <w:lang w:val="en-GB"/>
        </w:rPr>
      </w:r>
      <w:r w:rsidRPr="00305E0F">
        <w:rPr>
          <w:color w:val="auto"/>
          <w:lang w:val="en-GB"/>
        </w:rPr>
        <w:fldChar w:fldCharType="separate"/>
      </w:r>
      <w:r w:rsidR="00594C05" w:rsidRPr="00305E0F">
        <w:rPr>
          <w:color w:val="auto"/>
          <w:lang w:val="en-GB"/>
        </w:rPr>
        <w:t>220</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_Ref215504514 \r \h </w:instrText>
      </w:r>
      <w:r w:rsidRPr="00305E0F">
        <w:rPr>
          <w:color w:val="auto"/>
          <w:lang w:val="en-GB"/>
        </w:rPr>
      </w:r>
      <w:r w:rsidRPr="00305E0F">
        <w:rPr>
          <w:color w:val="auto"/>
          <w:lang w:val="en-GB"/>
        </w:rPr>
        <w:fldChar w:fldCharType="separate"/>
      </w:r>
      <w:r w:rsidR="00594C05" w:rsidRPr="00305E0F">
        <w:rPr>
          <w:color w:val="auto"/>
          <w:lang w:val="en-GB"/>
        </w:rPr>
        <w:t>230</w:t>
      </w:r>
      <w:r w:rsidRPr="00305E0F">
        <w:rPr>
          <w:color w:val="auto"/>
          <w:lang w:val="en-GB"/>
        </w:rPr>
        <w:fldChar w:fldCharType="end"/>
      </w:r>
      <w:r w:rsidRPr="00305E0F">
        <w:rPr>
          <w:color w:val="auto"/>
          <w:lang w:val="en-GB"/>
        </w:rPr>
        <w:t>.</w:t>
      </w:r>
    </w:p>
    <w:p w14:paraId="64963E9E" w14:textId="763DB5E1"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2</w:t>
      </w:r>
    </w:p>
    <w:p w14:paraId="7F1987F1" w14:textId="3B95A220" w:rsidR="00EB0050" w:rsidRPr="00305E0F" w:rsidRDefault="00B02122" w:rsidP="00715A14">
      <w:pPr>
        <w:pStyle w:val="P68B1DB1-ListParagraph15"/>
        <w:shd w:val="clear" w:color="auto" w:fill="FFFFFF"/>
        <w:tabs>
          <w:tab w:val="left" w:pos="0"/>
          <w:tab w:val="left" w:pos="567"/>
        </w:tabs>
        <w:spacing w:before="60" w:after="0" w:line="240" w:lineRule="auto"/>
        <w:ind w:left="567" w:hanging="567"/>
        <w:jc w:val="center"/>
        <w:rPr>
          <w:color w:val="auto"/>
          <w:lang w:val="en-GB"/>
        </w:rPr>
      </w:pPr>
      <w:r w:rsidRPr="00305E0F">
        <w:rPr>
          <w:color w:val="auto"/>
          <w:lang w:val="en-GB"/>
        </w:rPr>
        <w:t>Loss given default</w:t>
      </w:r>
    </w:p>
    <w:p w14:paraId="71B89DAD" w14:textId="0CBCD556"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Banks shall provide their own estimates of LGD in compliance with the requirements set out in Chapter VI and with the approval of the National Bank of Moldova granted in accordance with paragraphs </w:t>
      </w:r>
      <w:r w:rsidRPr="00305E0F">
        <w:rPr>
          <w:color w:val="auto"/>
          <w:lang w:val="en-GB"/>
        </w:rPr>
        <w:fldChar w:fldCharType="begin"/>
      </w:r>
      <w:r w:rsidRPr="00305E0F">
        <w:rPr>
          <w:color w:val="auto"/>
          <w:lang w:val="en-GB"/>
        </w:rPr>
        <w:instrText xml:space="preserve"> REF _Ref215069496 \r \h </w:instrText>
      </w:r>
      <w:r w:rsidRPr="00305E0F">
        <w:rPr>
          <w:color w:val="auto"/>
          <w:lang w:val="en-GB"/>
        </w:rPr>
      </w:r>
      <w:r w:rsidRPr="00305E0F">
        <w:rPr>
          <w:color w:val="auto"/>
          <w:lang w:val="en-GB"/>
        </w:rPr>
        <w:fldChar w:fldCharType="separate"/>
      </w:r>
      <w:r w:rsidR="00594C05" w:rsidRPr="00305E0F">
        <w:rPr>
          <w:color w:val="auto"/>
          <w:lang w:val="en-GB"/>
        </w:rPr>
        <w:t>4</w:t>
      </w:r>
      <w:r w:rsidRPr="00305E0F">
        <w:rPr>
          <w:color w:val="auto"/>
          <w:lang w:val="en-GB"/>
        </w:rPr>
        <w:fldChar w:fldCharType="end"/>
      </w:r>
      <w:r w:rsidR="008461F4" w:rsidRPr="00305E0F">
        <w:rPr>
          <w:color w:val="auto"/>
          <w:lang w:val="en-GB"/>
        </w:rPr>
        <w:t xml:space="preserve"> </w:t>
      </w:r>
      <w:r w:rsidRPr="00305E0F">
        <w:rPr>
          <w:color w:val="auto"/>
          <w:lang w:val="en-GB"/>
        </w:rPr>
        <w:t>to</w:t>
      </w:r>
      <w:r w:rsidR="008461F4" w:rsidRPr="00305E0F">
        <w:rPr>
          <w:color w:val="auto"/>
          <w:lang w:val="en-GB"/>
        </w:rPr>
        <w:t xml:space="preserve"> </w:t>
      </w:r>
      <w:r w:rsidRPr="00305E0F">
        <w:rPr>
          <w:color w:val="auto"/>
          <w:lang w:val="en-GB"/>
        </w:rPr>
        <w:fldChar w:fldCharType="begin"/>
      </w:r>
      <w:r w:rsidRPr="00305E0F">
        <w:rPr>
          <w:color w:val="auto"/>
          <w:lang w:val="en-GB"/>
        </w:rPr>
        <w:instrText xml:space="preserve"> REF _Ref215069507 \r \h </w:instrText>
      </w:r>
      <w:r w:rsidRPr="00305E0F">
        <w:rPr>
          <w:color w:val="auto"/>
          <w:lang w:val="en-GB"/>
        </w:rPr>
      </w:r>
      <w:r w:rsidRPr="00305E0F">
        <w:rPr>
          <w:color w:val="auto"/>
          <w:lang w:val="en-GB"/>
        </w:rPr>
        <w:fldChar w:fldCharType="separate"/>
      </w:r>
      <w:r w:rsidR="00594C05" w:rsidRPr="00305E0F">
        <w:rPr>
          <w:color w:val="auto"/>
          <w:lang w:val="en-GB"/>
        </w:rPr>
        <w:t>7</w:t>
      </w:r>
      <w:r w:rsidRPr="00305E0F">
        <w:rPr>
          <w:color w:val="auto"/>
          <w:lang w:val="en-GB"/>
        </w:rPr>
        <w:fldChar w:fldCharType="end"/>
      </w:r>
      <w:r w:rsidRPr="00305E0F">
        <w:rPr>
          <w:color w:val="auto"/>
          <w:lang w:val="en-GB"/>
        </w:rPr>
        <w:t xml:space="preserve">. For dilution risk of purchased receivables, the LGD value of 100 % shall be used. If a bank can reliably </w:t>
      </w:r>
      <w:r w:rsidR="008461F4" w:rsidRPr="00305E0F">
        <w:rPr>
          <w:color w:val="auto"/>
          <w:lang w:val="en-GB"/>
        </w:rPr>
        <w:t>decompose</w:t>
      </w:r>
      <w:r w:rsidRPr="00305E0F">
        <w:rPr>
          <w:color w:val="auto"/>
          <w:lang w:val="en-GB"/>
        </w:rPr>
        <w:t xml:space="preserve"> its expected loss estimates for dilution risk of purchased receivables into PDs and LGDs, the bank may use its own estimates of LGDs.</w:t>
      </w:r>
    </w:p>
    <w:p w14:paraId="5285F79F" w14:textId="388BAEA0"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r w:rsidRPr="00305E0F">
        <w:rPr>
          <w:color w:val="auto"/>
          <w:sz w:val="24"/>
          <w:szCs w:val="24"/>
          <w:lang w:val="en-GB"/>
        </w:rPr>
        <w:t xml:space="preserve">Banks using own estimates of LGD under paragraphs </w:t>
      </w:r>
      <w:r w:rsidRPr="00305E0F">
        <w:rPr>
          <w:color w:val="auto"/>
          <w:sz w:val="24"/>
          <w:szCs w:val="24"/>
          <w:lang w:val="en-GB"/>
        </w:rPr>
        <w:fldChar w:fldCharType="begin"/>
      </w:r>
      <w:r w:rsidRPr="00305E0F">
        <w:rPr>
          <w:color w:val="auto"/>
          <w:sz w:val="24"/>
          <w:szCs w:val="24"/>
          <w:lang w:val="en-GB"/>
        </w:rPr>
        <w:instrText xml:space="preserve"> REF _Ref215069496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4</w:t>
      </w:r>
      <w:r w:rsidRPr="00305E0F">
        <w:rPr>
          <w:color w:val="auto"/>
          <w:sz w:val="24"/>
          <w:szCs w:val="24"/>
          <w:lang w:val="en-GB"/>
        </w:rPr>
        <w:fldChar w:fldCharType="end"/>
      </w:r>
      <w:r w:rsidRPr="00305E0F">
        <w:rPr>
          <w:color w:val="auto"/>
          <w:sz w:val="24"/>
          <w:szCs w:val="24"/>
          <w:lang w:val="en-GB"/>
        </w:rPr>
        <w:t>-</w:t>
      </w:r>
      <w:r w:rsidRPr="00305E0F">
        <w:rPr>
          <w:color w:val="auto"/>
          <w:sz w:val="24"/>
          <w:szCs w:val="24"/>
          <w:lang w:val="en-GB"/>
        </w:rPr>
        <w:fldChar w:fldCharType="begin"/>
      </w:r>
      <w:r w:rsidRPr="00305E0F">
        <w:rPr>
          <w:color w:val="auto"/>
          <w:sz w:val="24"/>
          <w:szCs w:val="24"/>
          <w:lang w:val="en-GB"/>
        </w:rPr>
        <w:instrText xml:space="preserve"> REF _Ref215069507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7</w:t>
      </w:r>
      <w:r w:rsidRPr="00305E0F">
        <w:rPr>
          <w:color w:val="auto"/>
          <w:sz w:val="24"/>
          <w:szCs w:val="24"/>
          <w:lang w:val="en-GB"/>
        </w:rPr>
        <w:fldChar w:fldCharType="end"/>
      </w:r>
      <w:r w:rsidRPr="00305E0F">
        <w:rPr>
          <w:color w:val="auto"/>
          <w:sz w:val="24"/>
          <w:szCs w:val="24"/>
          <w:lang w:val="en-GB"/>
        </w:rPr>
        <w:t xml:space="preserve"> for comparable direct exposures to the protection provider may recognise unfunded credit protection in the LGD in accordance with paragraphs </w:t>
      </w:r>
      <w:r w:rsidRPr="00305E0F">
        <w:rPr>
          <w:color w:val="auto"/>
          <w:sz w:val="24"/>
          <w:szCs w:val="24"/>
          <w:lang w:val="en-GB"/>
        </w:rPr>
        <w:fldChar w:fldCharType="begin"/>
      </w:r>
      <w:r w:rsidRPr="00305E0F">
        <w:rPr>
          <w:color w:val="auto"/>
          <w:sz w:val="24"/>
          <w:szCs w:val="24"/>
          <w:lang w:val="en-GB"/>
        </w:rPr>
        <w:instrText xml:space="preserve"> REF _Ref215298820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220</w:t>
      </w:r>
      <w:r w:rsidRPr="00305E0F">
        <w:rPr>
          <w:color w:val="auto"/>
          <w:sz w:val="24"/>
          <w:szCs w:val="24"/>
          <w:lang w:val="en-GB"/>
        </w:rPr>
        <w:fldChar w:fldCharType="end"/>
      </w:r>
      <w:r w:rsidRPr="00305E0F">
        <w:rPr>
          <w:color w:val="auto"/>
          <w:sz w:val="24"/>
          <w:szCs w:val="24"/>
          <w:lang w:val="en-GB"/>
        </w:rPr>
        <w:t>-</w:t>
      </w:r>
      <w:r w:rsidRPr="00305E0F">
        <w:rPr>
          <w:color w:val="auto"/>
          <w:sz w:val="24"/>
          <w:szCs w:val="24"/>
          <w:lang w:val="en-GB"/>
        </w:rPr>
        <w:fldChar w:fldCharType="begin"/>
      </w:r>
      <w:r w:rsidRPr="00305E0F">
        <w:rPr>
          <w:color w:val="auto"/>
          <w:sz w:val="24"/>
          <w:szCs w:val="24"/>
          <w:lang w:val="en-GB"/>
        </w:rPr>
        <w:instrText xml:space="preserve"> REF _Ref215504514 \r \h </w:instrText>
      </w:r>
      <w:r w:rsidRPr="00305E0F">
        <w:rPr>
          <w:color w:val="auto"/>
          <w:sz w:val="24"/>
          <w:szCs w:val="24"/>
          <w:lang w:val="en-GB"/>
        </w:rPr>
      </w:r>
      <w:r w:rsidRPr="00305E0F">
        <w:rPr>
          <w:color w:val="auto"/>
          <w:sz w:val="24"/>
          <w:szCs w:val="24"/>
          <w:lang w:val="en-GB"/>
        </w:rPr>
        <w:fldChar w:fldCharType="separate"/>
      </w:r>
      <w:r w:rsidR="00594C05" w:rsidRPr="00305E0F">
        <w:rPr>
          <w:color w:val="auto"/>
          <w:sz w:val="24"/>
          <w:szCs w:val="24"/>
          <w:lang w:val="en-GB"/>
        </w:rPr>
        <w:t>230</w:t>
      </w:r>
      <w:r w:rsidRPr="00305E0F">
        <w:rPr>
          <w:color w:val="auto"/>
          <w:sz w:val="24"/>
          <w:szCs w:val="24"/>
          <w:lang w:val="en-GB"/>
        </w:rPr>
        <w:fldChar w:fldCharType="end"/>
      </w:r>
      <w:r w:rsidRPr="00305E0F">
        <w:rPr>
          <w:color w:val="auto"/>
          <w:sz w:val="24"/>
          <w:szCs w:val="24"/>
          <w:lang w:val="en-GB"/>
        </w:rPr>
        <w:t>.</w:t>
      </w:r>
      <w:r w:rsidRPr="00305E0F">
        <w:rPr>
          <w:color w:val="auto"/>
          <w:sz w:val="18"/>
          <w:szCs w:val="18"/>
          <w:highlight w:val="lightGray"/>
          <w:lang w:val="en-GB"/>
        </w:rPr>
        <w:t xml:space="preserve"> </w:t>
      </w:r>
    </w:p>
    <w:p w14:paraId="7AD89BDA" w14:textId="7DCD4863"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16" w:name="_Ref215230992"/>
      <w:r w:rsidRPr="00305E0F">
        <w:rPr>
          <w:color w:val="auto"/>
          <w:lang w:val="en-GB"/>
        </w:rPr>
        <w:t xml:space="preserve">For the sole purpose of calculating risk-weighted exposure amounts and expected loss amounts for retail exposures, and in particular pursuant to </w:t>
      </w:r>
      <w:r w:rsidR="00850A5C" w:rsidRPr="00305E0F">
        <w:rPr>
          <w:color w:val="auto"/>
          <w:lang w:val="en-GB"/>
        </w:rPr>
        <w:t>sub-</w:t>
      </w:r>
      <w:r w:rsidR="00704220" w:rsidRPr="00305E0F">
        <w:rPr>
          <w:color w:val="auto"/>
          <w:lang w:val="en-GB"/>
        </w:rPr>
        <w:t>paragraph</w:t>
      </w:r>
      <w:r w:rsidR="008461F4" w:rsidRPr="00305E0F">
        <w:rPr>
          <w:color w:val="auto"/>
          <w:lang w:val="en-GB"/>
        </w:rPr>
        <w:t xml:space="preserve"> </w:t>
      </w:r>
      <w:r w:rsidRPr="00305E0F">
        <w:rPr>
          <w:color w:val="auto"/>
          <w:lang w:val="en-GB"/>
        </w:rPr>
        <w:fldChar w:fldCharType="begin"/>
      </w:r>
      <w:r w:rsidRPr="00305E0F">
        <w:rPr>
          <w:color w:val="auto"/>
          <w:lang w:val="en-GB"/>
        </w:rPr>
        <w:instrText xml:space="preserve"> REF _Ref215051245 \r \h </w:instrText>
      </w:r>
      <w:r w:rsidRPr="00305E0F">
        <w:rPr>
          <w:color w:val="auto"/>
          <w:lang w:val="en-GB"/>
        </w:rPr>
      </w:r>
      <w:r w:rsidRPr="00305E0F">
        <w:rPr>
          <w:color w:val="auto"/>
          <w:lang w:val="en-GB"/>
        </w:rPr>
        <w:fldChar w:fldCharType="separate"/>
      </w:r>
      <w:r w:rsidR="00594C05" w:rsidRPr="00305E0F">
        <w:rPr>
          <w:color w:val="auto"/>
          <w:lang w:val="en-GB"/>
        </w:rPr>
        <w:t>80.2</w:t>
      </w:r>
      <w:r w:rsidRPr="00305E0F">
        <w:rPr>
          <w:color w:val="auto"/>
          <w:lang w:val="en-GB"/>
        </w:rPr>
        <w:fldChar w:fldCharType="end"/>
      </w:r>
      <w:r w:rsidRPr="00305E0F">
        <w:rPr>
          <w:color w:val="auto"/>
          <w:lang w:val="en-GB"/>
        </w:rPr>
        <w:t>,</w:t>
      </w:r>
      <w:r w:rsidR="00850A5C" w:rsidRPr="00305E0F">
        <w:rPr>
          <w:color w:val="auto"/>
          <w:lang w:val="en-GB"/>
        </w:rPr>
        <w:t xml:space="preserve"> paragraphs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_Ref215068985 \r \h </w:instrText>
      </w:r>
      <w:r w:rsidRPr="00305E0F">
        <w:rPr>
          <w:color w:val="auto"/>
          <w:lang w:val="en-GB"/>
        </w:rPr>
      </w:r>
      <w:r w:rsidRPr="00305E0F">
        <w:rPr>
          <w:color w:val="auto"/>
          <w:lang w:val="en-GB"/>
        </w:rPr>
        <w:fldChar w:fldCharType="separate"/>
      </w:r>
      <w:r w:rsidR="00594C05" w:rsidRPr="00305E0F">
        <w:rPr>
          <w:color w:val="auto"/>
          <w:lang w:val="en-GB"/>
        </w:rPr>
        <w:t>89</w:t>
      </w:r>
      <w:r w:rsidRPr="00305E0F">
        <w:rPr>
          <w:color w:val="auto"/>
          <w:lang w:val="en-GB"/>
        </w:rPr>
        <w:fldChar w:fldCharType="end"/>
      </w:r>
      <w:r w:rsidR="00850A5C" w:rsidRPr="00305E0F">
        <w:rPr>
          <w:color w:val="auto"/>
          <w:lang w:val="en-GB"/>
        </w:rPr>
        <w:t xml:space="preserve"> </w:t>
      </w:r>
      <w:r w:rsidRPr="00305E0F">
        <w:rPr>
          <w:color w:val="auto"/>
          <w:lang w:val="en-GB"/>
        </w:rPr>
        <w:t>to</w:t>
      </w:r>
      <w:r w:rsidR="00850A5C" w:rsidRPr="00305E0F">
        <w:rPr>
          <w:color w:val="auto"/>
          <w:lang w:val="en-GB"/>
        </w:rPr>
        <w:t xml:space="preserve"> </w:t>
      </w:r>
      <w:r w:rsidRPr="00305E0F">
        <w:rPr>
          <w:color w:val="auto"/>
          <w:lang w:val="en-GB"/>
        </w:rPr>
        <w:fldChar w:fldCharType="begin"/>
      </w:r>
      <w:r w:rsidRPr="00305E0F">
        <w:rPr>
          <w:color w:val="auto"/>
          <w:lang w:val="en-GB"/>
        </w:rPr>
        <w:instrText xml:space="preserve"> REF _Ref215221235 \r \h </w:instrText>
      </w:r>
      <w:r w:rsidRPr="00305E0F">
        <w:rPr>
          <w:color w:val="auto"/>
          <w:lang w:val="en-GB"/>
        </w:rPr>
      </w:r>
      <w:r w:rsidRPr="00305E0F">
        <w:rPr>
          <w:color w:val="auto"/>
          <w:lang w:val="en-GB"/>
        </w:rPr>
        <w:fldChar w:fldCharType="separate"/>
      </w:r>
      <w:r w:rsidR="00594C05" w:rsidRPr="00305E0F">
        <w:rPr>
          <w:color w:val="auto"/>
          <w:lang w:val="en-GB"/>
        </w:rPr>
        <w:t>93</w:t>
      </w:r>
      <w:r w:rsidRPr="00305E0F">
        <w:rPr>
          <w:color w:val="auto"/>
          <w:lang w:val="en-GB"/>
        </w:rPr>
        <w:fldChar w:fldCharType="end"/>
      </w:r>
      <w:r w:rsidRPr="00305E0F">
        <w:rPr>
          <w:color w:val="auto"/>
          <w:lang w:val="en-GB"/>
        </w:rPr>
        <w:t xml:space="preserve"> and</w:t>
      </w:r>
      <w:r w:rsidR="00850A5C" w:rsidRPr="00305E0F">
        <w:rPr>
          <w:color w:val="auto"/>
          <w:lang w:val="en-GB"/>
        </w:rPr>
        <w:t xml:space="preserve"> </w:t>
      </w:r>
      <w:r w:rsidRPr="00305E0F">
        <w:rPr>
          <w:color w:val="auto"/>
          <w:lang w:val="en-GB"/>
        </w:rPr>
        <w:fldChar w:fldCharType="begin"/>
      </w:r>
      <w:r w:rsidRPr="00305E0F">
        <w:rPr>
          <w:color w:val="auto"/>
          <w:lang w:val="en-GB"/>
        </w:rPr>
        <w:instrText xml:space="preserve"> REF _Ref215086495 \r \h </w:instrText>
      </w:r>
      <w:r w:rsidRPr="00305E0F">
        <w:rPr>
          <w:color w:val="auto"/>
          <w:lang w:val="en-GB"/>
        </w:rPr>
      </w:r>
      <w:r w:rsidRPr="00305E0F">
        <w:rPr>
          <w:color w:val="auto"/>
          <w:lang w:val="en-GB"/>
        </w:rPr>
        <w:fldChar w:fldCharType="separate"/>
      </w:r>
      <w:r w:rsidR="00594C05" w:rsidRPr="00305E0F">
        <w:rPr>
          <w:color w:val="auto"/>
          <w:lang w:val="en-GB"/>
        </w:rPr>
        <w:t>94</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_Ref215086356 \r \h </w:instrText>
      </w:r>
      <w:r w:rsidRPr="00305E0F">
        <w:rPr>
          <w:color w:val="auto"/>
          <w:lang w:val="en-GB"/>
        </w:rPr>
      </w:r>
      <w:r w:rsidRPr="00305E0F">
        <w:rPr>
          <w:color w:val="auto"/>
          <w:lang w:val="en-GB"/>
        </w:rPr>
        <w:fldChar w:fldCharType="separate"/>
      </w:r>
      <w:r w:rsidR="00594C05" w:rsidRPr="00305E0F">
        <w:rPr>
          <w:color w:val="auto"/>
          <w:lang w:val="en-GB"/>
        </w:rPr>
        <w:t>98</w:t>
      </w:r>
      <w:r w:rsidRPr="00305E0F">
        <w:rPr>
          <w:color w:val="auto"/>
          <w:lang w:val="en-GB"/>
        </w:rPr>
        <w:fldChar w:fldCharType="end"/>
      </w:r>
      <w:r w:rsidR="00850A5C" w:rsidRPr="00305E0F">
        <w:rPr>
          <w:color w:val="auto"/>
          <w:lang w:val="en-GB"/>
        </w:rPr>
        <w:t>-</w:t>
      </w:r>
      <w:r w:rsidRPr="00305E0F">
        <w:rPr>
          <w:color w:val="auto"/>
          <w:lang w:val="en-GB"/>
        </w:rPr>
        <w:fldChar w:fldCharType="begin"/>
      </w:r>
      <w:r w:rsidRPr="00305E0F">
        <w:rPr>
          <w:color w:val="auto"/>
          <w:lang w:val="en-GB"/>
        </w:rPr>
        <w:instrText xml:space="preserve"> REF _Ref215221320 \r \h </w:instrText>
      </w:r>
      <w:r w:rsidRPr="00305E0F">
        <w:rPr>
          <w:color w:val="auto"/>
          <w:lang w:val="en-GB"/>
        </w:rPr>
      </w:r>
      <w:r w:rsidRPr="00305E0F">
        <w:rPr>
          <w:color w:val="auto"/>
          <w:lang w:val="en-GB"/>
        </w:rPr>
        <w:fldChar w:fldCharType="separate"/>
      </w:r>
      <w:r w:rsidR="00594C05" w:rsidRPr="00305E0F">
        <w:rPr>
          <w:color w:val="auto"/>
          <w:lang w:val="en-GB"/>
        </w:rPr>
        <w:t>99</w:t>
      </w:r>
      <w:r w:rsidRPr="00305E0F">
        <w:rPr>
          <w:color w:val="auto"/>
          <w:lang w:val="en-GB"/>
        </w:rPr>
        <w:fldChar w:fldCharType="end"/>
      </w:r>
      <w:r w:rsidRPr="00305E0F">
        <w:rPr>
          <w:color w:val="auto"/>
          <w:lang w:val="en-GB"/>
        </w:rPr>
        <w:t xml:space="preserve"> and</w:t>
      </w:r>
      <w:r w:rsidR="00850A5C"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_Ref215086374 \r \h </w:instrText>
      </w:r>
      <w:r w:rsidRPr="00305E0F">
        <w:rPr>
          <w:color w:val="auto"/>
          <w:lang w:val="en-GB"/>
        </w:rPr>
      </w:r>
      <w:r w:rsidRPr="00305E0F">
        <w:rPr>
          <w:color w:val="auto"/>
          <w:lang w:val="en-GB"/>
        </w:rPr>
        <w:fldChar w:fldCharType="separate"/>
      </w:r>
      <w:r w:rsidR="00594C05" w:rsidRPr="00305E0F">
        <w:rPr>
          <w:color w:val="auto"/>
          <w:lang w:val="en-GB"/>
        </w:rPr>
        <w:t>102</w:t>
      </w:r>
      <w:r w:rsidRPr="00305E0F">
        <w:rPr>
          <w:color w:val="auto"/>
          <w:lang w:val="en-GB"/>
        </w:rPr>
        <w:fldChar w:fldCharType="end"/>
      </w:r>
      <w:r w:rsidRPr="00305E0F">
        <w:rPr>
          <w:color w:val="auto"/>
          <w:lang w:val="en-GB"/>
        </w:rPr>
        <w:t xml:space="preserve">, the LGD values for each exposure used as inputs to the formula for calculating risk-weighted exposure amounts and expected loss shall not be </w:t>
      </w:r>
      <w:r w:rsidR="00850A5C" w:rsidRPr="00305E0F">
        <w:rPr>
          <w:color w:val="auto"/>
          <w:lang w:val="en-GB"/>
        </w:rPr>
        <w:t>less</w:t>
      </w:r>
      <w:r w:rsidRPr="00305E0F">
        <w:rPr>
          <w:color w:val="auto"/>
          <w:lang w:val="en-GB"/>
        </w:rPr>
        <w:t xml:space="preserve"> than the LGD input floor values set out in Table 4 calculated in accordance with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_Ref215233205 \r \h </w:instrText>
      </w:r>
      <w:r w:rsidRPr="00305E0F">
        <w:rPr>
          <w:color w:val="auto"/>
          <w:lang w:val="en-GB"/>
        </w:rPr>
      </w:r>
      <w:r w:rsidRPr="00305E0F">
        <w:rPr>
          <w:color w:val="auto"/>
          <w:lang w:val="en-GB"/>
        </w:rPr>
        <w:fldChar w:fldCharType="separate"/>
      </w:r>
      <w:r w:rsidR="00594C05" w:rsidRPr="00305E0F">
        <w:rPr>
          <w:color w:val="auto"/>
          <w:lang w:val="en-GB"/>
        </w:rPr>
        <w:t>137</w:t>
      </w:r>
      <w:r w:rsidRPr="00305E0F">
        <w:rPr>
          <w:color w:val="auto"/>
          <w:lang w:val="en-GB"/>
        </w:rPr>
        <w:fldChar w:fldCharType="end"/>
      </w:r>
      <w:r w:rsidRPr="00305E0F">
        <w:rPr>
          <w:color w:val="auto"/>
          <w:lang w:val="en-GB"/>
        </w:rPr>
        <w:t>:</w:t>
      </w:r>
      <w:bookmarkEnd w:id="116"/>
    </w:p>
    <w:p w14:paraId="5DB23168" w14:textId="01A117EA" w:rsidR="00EB0050" w:rsidRPr="00305E0F" w:rsidRDefault="00B02122">
      <w:pPr>
        <w:pStyle w:val="P68B1DB1-ListParagraph18"/>
        <w:shd w:val="clear" w:color="auto" w:fill="FFFFFF"/>
        <w:tabs>
          <w:tab w:val="left" w:pos="0"/>
          <w:tab w:val="left" w:pos="567"/>
        </w:tabs>
        <w:spacing w:before="120" w:after="120" w:line="240" w:lineRule="auto"/>
        <w:ind w:left="0"/>
        <w:contextualSpacing w:val="0"/>
        <w:jc w:val="right"/>
        <w:rPr>
          <w:iCs/>
          <w:color w:val="auto"/>
          <w:lang w:val="en-GB"/>
        </w:rPr>
      </w:pPr>
      <w:r w:rsidRPr="00305E0F">
        <w:rPr>
          <w:color w:val="auto"/>
          <w:lang w:val="en-GB"/>
        </w:rPr>
        <w:t>Table 4</w:t>
      </w:r>
    </w:p>
    <w:tbl>
      <w:tblPr>
        <w:tblW w:w="93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0"/>
        <w:gridCol w:w="1192"/>
        <w:gridCol w:w="4274"/>
        <w:gridCol w:w="1192"/>
      </w:tblGrid>
      <w:tr w:rsidR="00305E0F" w:rsidRPr="00305E0F" w14:paraId="128658E6" w14:textId="77777777">
        <w:trPr>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6C5EF914" w14:textId="4C9A9363" w:rsidR="00EB0050" w:rsidRPr="00305E0F" w:rsidRDefault="00850A5C">
            <w:pPr>
              <w:pStyle w:val="tbl-norm"/>
              <w:spacing w:before="60" w:beforeAutospacing="0" w:after="60" w:afterAutospacing="0" w:line="312" w:lineRule="atLeast"/>
              <w:jc w:val="both"/>
              <w:rPr>
                <w:b/>
                <w:bCs/>
                <w:lang w:val="en-GB"/>
              </w:rPr>
            </w:pPr>
            <w:r w:rsidRPr="00305E0F">
              <w:rPr>
                <w:b/>
                <w:lang w:val="en-GB"/>
              </w:rPr>
              <w:t>LGD input floors (LGD</w:t>
            </w:r>
            <w:r w:rsidRPr="00305E0F">
              <w:rPr>
                <w:rStyle w:val="subscript"/>
                <w:b/>
                <w:sz w:val="17"/>
                <w:szCs w:val="17"/>
                <w:vertAlign w:val="subscript"/>
                <w:lang w:val="en-GB"/>
              </w:rPr>
              <w:t xml:space="preserve"> floors</w:t>
            </w:r>
            <w:r w:rsidRPr="00305E0F">
              <w:rPr>
                <w:b/>
                <w:lang w:val="en-GB"/>
              </w:rPr>
              <w:t>) for retail exposures</w:t>
            </w:r>
          </w:p>
        </w:tc>
      </w:tr>
      <w:tr w:rsidR="00305E0F" w:rsidRPr="00305E0F" w14:paraId="0D466138" w14:textId="77777777">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470D20EF" w14:textId="77777777" w:rsidR="00EB0050" w:rsidRPr="00305E0F" w:rsidRDefault="00B02122">
            <w:pPr>
              <w:pStyle w:val="tbl-norm"/>
              <w:spacing w:before="60" w:beforeAutospacing="0" w:after="60" w:afterAutospacing="0" w:line="312" w:lineRule="atLeast"/>
              <w:jc w:val="both"/>
              <w:rPr>
                <w:b/>
                <w:bCs/>
                <w:lang w:val="en-GB"/>
              </w:rPr>
            </w:pPr>
            <w:r w:rsidRPr="00305E0F">
              <w:rPr>
                <w:b/>
                <w:lang w:val="en-GB"/>
              </w:rPr>
              <w:t>Exposure without FCP (LGD</w:t>
            </w:r>
            <w:r w:rsidRPr="00305E0F">
              <w:rPr>
                <w:rStyle w:val="subscript"/>
                <w:b/>
                <w:sz w:val="17"/>
                <w:szCs w:val="17"/>
                <w:vertAlign w:val="subscript"/>
                <w:lang w:val="en-GB"/>
              </w:rPr>
              <w:t xml:space="preserve"> U-floor</w:t>
            </w:r>
            <w:r w:rsidRPr="00305E0F">
              <w:rPr>
                <w:b/>
                <w:lang w:val="en-GB"/>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5DB53F33" w14:textId="77777777" w:rsidR="00EB0050" w:rsidRPr="00305E0F" w:rsidRDefault="00B02122">
            <w:pPr>
              <w:pStyle w:val="tbl-norm"/>
              <w:spacing w:before="60" w:beforeAutospacing="0" w:after="60" w:afterAutospacing="0" w:line="312" w:lineRule="atLeast"/>
              <w:jc w:val="both"/>
              <w:rPr>
                <w:b/>
                <w:bCs/>
                <w:lang w:val="en-GB"/>
              </w:rPr>
            </w:pPr>
            <w:r w:rsidRPr="00305E0F">
              <w:rPr>
                <w:b/>
                <w:lang w:val="en-GB"/>
              </w:rPr>
              <w:t>Exposure secured by an FCP (LGD</w:t>
            </w:r>
            <w:r w:rsidRPr="00305E0F">
              <w:rPr>
                <w:rStyle w:val="subscript"/>
                <w:b/>
                <w:sz w:val="17"/>
                <w:szCs w:val="17"/>
                <w:vertAlign w:val="subscript"/>
                <w:lang w:val="en-GB"/>
              </w:rPr>
              <w:t xml:space="preserve"> S-floor</w:t>
            </w:r>
            <w:r w:rsidRPr="00305E0F">
              <w:rPr>
                <w:b/>
                <w:lang w:val="en-GB"/>
              </w:rPr>
              <w:t>)</w:t>
            </w:r>
          </w:p>
        </w:tc>
      </w:tr>
      <w:tr w:rsidR="00305E0F" w:rsidRPr="00305E0F" w14:paraId="521C9B3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00C6514" w14:textId="77777777" w:rsidR="00EB0050" w:rsidRPr="00305E0F" w:rsidRDefault="00B02122">
            <w:pPr>
              <w:pStyle w:val="tbl-norm"/>
              <w:spacing w:before="0" w:beforeAutospacing="0" w:after="0" w:afterAutospacing="0"/>
              <w:ind w:left="97" w:right="121"/>
              <w:jc w:val="both"/>
              <w:rPr>
                <w:lang w:val="en-GB"/>
              </w:rPr>
            </w:pPr>
            <w:r w:rsidRPr="00305E0F">
              <w:rPr>
                <w:lang w:val="en-GB"/>
              </w:rPr>
              <w:t>Retail exposure secured by residential property</w:t>
            </w:r>
          </w:p>
        </w:tc>
        <w:tc>
          <w:tcPr>
            <w:tcW w:w="0" w:type="auto"/>
            <w:tcBorders>
              <w:top w:val="outset" w:sz="6" w:space="0" w:color="auto"/>
              <w:left w:val="outset" w:sz="6" w:space="0" w:color="auto"/>
              <w:bottom w:val="outset" w:sz="6" w:space="0" w:color="auto"/>
              <w:right w:val="outset" w:sz="6" w:space="0" w:color="auto"/>
            </w:tcBorders>
            <w:hideMark/>
          </w:tcPr>
          <w:p w14:paraId="568E91E5" w14:textId="77777777" w:rsidR="00EB0050" w:rsidRPr="00305E0F" w:rsidRDefault="00B02122">
            <w:pPr>
              <w:pStyle w:val="tbl-norm"/>
              <w:spacing w:before="0" w:beforeAutospacing="0" w:after="0" w:afterAutospacing="0"/>
              <w:rPr>
                <w:lang w:val="en-GB"/>
              </w:rPr>
            </w:pPr>
            <w:r w:rsidRPr="00305E0F">
              <w:rPr>
                <w:lang w:val="en-GB"/>
              </w:rPr>
              <w:t>not applicable</w:t>
            </w:r>
          </w:p>
        </w:tc>
        <w:tc>
          <w:tcPr>
            <w:tcW w:w="0" w:type="auto"/>
            <w:tcBorders>
              <w:top w:val="outset" w:sz="6" w:space="0" w:color="auto"/>
              <w:left w:val="outset" w:sz="6" w:space="0" w:color="auto"/>
              <w:bottom w:val="outset" w:sz="6" w:space="0" w:color="auto"/>
              <w:right w:val="outset" w:sz="6" w:space="0" w:color="auto"/>
            </w:tcBorders>
            <w:hideMark/>
          </w:tcPr>
          <w:p w14:paraId="367FF208" w14:textId="77777777" w:rsidR="00EB0050" w:rsidRPr="00305E0F" w:rsidRDefault="00B02122">
            <w:pPr>
              <w:pStyle w:val="tbl-norm"/>
              <w:spacing w:before="0" w:beforeAutospacing="0" w:after="0" w:afterAutospacing="0"/>
              <w:ind w:left="121" w:right="51"/>
              <w:jc w:val="both"/>
              <w:rPr>
                <w:lang w:val="en-GB"/>
              </w:rPr>
            </w:pPr>
            <w:r w:rsidRPr="00305E0F">
              <w:rPr>
                <w:lang w:val="en-GB"/>
              </w:rPr>
              <w:t>Retail exposure secured by residential property</w:t>
            </w:r>
          </w:p>
        </w:tc>
        <w:tc>
          <w:tcPr>
            <w:tcW w:w="0" w:type="auto"/>
            <w:tcBorders>
              <w:top w:val="outset" w:sz="6" w:space="0" w:color="auto"/>
              <w:left w:val="outset" w:sz="6" w:space="0" w:color="auto"/>
              <w:bottom w:val="outset" w:sz="6" w:space="0" w:color="auto"/>
              <w:right w:val="outset" w:sz="6" w:space="0" w:color="auto"/>
            </w:tcBorders>
            <w:hideMark/>
          </w:tcPr>
          <w:p w14:paraId="6574EFB3" w14:textId="77777777" w:rsidR="00EB0050" w:rsidRPr="00305E0F" w:rsidRDefault="00B02122">
            <w:pPr>
              <w:pStyle w:val="tbl-norm"/>
              <w:spacing w:before="0" w:beforeAutospacing="0" w:after="0" w:afterAutospacing="0"/>
              <w:jc w:val="both"/>
              <w:rPr>
                <w:lang w:val="en-GB"/>
              </w:rPr>
            </w:pPr>
            <w:r w:rsidRPr="00305E0F">
              <w:rPr>
                <w:lang w:val="en-GB"/>
              </w:rPr>
              <w:t>5 %</w:t>
            </w:r>
          </w:p>
        </w:tc>
      </w:tr>
      <w:tr w:rsidR="00305E0F" w:rsidRPr="00305E0F" w14:paraId="5056C26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E7B6A1E" w14:textId="77777777" w:rsidR="00EB0050" w:rsidRPr="00305E0F" w:rsidRDefault="00B02122">
            <w:pPr>
              <w:pStyle w:val="tbl-norm"/>
              <w:spacing w:before="60" w:beforeAutospacing="0" w:after="0" w:afterAutospacing="0"/>
              <w:ind w:firstLine="97"/>
              <w:jc w:val="both"/>
              <w:rPr>
                <w:lang w:val="en-GB"/>
              </w:rPr>
            </w:pPr>
            <w:r w:rsidRPr="00305E0F">
              <w:rPr>
                <w:lang w:val="en-GB"/>
              </w:rPr>
              <w:t>QRRE</w:t>
            </w:r>
          </w:p>
        </w:tc>
        <w:tc>
          <w:tcPr>
            <w:tcW w:w="0" w:type="auto"/>
            <w:tcBorders>
              <w:top w:val="outset" w:sz="6" w:space="0" w:color="auto"/>
              <w:left w:val="outset" w:sz="6" w:space="0" w:color="auto"/>
              <w:bottom w:val="outset" w:sz="6" w:space="0" w:color="auto"/>
              <w:right w:val="outset" w:sz="6" w:space="0" w:color="auto"/>
            </w:tcBorders>
            <w:hideMark/>
          </w:tcPr>
          <w:p w14:paraId="4FA2D245" w14:textId="77777777" w:rsidR="00EB0050" w:rsidRPr="00305E0F" w:rsidRDefault="00B02122">
            <w:pPr>
              <w:pStyle w:val="tbl-norm"/>
              <w:spacing w:before="60" w:beforeAutospacing="0" w:after="0" w:afterAutospacing="0"/>
              <w:jc w:val="both"/>
              <w:rPr>
                <w:lang w:val="en-GB"/>
              </w:rPr>
            </w:pPr>
            <w:r w:rsidRPr="00305E0F">
              <w:rPr>
                <w:lang w:val="en-GB"/>
              </w:rPr>
              <w:t>50 %</w:t>
            </w:r>
          </w:p>
        </w:tc>
        <w:tc>
          <w:tcPr>
            <w:tcW w:w="0" w:type="auto"/>
            <w:tcBorders>
              <w:top w:val="outset" w:sz="6" w:space="0" w:color="auto"/>
              <w:left w:val="outset" w:sz="6" w:space="0" w:color="auto"/>
              <w:bottom w:val="outset" w:sz="6" w:space="0" w:color="auto"/>
              <w:right w:val="outset" w:sz="6" w:space="0" w:color="auto"/>
            </w:tcBorders>
            <w:hideMark/>
          </w:tcPr>
          <w:p w14:paraId="346984F2" w14:textId="77777777" w:rsidR="00EB0050" w:rsidRPr="00305E0F" w:rsidRDefault="00B02122">
            <w:pPr>
              <w:pStyle w:val="tbl-norm"/>
              <w:spacing w:before="60" w:beforeAutospacing="0" w:after="0" w:afterAutospacing="0"/>
              <w:ind w:firstLine="136"/>
              <w:jc w:val="both"/>
              <w:rPr>
                <w:lang w:val="en-GB"/>
              </w:rPr>
            </w:pPr>
            <w:r w:rsidRPr="00305E0F">
              <w:rPr>
                <w:lang w:val="en-GB"/>
              </w:rPr>
              <w:t>QRRE</w:t>
            </w:r>
          </w:p>
        </w:tc>
        <w:tc>
          <w:tcPr>
            <w:tcW w:w="0" w:type="auto"/>
            <w:tcBorders>
              <w:top w:val="outset" w:sz="6" w:space="0" w:color="auto"/>
              <w:left w:val="outset" w:sz="6" w:space="0" w:color="auto"/>
              <w:bottom w:val="outset" w:sz="6" w:space="0" w:color="auto"/>
              <w:right w:val="outset" w:sz="6" w:space="0" w:color="auto"/>
            </w:tcBorders>
            <w:hideMark/>
          </w:tcPr>
          <w:p w14:paraId="4F1E169F" w14:textId="77777777" w:rsidR="00EB0050" w:rsidRPr="00305E0F" w:rsidRDefault="00B02122">
            <w:pPr>
              <w:pStyle w:val="tbl-norm"/>
              <w:spacing w:before="0" w:beforeAutospacing="0" w:after="0" w:afterAutospacing="0"/>
              <w:jc w:val="both"/>
              <w:rPr>
                <w:lang w:val="en-GB"/>
              </w:rPr>
            </w:pPr>
            <w:r w:rsidRPr="00305E0F">
              <w:rPr>
                <w:lang w:val="en-GB"/>
              </w:rPr>
              <w:t>not applicable</w:t>
            </w:r>
          </w:p>
        </w:tc>
      </w:tr>
      <w:tr w:rsidR="00305E0F" w:rsidRPr="00305E0F" w14:paraId="19B95E2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2B6BDD4E" w14:textId="77777777" w:rsidR="00EB0050" w:rsidRPr="00305E0F" w:rsidRDefault="00B02122">
            <w:pPr>
              <w:pStyle w:val="tbl-norm"/>
              <w:spacing w:before="0" w:beforeAutospacing="0" w:after="0" w:afterAutospacing="0"/>
              <w:ind w:left="97"/>
              <w:jc w:val="both"/>
              <w:rPr>
                <w:lang w:val="en-GB"/>
              </w:rPr>
            </w:pPr>
            <w:r w:rsidRPr="00305E0F">
              <w:rPr>
                <w:lang w:val="en-GB"/>
              </w:rPr>
              <w:t>Other retail exposure</w:t>
            </w:r>
          </w:p>
        </w:tc>
        <w:tc>
          <w:tcPr>
            <w:tcW w:w="0" w:type="auto"/>
            <w:vMerge w:val="restart"/>
            <w:tcBorders>
              <w:top w:val="outset" w:sz="6" w:space="0" w:color="auto"/>
              <w:left w:val="outset" w:sz="6" w:space="0" w:color="auto"/>
              <w:bottom w:val="outset" w:sz="6" w:space="0" w:color="auto"/>
              <w:right w:val="outset" w:sz="6" w:space="0" w:color="auto"/>
            </w:tcBorders>
            <w:hideMark/>
          </w:tcPr>
          <w:p w14:paraId="6415B98C" w14:textId="77777777" w:rsidR="00EB0050" w:rsidRPr="00305E0F" w:rsidRDefault="00B02122">
            <w:pPr>
              <w:pStyle w:val="tbl-norm"/>
              <w:spacing w:before="0" w:beforeAutospacing="0" w:after="0" w:afterAutospacing="0"/>
              <w:jc w:val="both"/>
              <w:rPr>
                <w:lang w:val="en-GB"/>
              </w:rPr>
            </w:pPr>
            <w:r w:rsidRPr="00305E0F">
              <w:rPr>
                <w:lang w:val="en-GB"/>
              </w:rPr>
              <w:t>30 %</w:t>
            </w:r>
          </w:p>
        </w:tc>
        <w:tc>
          <w:tcPr>
            <w:tcW w:w="0" w:type="auto"/>
            <w:tcBorders>
              <w:top w:val="outset" w:sz="6" w:space="0" w:color="auto"/>
              <w:left w:val="outset" w:sz="6" w:space="0" w:color="auto"/>
              <w:bottom w:val="outset" w:sz="6" w:space="0" w:color="auto"/>
              <w:right w:val="outset" w:sz="6" w:space="0" w:color="auto"/>
            </w:tcBorders>
            <w:hideMark/>
          </w:tcPr>
          <w:p w14:paraId="307C2340" w14:textId="77777777" w:rsidR="00EB0050" w:rsidRPr="00305E0F" w:rsidRDefault="00B02122">
            <w:pPr>
              <w:pStyle w:val="tbl-norm"/>
              <w:spacing w:before="0" w:beforeAutospacing="0" w:after="0" w:afterAutospacing="0"/>
              <w:ind w:left="76" w:right="51"/>
              <w:jc w:val="both"/>
              <w:rPr>
                <w:lang w:val="en-GB"/>
              </w:rPr>
            </w:pPr>
            <w:r w:rsidRPr="00305E0F">
              <w:rPr>
                <w:lang w:val="en-GB"/>
              </w:rPr>
              <w:t>Other retail exposure secured by financial collateral</w:t>
            </w:r>
          </w:p>
        </w:tc>
        <w:tc>
          <w:tcPr>
            <w:tcW w:w="0" w:type="auto"/>
            <w:tcBorders>
              <w:top w:val="outset" w:sz="6" w:space="0" w:color="auto"/>
              <w:left w:val="outset" w:sz="6" w:space="0" w:color="auto"/>
              <w:bottom w:val="outset" w:sz="6" w:space="0" w:color="auto"/>
              <w:right w:val="outset" w:sz="6" w:space="0" w:color="auto"/>
            </w:tcBorders>
            <w:hideMark/>
          </w:tcPr>
          <w:p w14:paraId="25611D9A" w14:textId="77777777" w:rsidR="00EB0050" w:rsidRPr="00305E0F" w:rsidRDefault="00B02122">
            <w:pPr>
              <w:pStyle w:val="tbl-norm"/>
              <w:spacing w:before="0" w:beforeAutospacing="0" w:after="0" w:afterAutospacing="0"/>
              <w:jc w:val="both"/>
              <w:rPr>
                <w:lang w:val="en-GB"/>
              </w:rPr>
            </w:pPr>
            <w:r w:rsidRPr="00305E0F">
              <w:rPr>
                <w:lang w:val="en-GB"/>
              </w:rPr>
              <w:t>0 %</w:t>
            </w:r>
          </w:p>
        </w:tc>
      </w:tr>
      <w:tr w:rsidR="00305E0F" w:rsidRPr="00305E0F" w14:paraId="1B7C8CD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5D193D" w14:textId="77777777" w:rsidR="00EB0050" w:rsidRPr="00305E0F" w:rsidRDefault="00EB0050">
            <w:pPr>
              <w:spacing w:after="0" w:line="240" w:lineRule="auto"/>
              <w:rPr>
                <w:sz w:val="24"/>
                <w:szCs w:val="24"/>
                <w:lang w:val="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9E1FA9" w14:textId="77777777" w:rsidR="00EB0050" w:rsidRPr="00305E0F" w:rsidRDefault="00EB0050">
            <w:pPr>
              <w:spacing w:after="0" w:line="240" w:lineRule="auto"/>
              <w:rPr>
                <w:sz w:val="24"/>
                <w:szCs w:val="24"/>
                <w:lang w:val="en-GB"/>
              </w:rPr>
            </w:pPr>
          </w:p>
        </w:tc>
        <w:tc>
          <w:tcPr>
            <w:tcW w:w="0" w:type="auto"/>
            <w:tcBorders>
              <w:top w:val="outset" w:sz="6" w:space="0" w:color="auto"/>
              <w:left w:val="outset" w:sz="6" w:space="0" w:color="auto"/>
              <w:bottom w:val="outset" w:sz="6" w:space="0" w:color="auto"/>
              <w:right w:val="outset" w:sz="6" w:space="0" w:color="auto"/>
            </w:tcBorders>
            <w:hideMark/>
          </w:tcPr>
          <w:p w14:paraId="523182D1" w14:textId="77777777" w:rsidR="00EB0050" w:rsidRPr="00305E0F" w:rsidRDefault="00B02122">
            <w:pPr>
              <w:pStyle w:val="tbl-norm"/>
              <w:spacing w:before="0" w:beforeAutospacing="0" w:after="0" w:afterAutospacing="0"/>
              <w:ind w:left="76" w:right="66" w:firstLine="15"/>
              <w:jc w:val="both"/>
              <w:rPr>
                <w:lang w:val="en-GB"/>
              </w:rPr>
            </w:pPr>
            <w:r w:rsidRPr="00305E0F">
              <w:rPr>
                <w:lang w:val="en-GB"/>
              </w:rPr>
              <w:t>Other retail exposure secured by receivables</w:t>
            </w:r>
          </w:p>
        </w:tc>
        <w:tc>
          <w:tcPr>
            <w:tcW w:w="0" w:type="auto"/>
            <w:tcBorders>
              <w:top w:val="outset" w:sz="6" w:space="0" w:color="auto"/>
              <w:left w:val="outset" w:sz="6" w:space="0" w:color="auto"/>
              <w:bottom w:val="outset" w:sz="6" w:space="0" w:color="auto"/>
              <w:right w:val="outset" w:sz="6" w:space="0" w:color="auto"/>
            </w:tcBorders>
            <w:hideMark/>
          </w:tcPr>
          <w:p w14:paraId="50745F65" w14:textId="77777777" w:rsidR="00EB0050" w:rsidRPr="00305E0F" w:rsidRDefault="00B02122">
            <w:pPr>
              <w:pStyle w:val="tbl-norm"/>
              <w:spacing w:before="0" w:beforeAutospacing="0" w:after="0" w:afterAutospacing="0"/>
              <w:jc w:val="both"/>
              <w:rPr>
                <w:lang w:val="en-GB"/>
              </w:rPr>
            </w:pPr>
            <w:r w:rsidRPr="00305E0F">
              <w:rPr>
                <w:lang w:val="en-GB"/>
              </w:rPr>
              <w:t>10 %</w:t>
            </w:r>
          </w:p>
        </w:tc>
      </w:tr>
      <w:tr w:rsidR="00305E0F" w:rsidRPr="00305E0F" w14:paraId="4AD06B5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34FF10" w14:textId="77777777" w:rsidR="00EB0050" w:rsidRPr="00305E0F" w:rsidRDefault="00EB0050">
            <w:pPr>
              <w:spacing w:after="0" w:line="240" w:lineRule="auto"/>
              <w:rPr>
                <w:sz w:val="24"/>
                <w:szCs w:val="24"/>
                <w:lang w:val="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29B731" w14:textId="77777777" w:rsidR="00EB0050" w:rsidRPr="00305E0F" w:rsidRDefault="00EB0050">
            <w:pPr>
              <w:spacing w:after="0" w:line="240" w:lineRule="auto"/>
              <w:rPr>
                <w:sz w:val="24"/>
                <w:szCs w:val="24"/>
                <w:lang w:val="en-GB"/>
              </w:rPr>
            </w:pPr>
          </w:p>
        </w:tc>
        <w:tc>
          <w:tcPr>
            <w:tcW w:w="0" w:type="auto"/>
            <w:tcBorders>
              <w:top w:val="outset" w:sz="6" w:space="0" w:color="auto"/>
              <w:left w:val="outset" w:sz="6" w:space="0" w:color="auto"/>
              <w:bottom w:val="outset" w:sz="6" w:space="0" w:color="auto"/>
              <w:right w:val="outset" w:sz="6" w:space="0" w:color="auto"/>
            </w:tcBorders>
            <w:hideMark/>
          </w:tcPr>
          <w:p w14:paraId="6B65BD59" w14:textId="2F4964DE" w:rsidR="00EB0050" w:rsidRPr="00305E0F" w:rsidRDefault="00850A5C">
            <w:pPr>
              <w:pStyle w:val="tbl-norm"/>
              <w:spacing w:before="0" w:beforeAutospacing="0" w:after="0" w:afterAutospacing="0"/>
              <w:ind w:left="76" w:right="66" w:firstLine="15"/>
              <w:jc w:val="both"/>
              <w:rPr>
                <w:lang w:val="en-GB"/>
              </w:rPr>
            </w:pPr>
            <w:r w:rsidRPr="00305E0F">
              <w:rPr>
                <w:lang w:val="en-GB"/>
              </w:rPr>
              <w:t>Other retail exposure secured by residential property or commercial immovable property</w:t>
            </w:r>
          </w:p>
        </w:tc>
        <w:tc>
          <w:tcPr>
            <w:tcW w:w="0" w:type="auto"/>
            <w:tcBorders>
              <w:top w:val="outset" w:sz="6" w:space="0" w:color="auto"/>
              <w:left w:val="outset" w:sz="6" w:space="0" w:color="auto"/>
              <w:bottom w:val="outset" w:sz="6" w:space="0" w:color="auto"/>
              <w:right w:val="outset" w:sz="6" w:space="0" w:color="auto"/>
            </w:tcBorders>
            <w:hideMark/>
          </w:tcPr>
          <w:p w14:paraId="391DE469" w14:textId="77777777" w:rsidR="00EB0050" w:rsidRPr="00305E0F" w:rsidRDefault="00B02122">
            <w:pPr>
              <w:pStyle w:val="tbl-norm"/>
              <w:spacing w:before="0" w:beforeAutospacing="0" w:after="0" w:afterAutospacing="0"/>
              <w:jc w:val="both"/>
              <w:rPr>
                <w:lang w:val="en-GB"/>
              </w:rPr>
            </w:pPr>
            <w:r w:rsidRPr="00305E0F">
              <w:rPr>
                <w:lang w:val="en-GB"/>
              </w:rPr>
              <w:t>10 %</w:t>
            </w:r>
          </w:p>
        </w:tc>
      </w:tr>
      <w:tr w:rsidR="00305E0F" w:rsidRPr="00305E0F" w14:paraId="4A9BD79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277E4" w14:textId="77777777" w:rsidR="00EB0050" w:rsidRPr="00305E0F" w:rsidRDefault="00EB0050">
            <w:pPr>
              <w:spacing w:after="0" w:line="240" w:lineRule="auto"/>
              <w:rPr>
                <w:sz w:val="24"/>
                <w:szCs w:val="24"/>
                <w:lang w:val="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E41C4" w14:textId="77777777" w:rsidR="00EB0050" w:rsidRPr="00305E0F" w:rsidRDefault="00EB0050">
            <w:pPr>
              <w:spacing w:after="0" w:line="240" w:lineRule="auto"/>
              <w:rPr>
                <w:sz w:val="24"/>
                <w:szCs w:val="24"/>
                <w:lang w:val="en-GB"/>
              </w:rPr>
            </w:pPr>
          </w:p>
        </w:tc>
        <w:tc>
          <w:tcPr>
            <w:tcW w:w="0" w:type="auto"/>
            <w:tcBorders>
              <w:top w:val="outset" w:sz="6" w:space="0" w:color="auto"/>
              <w:left w:val="outset" w:sz="6" w:space="0" w:color="auto"/>
              <w:bottom w:val="outset" w:sz="6" w:space="0" w:color="auto"/>
              <w:right w:val="outset" w:sz="6" w:space="0" w:color="auto"/>
            </w:tcBorders>
            <w:hideMark/>
          </w:tcPr>
          <w:p w14:paraId="051DD12D" w14:textId="00213400" w:rsidR="00EB0050" w:rsidRPr="00305E0F" w:rsidRDefault="00B02122">
            <w:pPr>
              <w:pStyle w:val="tbl-norm"/>
              <w:spacing w:before="0" w:beforeAutospacing="0" w:after="0" w:afterAutospacing="0"/>
              <w:ind w:left="76" w:right="66" w:firstLine="15"/>
              <w:jc w:val="both"/>
              <w:rPr>
                <w:lang w:val="en-GB"/>
              </w:rPr>
            </w:pPr>
            <w:r w:rsidRPr="00305E0F">
              <w:rPr>
                <w:lang w:val="en-GB"/>
              </w:rPr>
              <w:t>Other retail exposure secured by other physical collateral</w:t>
            </w:r>
            <w:r w:rsidR="00850A5C" w:rsidRPr="00305E0F">
              <w:rPr>
                <w:lang w:val="en-GB"/>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3EE5E12" w14:textId="77777777" w:rsidR="00EB0050" w:rsidRPr="00305E0F" w:rsidRDefault="00B02122">
            <w:pPr>
              <w:pStyle w:val="tbl-norm"/>
              <w:spacing w:before="0" w:beforeAutospacing="0" w:after="0" w:afterAutospacing="0"/>
              <w:jc w:val="both"/>
              <w:rPr>
                <w:lang w:val="en-GB"/>
              </w:rPr>
            </w:pPr>
            <w:r w:rsidRPr="00305E0F">
              <w:rPr>
                <w:lang w:val="en-GB"/>
              </w:rPr>
              <w:t>15 %</w:t>
            </w:r>
          </w:p>
        </w:tc>
      </w:tr>
    </w:tbl>
    <w:p w14:paraId="334D1216" w14:textId="14D48545" w:rsidR="00EB0050" w:rsidRPr="00305E0F" w:rsidRDefault="00B02122">
      <w:pPr>
        <w:pStyle w:val="P68B1DB1-ListParagraph8"/>
        <w:numPr>
          <w:ilvl w:val="0"/>
          <w:numId w:val="2"/>
        </w:numPr>
        <w:shd w:val="clear" w:color="auto" w:fill="FFFFFF"/>
        <w:tabs>
          <w:tab w:val="left" w:pos="0"/>
          <w:tab w:val="left" w:pos="567"/>
        </w:tabs>
        <w:spacing w:before="120" w:after="0" w:line="240" w:lineRule="auto"/>
        <w:ind w:firstLine="567"/>
        <w:contextualSpacing w:val="0"/>
        <w:jc w:val="both"/>
        <w:rPr>
          <w:color w:val="auto"/>
          <w:lang w:val="en-GB"/>
        </w:rPr>
      </w:pPr>
      <w:bookmarkStart w:id="117" w:name="_Ref215233205"/>
      <w:r w:rsidRPr="00305E0F">
        <w:rPr>
          <w:color w:val="auto"/>
          <w:lang w:val="en-GB"/>
        </w:rPr>
        <w:t>For the purposes of paragraph</w:t>
      </w:r>
      <w:r w:rsidR="00850A5C" w:rsidRPr="00305E0F">
        <w:rPr>
          <w:color w:val="auto"/>
          <w:lang w:val="en-GB"/>
        </w:rPr>
        <w:t xml:space="preserve"> </w:t>
      </w:r>
      <w:r w:rsidRPr="00305E0F">
        <w:rPr>
          <w:color w:val="auto"/>
          <w:lang w:val="en-GB"/>
        </w:rPr>
        <w:fldChar w:fldCharType="begin"/>
      </w:r>
      <w:r w:rsidRPr="00305E0F">
        <w:rPr>
          <w:color w:val="auto"/>
          <w:lang w:val="en-GB"/>
        </w:rPr>
        <w:instrText xml:space="preserve"> REF _Ref215230992 \r \h </w:instrText>
      </w:r>
      <w:r w:rsidRPr="00305E0F">
        <w:rPr>
          <w:color w:val="auto"/>
          <w:lang w:val="en-GB"/>
        </w:rPr>
      </w:r>
      <w:r w:rsidRPr="00305E0F">
        <w:rPr>
          <w:color w:val="auto"/>
          <w:lang w:val="en-GB"/>
        </w:rPr>
        <w:fldChar w:fldCharType="separate"/>
      </w:r>
      <w:r w:rsidR="00594C05" w:rsidRPr="00305E0F">
        <w:rPr>
          <w:color w:val="auto"/>
          <w:lang w:val="en-GB"/>
        </w:rPr>
        <w:t>136</w:t>
      </w:r>
      <w:r w:rsidRPr="00305E0F">
        <w:rPr>
          <w:color w:val="auto"/>
          <w:lang w:val="en-GB"/>
        </w:rPr>
        <w:fldChar w:fldCharType="end"/>
      </w:r>
      <w:r w:rsidRPr="00305E0F">
        <w:rPr>
          <w:color w:val="auto"/>
          <w:lang w:val="en-GB"/>
        </w:rPr>
        <w:t>, the following shall apply:</w:t>
      </w:r>
      <w:bookmarkEnd w:id="117"/>
    </w:p>
    <w:p w14:paraId="7038BCDA" w14:textId="1D2A9B9C"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LGD input floors in Table 4 shall apply to exposures secured by funded credit protection where the funded credit protection is eligible under this Regulation;</w:t>
      </w:r>
    </w:p>
    <w:p w14:paraId="184004CE" w14:textId="15B75F4E"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With the exception of retail exposures secured by residential property, the LGD input floors in Table 4 shall apply to exposures fully secured by funded credit protection where the value of the </w:t>
      </w:r>
      <w:r w:rsidR="00BF4E17" w:rsidRPr="00305E0F">
        <w:rPr>
          <w:color w:val="auto"/>
          <w:lang w:val="en-GB"/>
        </w:rPr>
        <w:t>FCP</w:t>
      </w:r>
      <w:r w:rsidRPr="00305E0F">
        <w:rPr>
          <w:color w:val="auto"/>
          <w:lang w:val="en-GB"/>
        </w:rPr>
        <w:t xml:space="preserve">, after the application of the relevant volatility adjustments in accordance with </w:t>
      </w:r>
      <w:r w:rsidRPr="00305E0F">
        <w:rPr>
          <w:color w:val="auto"/>
          <w:lang w:val="en-GB"/>
        </w:rPr>
        <w:lastRenderedPageBreak/>
        <w:t>paragraphs 107</w:t>
      </w:r>
      <w:r w:rsidRPr="00305E0F">
        <w:rPr>
          <w:color w:val="auto"/>
          <w:vertAlign w:val="superscript"/>
          <w:lang w:val="en-GB"/>
        </w:rPr>
        <w:t>6</w:t>
      </w:r>
      <w:r w:rsidR="00BF4E17" w:rsidRPr="00305E0F">
        <w:rPr>
          <w:color w:val="auto"/>
          <w:vertAlign w:val="superscript"/>
          <w:lang w:val="en-GB"/>
        </w:rPr>
        <w:t xml:space="preserve"> </w:t>
      </w:r>
      <w:r w:rsidRPr="00305E0F">
        <w:rPr>
          <w:color w:val="auto"/>
          <w:lang w:val="en-GB"/>
        </w:rPr>
        <w:t>to 107</w:t>
      </w:r>
      <w:r w:rsidRPr="00305E0F">
        <w:rPr>
          <w:color w:val="auto"/>
          <w:vertAlign w:val="superscript"/>
          <w:lang w:val="en-GB"/>
        </w:rPr>
        <w:t>10</w:t>
      </w:r>
      <w:r w:rsidRPr="00305E0F">
        <w:rPr>
          <w:color w:val="auto"/>
          <w:lang w:val="en-GB"/>
        </w:rPr>
        <w:t xml:space="preserve"> of Regulation </w:t>
      </w:r>
      <w:r w:rsidR="00BF4E17" w:rsidRPr="00305E0F">
        <w:rPr>
          <w:color w:val="auto"/>
          <w:lang w:val="en-GB"/>
        </w:rPr>
        <w:t xml:space="preserve">No </w:t>
      </w:r>
      <w:r w:rsidRPr="00305E0F">
        <w:rPr>
          <w:color w:val="auto"/>
          <w:lang w:val="en-GB"/>
        </w:rPr>
        <w:t>112</w:t>
      </w:r>
      <w:r w:rsidR="00BF4E17" w:rsidRPr="00305E0F">
        <w:rPr>
          <w:color w:val="auto"/>
          <w:lang w:val="en-GB"/>
        </w:rPr>
        <w:t>/2018</w:t>
      </w:r>
      <w:r w:rsidRPr="00305E0F">
        <w:rPr>
          <w:color w:val="auto"/>
          <w:lang w:val="en-GB"/>
        </w:rPr>
        <w:t>, equals or exceeds the value of the underlying exposure; for the purpose of applying the relevant related adjustments, H</w:t>
      </w:r>
      <w:r w:rsidRPr="00305E0F">
        <w:rPr>
          <w:color w:val="auto"/>
          <w:vertAlign w:val="subscript"/>
          <w:lang w:val="en-GB"/>
        </w:rPr>
        <w:t>c</w:t>
      </w:r>
      <w:r w:rsidRPr="00305E0F">
        <w:rPr>
          <w:color w:val="auto"/>
          <w:lang w:val="en-GB"/>
        </w:rPr>
        <w:t xml:space="preserve"> and H</w:t>
      </w:r>
      <w:r w:rsidRPr="00305E0F">
        <w:rPr>
          <w:color w:val="auto"/>
          <w:vertAlign w:val="subscript"/>
          <w:lang w:val="en-GB"/>
        </w:rPr>
        <w:t>fx</w:t>
      </w:r>
      <w:r w:rsidRPr="00305E0F">
        <w:rPr>
          <w:color w:val="auto"/>
          <w:lang w:val="en-GB"/>
        </w:rPr>
        <w:t>, in accordance with paragraphs 107</w:t>
      </w:r>
      <w:r w:rsidRPr="00305E0F">
        <w:rPr>
          <w:color w:val="auto"/>
          <w:vertAlign w:val="superscript"/>
          <w:lang w:val="en-GB"/>
        </w:rPr>
        <w:t>6</w:t>
      </w:r>
      <w:r w:rsidR="00BF4E17" w:rsidRPr="00305E0F">
        <w:rPr>
          <w:color w:val="auto"/>
          <w:vertAlign w:val="superscript"/>
          <w:lang w:val="en-GB"/>
        </w:rPr>
        <w:t xml:space="preserve"> </w:t>
      </w:r>
      <w:r w:rsidRPr="00305E0F">
        <w:rPr>
          <w:color w:val="auto"/>
          <w:lang w:val="en-GB"/>
        </w:rPr>
        <w:t>to 107</w:t>
      </w:r>
      <w:r w:rsidRPr="00305E0F">
        <w:rPr>
          <w:color w:val="auto"/>
          <w:vertAlign w:val="superscript"/>
          <w:lang w:val="en-GB"/>
        </w:rPr>
        <w:t>10</w:t>
      </w:r>
      <w:r w:rsidRPr="00305E0F">
        <w:rPr>
          <w:color w:val="auto"/>
          <w:lang w:val="en-GB"/>
        </w:rPr>
        <w:t xml:space="preserve"> of Regulation </w:t>
      </w:r>
      <w:r w:rsidR="00BF4E17" w:rsidRPr="00305E0F">
        <w:rPr>
          <w:color w:val="auto"/>
          <w:lang w:val="en-GB"/>
        </w:rPr>
        <w:t>No 112/2018</w:t>
      </w:r>
      <w:r w:rsidRPr="00305E0F">
        <w:rPr>
          <w:color w:val="auto"/>
          <w:lang w:val="en-GB"/>
        </w:rPr>
        <w:t>, funded credit protection shall be eligible under this Regulation;</w:t>
      </w:r>
    </w:p>
    <w:p w14:paraId="2BBC9C9A" w14:textId="31DF0CBF"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With the exception of retail exposures secured by residential property, the LGD</w:t>
      </w:r>
      <w:r w:rsidR="00FD753A" w:rsidRPr="00305E0F">
        <w:rPr>
          <w:color w:val="auto"/>
          <w:lang w:val="en-GB"/>
        </w:rPr>
        <w:t xml:space="preserve"> input</w:t>
      </w:r>
      <w:r w:rsidRPr="00305E0F">
        <w:rPr>
          <w:color w:val="auto"/>
          <w:lang w:val="en-GB"/>
        </w:rPr>
        <w:t xml:space="preserve"> floor applicable to an exposure partially secured by funded credit protection shall be calculated in accordance with the formula set out in </w:t>
      </w:r>
      <w:r w:rsidR="00704220" w:rsidRPr="00305E0F">
        <w:rPr>
          <w:color w:val="auto"/>
          <w:lang w:val="en-GB"/>
        </w:rPr>
        <w:t>paragraph</w:t>
      </w:r>
      <w:r w:rsidRPr="00305E0F">
        <w:rPr>
          <w:color w:val="auto"/>
          <w:lang w:val="en-GB"/>
        </w:rPr>
        <w:t xml:space="preserve">s </w:t>
      </w:r>
      <w:r w:rsidRPr="00305E0F">
        <w:rPr>
          <w:color w:val="auto"/>
          <w:lang w:val="en-GB"/>
        </w:rPr>
        <w:fldChar w:fldCharType="begin"/>
      </w:r>
      <w:r w:rsidRPr="00305E0F">
        <w:rPr>
          <w:color w:val="auto"/>
          <w:lang w:val="en-GB"/>
        </w:rPr>
        <w:instrText xml:space="preserve"> REF _Ref215221786 \r \h </w:instrText>
      </w:r>
      <w:r w:rsidRPr="00305E0F">
        <w:rPr>
          <w:color w:val="auto"/>
          <w:lang w:val="en-GB"/>
        </w:rPr>
      </w:r>
      <w:r w:rsidRPr="00305E0F">
        <w:rPr>
          <w:color w:val="auto"/>
          <w:lang w:val="en-GB"/>
        </w:rPr>
        <w:fldChar w:fldCharType="separate"/>
      </w:r>
      <w:r w:rsidR="00594C05" w:rsidRPr="00305E0F">
        <w:rPr>
          <w:color w:val="auto"/>
          <w:lang w:val="en-GB"/>
        </w:rPr>
        <w:t>119</w:t>
      </w:r>
      <w:r w:rsidRPr="00305E0F">
        <w:rPr>
          <w:color w:val="auto"/>
          <w:lang w:val="en-GB"/>
        </w:rPr>
        <w:fldChar w:fldCharType="end"/>
      </w:r>
      <w:r w:rsidR="00FD753A" w:rsidRPr="00305E0F">
        <w:rPr>
          <w:color w:val="auto"/>
          <w:lang w:val="en-GB"/>
        </w:rPr>
        <w:t>-</w:t>
      </w:r>
      <w:r w:rsidRPr="00305E0F">
        <w:rPr>
          <w:color w:val="auto"/>
          <w:lang w:val="en-GB"/>
        </w:rPr>
        <w:fldChar w:fldCharType="begin"/>
      </w:r>
      <w:r w:rsidRPr="00305E0F">
        <w:rPr>
          <w:color w:val="auto"/>
          <w:lang w:val="en-GB"/>
        </w:rPr>
        <w:instrText xml:space="preserve"> REF _Ref215221791 \r \h </w:instrText>
      </w:r>
      <w:r w:rsidRPr="00305E0F">
        <w:rPr>
          <w:color w:val="auto"/>
          <w:lang w:val="en-GB"/>
        </w:rPr>
      </w:r>
      <w:r w:rsidRPr="00305E0F">
        <w:rPr>
          <w:color w:val="auto"/>
          <w:lang w:val="en-GB"/>
        </w:rPr>
        <w:fldChar w:fldCharType="separate"/>
      </w:r>
      <w:r w:rsidR="00594C05" w:rsidRPr="00305E0F">
        <w:rPr>
          <w:color w:val="auto"/>
          <w:lang w:val="en-GB"/>
        </w:rPr>
        <w:t>121</w:t>
      </w:r>
      <w:r w:rsidRPr="00305E0F">
        <w:rPr>
          <w:color w:val="auto"/>
          <w:lang w:val="en-GB"/>
        </w:rPr>
        <w:fldChar w:fldCharType="end"/>
      </w:r>
      <w:r w:rsidRPr="00305E0F">
        <w:rPr>
          <w:color w:val="auto"/>
          <w:lang w:val="en-GB"/>
        </w:rPr>
        <w:t>;</w:t>
      </w:r>
    </w:p>
    <w:p w14:paraId="3C701CFF" w14:textId="743B4572"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For retail exposures secured by residential property, the applicable LGD</w:t>
      </w:r>
      <w:r w:rsidR="00FD753A" w:rsidRPr="00305E0F">
        <w:rPr>
          <w:color w:val="auto"/>
          <w:lang w:val="en-GB"/>
        </w:rPr>
        <w:t xml:space="preserve"> input</w:t>
      </w:r>
      <w:r w:rsidRPr="00305E0F">
        <w:rPr>
          <w:color w:val="auto"/>
          <w:lang w:val="en-GB"/>
        </w:rPr>
        <w:t xml:space="preserve"> floor shall be set at 5 % irrespective of the level of collateral provided by the residential property.</w:t>
      </w:r>
    </w:p>
    <w:p w14:paraId="7C58F5A6" w14:textId="2A00DFC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18" w:name="_Ref215233775"/>
      <w:r w:rsidRPr="00305E0F">
        <w:rPr>
          <w:color w:val="auto"/>
          <w:lang w:val="en-GB"/>
        </w:rPr>
        <w:t>Based on the data collected pursuant to Annex</w:t>
      </w:r>
      <w:r w:rsidR="00FD753A" w:rsidRPr="00305E0F">
        <w:rPr>
          <w:color w:val="auto"/>
          <w:lang w:val="en-GB"/>
        </w:rPr>
        <w:t xml:space="preserve"> 2</w:t>
      </w:r>
      <w:r w:rsidRPr="00305E0F">
        <w:rPr>
          <w:color w:val="auto"/>
          <w:vertAlign w:val="superscript"/>
          <w:lang w:val="en-GB"/>
        </w:rPr>
        <w:t>1</w:t>
      </w:r>
      <w:r w:rsidRPr="00305E0F">
        <w:rPr>
          <w:color w:val="auto"/>
          <w:lang w:val="en-GB"/>
        </w:rPr>
        <w:t xml:space="preserve"> of Regulation </w:t>
      </w:r>
      <w:r w:rsidR="00594C05" w:rsidRPr="00305E0F">
        <w:rPr>
          <w:color w:val="auto"/>
          <w:lang w:val="en-GB"/>
        </w:rPr>
        <w:t xml:space="preserve">No </w:t>
      </w:r>
      <w:r w:rsidRPr="00305E0F">
        <w:rPr>
          <w:color w:val="auto"/>
          <w:lang w:val="en-GB"/>
        </w:rPr>
        <w:t xml:space="preserve">111/2018 and any other relevant indicators, and taking into account the prospects for the evolution of real estate markets, the National Bank of Moldova shall periodically, at least annually, assess whether the LGD </w:t>
      </w:r>
      <w:r w:rsidR="00FD753A" w:rsidRPr="00305E0F">
        <w:rPr>
          <w:color w:val="auto"/>
          <w:lang w:val="en-GB"/>
        </w:rPr>
        <w:t xml:space="preserve">input </w:t>
      </w:r>
      <w:r w:rsidRPr="00305E0F">
        <w:rPr>
          <w:color w:val="auto"/>
          <w:lang w:val="en-GB"/>
        </w:rPr>
        <w:t xml:space="preserve">floor values set out in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_Ref215230992 \r \h </w:instrText>
      </w:r>
      <w:r w:rsidRPr="00305E0F">
        <w:rPr>
          <w:color w:val="auto"/>
          <w:lang w:val="en-GB"/>
        </w:rPr>
      </w:r>
      <w:r w:rsidRPr="00305E0F">
        <w:rPr>
          <w:color w:val="auto"/>
          <w:lang w:val="en-GB"/>
        </w:rPr>
        <w:fldChar w:fldCharType="separate"/>
      </w:r>
      <w:r w:rsidR="00594C05" w:rsidRPr="00305E0F">
        <w:rPr>
          <w:color w:val="auto"/>
          <w:lang w:val="en-GB"/>
        </w:rPr>
        <w:t>136</w:t>
      </w:r>
      <w:r w:rsidRPr="00305E0F">
        <w:rPr>
          <w:color w:val="auto"/>
          <w:lang w:val="en-GB"/>
        </w:rPr>
        <w:fldChar w:fldCharType="end"/>
      </w:r>
      <w:r w:rsidRPr="00305E0F">
        <w:rPr>
          <w:color w:val="auto"/>
          <w:lang w:val="en-GB"/>
        </w:rPr>
        <w:t xml:space="preserve"> are appropriate for retail exposures secured by residential property or other retail exposures secured by residential or commercial immovable property located in the territory of the Republic of Moldova.</w:t>
      </w:r>
      <w:bookmarkEnd w:id="118"/>
    </w:p>
    <w:p w14:paraId="1B952CA1" w14:textId="606BFED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19" w:name="_Ref215234124"/>
      <w:r w:rsidRPr="00305E0F">
        <w:rPr>
          <w:color w:val="auto"/>
          <w:lang w:val="en-GB"/>
        </w:rPr>
        <w:t>Where, based on the assessment referred to in paragraph</w:t>
      </w:r>
      <w:r w:rsidR="00FD753A" w:rsidRPr="00305E0F">
        <w:rPr>
          <w:color w:val="auto"/>
          <w:lang w:val="en-GB"/>
        </w:rPr>
        <w:t xml:space="preserve"> </w:t>
      </w:r>
      <w:r w:rsidRPr="00305E0F">
        <w:rPr>
          <w:color w:val="auto"/>
          <w:lang w:val="en-GB"/>
        </w:rPr>
        <w:fldChar w:fldCharType="begin"/>
      </w:r>
      <w:r w:rsidRPr="00305E0F">
        <w:rPr>
          <w:color w:val="auto"/>
          <w:lang w:val="en-GB"/>
        </w:rPr>
        <w:instrText xml:space="preserve"> REF _Ref215233775 \r \h </w:instrText>
      </w:r>
      <w:r w:rsidRPr="00305E0F">
        <w:rPr>
          <w:color w:val="auto"/>
          <w:lang w:val="en-GB"/>
        </w:rPr>
      </w:r>
      <w:r w:rsidRPr="00305E0F">
        <w:rPr>
          <w:color w:val="auto"/>
          <w:lang w:val="en-GB"/>
        </w:rPr>
        <w:fldChar w:fldCharType="separate"/>
      </w:r>
      <w:r w:rsidR="00594C05" w:rsidRPr="00305E0F">
        <w:rPr>
          <w:color w:val="auto"/>
          <w:lang w:val="en-GB"/>
        </w:rPr>
        <w:t>138</w:t>
      </w:r>
      <w:r w:rsidRPr="00305E0F">
        <w:rPr>
          <w:color w:val="auto"/>
          <w:lang w:val="en-GB"/>
        </w:rPr>
        <w:fldChar w:fldCharType="end"/>
      </w:r>
      <w:r w:rsidRPr="00305E0F">
        <w:rPr>
          <w:color w:val="auto"/>
          <w:lang w:val="en-GB"/>
        </w:rPr>
        <w:t>, the National Bank of Moldova concludes that the LGD input floor values referred to in paragraph</w:t>
      </w:r>
      <w:r w:rsidR="00FD753A" w:rsidRPr="00305E0F">
        <w:rPr>
          <w:color w:val="auto"/>
          <w:lang w:val="en-GB"/>
        </w:rPr>
        <w:t xml:space="preserve"> </w:t>
      </w:r>
      <w:r w:rsidR="00FD753A" w:rsidRPr="00305E0F">
        <w:rPr>
          <w:color w:val="auto"/>
          <w:lang w:val="en-GB"/>
        </w:rPr>
        <w:fldChar w:fldCharType="begin"/>
      </w:r>
      <w:r w:rsidR="00FD753A" w:rsidRPr="00305E0F">
        <w:rPr>
          <w:color w:val="auto"/>
          <w:lang w:val="en-GB"/>
        </w:rPr>
        <w:instrText xml:space="preserve"> REF _Ref215230992 \r \h </w:instrText>
      </w:r>
      <w:r w:rsidR="00FD753A" w:rsidRPr="00305E0F">
        <w:rPr>
          <w:color w:val="auto"/>
          <w:lang w:val="en-GB"/>
        </w:rPr>
      </w:r>
      <w:r w:rsidR="00FD753A" w:rsidRPr="00305E0F">
        <w:rPr>
          <w:color w:val="auto"/>
          <w:lang w:val="en-GB"/>
        </w:rPr>
        <w:fldChar w:fldCharType="separate"/>
      </w:r>
      <w:r w:rsidR="00FD753A" w:rsidRPr="00305E0F">
        <w:rPr>
          <w:color w:val="auto"/>
          <w:lang w:val="en-GB"/>
        </w:rPr>
        <w:t>136</w:t>
      </w:r>
      <w:r w:rsidR="00FD753A" w:rsidRPr="00305E0F">
        <w:rPr>
          <w:color w:val="auto"/>
          <w:lang w:val="en-GB"/>
        </w:rPr>
        <w:fldChar w:fldCharType="end"/>
      </w:r>
      <w:r w:rsidR="00FD753A" w:rsidRPr="00305E0F">
        <w:rPr>
          <w:color w:val="auto"/>
          <w:lang w:val="en-GB"/>
        </w:rPr>
        <w:t xml:space="preserve"> </w:t>
      </w:r>
      <w:r w:rsidRPr="00305E0F">
        <w:rPr>
          <w:color w:val="auto"/>
          <w:lang w:val="en-GB"/>
        </w:rPr>
        <w:t xml:space="preserve">are not appropriate, and where it considers that the inadequacy of the LGD input floor values could have adverse effects on current or future financial stability, it may set higher LGD input floor values for those exposures. Those higher LGD </w:t>
      </w:r>
      <w:r w:rsidR="00FD753A" w:rsidRPr="00305E0F">
        <w:rPr>
          <w:color w:val="auto"/>
          <w:lang w:val="en-GB"/>
        </w:rPr>
        <w:t xml:space="preserve">input </w:t>
      </w:r>
      <w:r w:rsidRPr="00305E0F">
        <w:rPr>
          <w:color w:val="auto"/>
          <w:lang w:val="en-GB"/>
        </w:rPr>
        <w:t>floor values may also be applied at the level of one or more real estate segments of those exposures.</w:t>
      </w:r>
      <w:bookmarkEnd w:id="119"/>
    </w:p>
    <w:p w14:paraId="3D7EEFFA" w14:textId="36FD7E58"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Where the National Bank of Moldova sets higher LGD floor values pursuant to paragraphs </w:t>
      </w:r>
      <w:r w:rsidRPr="00305E0F">
        <w:rPr>
          <w:color w:val="auto"/>
          <w:lang w:val="en-GB"/>
        </w:rPr>
        <w:fldChar w:fldCharType="begin"/>
      </w:r>
      <w:r w:rsidRPr="00305E0F">
        <w:rPr>
          <w:color w:val="auto"/>
          <w:lang w:val="en-GB"/>
        </w:rPr>
        <w:instrText xml:space="preserve"> REF _Ref215233775 \r \h </w:instrText>
      </w:r>
      <w:r w:rsidRPr="00305E0F">
        <w:rPr>
          <w:color w:val="auto"/>
          <w:lang w:val="en-GB"/>
        </w:rPr>
      </w:r>
      <w:r w:rsidRPr="00305E0F">
        <w:rPr>
          <w:color w:val="auto"/>
          <w:lang w:val="en-GB"/>
        </w:rPr>
        <w:fldChar w:fldCharType="separate"/>
      </w:r>
      <w:r w:rsidR="00594C05" w:rsidRPr="00305E0F">
        <w:rPr>
          <w:color w:val="auto"/>
          <w:lang w:val="en-GB"/>
        </w:rPr>
        <w:t>138</w:t>
      </w:r>
      <w:r w:rsidRPr="00305E0F">
        <w:rPr>
          <w:color w:val="auto"/>
          <w:lang w:val="en-GB"/>
        </w:rPr>
        <w:fldChar w:fldCharType="end"/>
      </w:r>
      <w:r w:rsidR="00FD753A" w:rsidRPr="00305E0F">
        <w:rPr>
          <w:color w:val="auto"/>
          <w:lang w:val="en-GB"/>
        </w:rPr>
        <w:t xml:space="preserve"> </w:t>
      </w:r>
      <w:r w:rsidRPr="00305E0F">
        <w:rPr>
          <w:color w:val="auto"/>
          <w:lang w:val="en-GB"/>
        </w:rPr>
        <w:t>to</w:t>
      </w:r>
      <w:r w:rsidR="00FD753A" w:rsidRPr="00305E0F">
        <w:rPr>
          <w:color w:val="auto"/>
          <w:lang w:val="en-GB"/>
        </w:rPr>
        <w:t xml:space="preserve"> </w:t>
      </w:r>
      <w:r w:rsidRPr="00305E0F">
        <w:rPr>
          <w:color w:val="auto"/>
          <w:lang w:val="en-GB"/>
        </w:rPr>
        <w:fldChar w:fldCharType="begin"/>
      </w:r>
      <w:r w:rsidRPr="00305E0F">
        <w:rPr>
          <w:color w:val="auto"/>
          <w:lang w:val="en-GB"/>
        </w:rPr>
        <w:instrText xml:space="preserve"> REF _Ref215234124 \r \h </w:instrText>
      </w:r>
      <w:r w:rsidRPr="00305E0F">
        <w:rPr>
          <w:color w:val="auto"/>
          <w:lang w:val="en-GB"/>
        </w:rPr>
      </w:r>
      <w:r w:rsidRPr="00305E0F">
        <w:rPr>
          <w:color w:val="auto"/>
          <w:lang w:val="en-GB"/>
        </w:rPr>
        <w:fldChar w:fldCharType="separate"/>
      </w:r>
      <w:r w:rsidR="00594C05" w:rsidRPr="00305E0F">
        <w:rPr>
          <w:color w:val="auto"/>
          <w:lang w:val="en-GB"/>
        </w:rPr>
        <w:t>139</w:t>
      </w:r>
      <w:r w:rsidRPr="00305E0F">
        <w:rPr>
          <w:color w:val="auto"/>
          <w:lang w:val="en-GB"/>
        </w:rPr>
        <w:fldChar w:fldCharType="end"/>
      </w:r>
      <w:r w:rsidRPr="00305E0F">
        <w:rPr>
          <w:color w:val="auto"/>
          <w:lang w:val="en-GB"/>
        </w:rPr>
        <w:t>, banks shall have a transitional period of six months to apply them.</w:t>
      </w:r>
    </w:p>
    <w:p w14:paraId="0E28F895" w14:textId="23CBE37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Banks shall apply the higher minimum LGD values determined by the authorities of a Member State of the European Union in accordance with provisions that are equivalent to paragraphs </w:t>
      </w:r>
      <w:r w:rsidRPr="00305E0F">
        <w:rPr>
          <w:color w:val="auto"/>
          <w:lang w:val="en-GB"/>
        </w:rPr>
        <w:fldChar w:fldCharType="begin"/>
      </w:r>
      <w:r w:rsidRPr="00305E0F">
        <w:rPr>
          <w:color w:val="auto"/>
          <w:lang w:val="en-GB"/>
        </w:rPr>
        <w:instrText xml:space="preserve"> REF _Ref215233775 \r \h </w:instrText>
      </w:r>
      <w:r w:rsidRPr="00305E0F">
        <w:rPr>
          <w:color w:val="auto"/>
          <w:lang w:val="en-GB"/>
        </w:rPr>
      </w:r>
      <w:r w:rsidRPr="00305E0F">
        <w:rPr>
          <w:color w:val="auto"/>
          <w:lang w:val="en-GB"/>
        </w:rPr>
        <w:fldChar w:fldCharType="separate"/>
      </w:r>
      <w:r w:rsidR="00594C05" w:rsidRPr="00305E0F">
        <w:rPr>
          <w:color w:val="auto"/>
          <w:lang w:val="en-GB"/>
        </w:rPr>
        <w:t>138</w:t>
      </w:r>
      <w:r w:rsidRPr="00305E0F">
        <w:rPr>
          <w:color w:val="auto"/>
          <w:lang w:val="en-GB"/>
        </w:rPr>
        <w:fldChar w:fldCharType="end"/>
      </w:r>
      <w:r w:rsidR="00FD753A" w:rsidRPr="00305E0F">
        <w:rPr>
          <w:color w:val="auto"/>
          <w:lang w:val="en-GB"/>
        </w:rPr>
        <w:t xml:space="preserve"> </w:t>
      </w:r>
      <w:r w:rsidRPr="00305E0F">
        <w:rPr>
          <w:color w:val="auto"/>
          <w:lang w:val="en-GB"/>
        </w:rPr>
        <w:t>to</w:t>
      </w:r>
      <w:r w:rsidR="00FD753A" w:rsidRPr="00305E0F">
        <w:rPr>
          <w:color w:val="auto"/>
          <w:lang w:val="en-GB"/>
        </w:rPr>
        <w:t xml:space="preserve"> </w:t>
      </w:r>
      <w:r w:rsidRPr="00305E0F">
        <w:rPr>
          <w:color w:val="auto"/>
          <w:lang w:val="en-GB"/>
        </w:rPr>
        <w:fldChar w:fldCharType="begin"/>
      </w:r>
      <w:r w:rsidRPr="00305E0F">
        <w:rPr>
          <w:color w:val="auto"/>
          <w:lang w:val="en-GB"/>
        </w:rPr>
        <w:instrText xml:space="preserve"> REF _Ref215234124 \r \h </w:instrText>
      </w:r>
      <w:r w:rsidRPr="00305E0F">
        <w:rPr>
          <w:color w:val="auto"/>
          <w:lang w:val="en-GB"/>
        </w:rPr>
      </w:r>
      <w:r w:rsidRPr="00305E0F">
        <w:rPr>
          <w:color w:val="auto"/>
          <w:lang w:val="en-GB"/>
        </w:rPr>
        <w:fldChar w:fldCharType="separate"/>
      </w:r>
      <w:r w:rsidR="00594C05" w:rsidRPr="00305E0F">
        <w:rPr>
          <w:color w:val="auto"/>
          <w:lang w:val="en-GB"/>
        </w:rPr>
        <w:t>139</w:t>
      </w:r>
      <w:r w:rsidRPr="00305E0F">
        <w:rPr>
          <w:color w:val="auto"/>
          <w:lang w:val="en-GB"/>
        </w:rPr>
        <w:fldChar w:fldCharType="end"/>
      </w:r>
      <w:r w:rsidRPr="00305E0F">
        <w:rPr>
          <w:color w:val="auto"/>
          <w:lang w:val="en-GB"/>
        </w:rPr>
        <w:t>, to all their corresponding exposures secured by mortgages on residential property or commercial immovable property located in one or more parts of the territory of that Member State of the European Union.</w:t>
      </w:r>
    </w:p>
    <w:p w14:paraId="32847327" w14:textId="3083406F" w:rsidR="00EB0050" w:rsidRPr="00305E0F" w:rsidRDefault="00B02122">
      <w:pPr>
        <w:pStyle w:val="P68B1DB1-ListParagraph13"/>
        <w:shd w:val="clear" w:color="auto" w:fill="FFFFFF"/>
        <w:tabs>
          <w:tab w:val="left" w:pos="0"/>
          <w:tab w:val="left" w:pos="567"/>
        </w:tabs>
        <w:spacing w:before="120" w:after="0" w:line="240" w:lineRule="auto"/>
        <w:ind w:left="0"/>
        <w:contextualSpacing w:val="0"/>
        <w:jc w:val="center"/>
        <w:rPr>
          <w:bCs/>
          <w:color w:val="auto"/>
          <w:lang w:val="en-GB"/>
        </w:rPr>
      </w:pPr>
      <w:r w:rsidRPr="00305E0F">
        <w:rPr>
          <w:color w:val="auto"/>
          <w:lang w:val="en-GB"/>
        </w:rPr>
        <w:t>Chapter V</w:t>
      </w:r>
    </w:p>
    <w:p w14:paraId="3E9EEC31" w14:textId="33E6A7FA" w:rsidR="00EB0050" w:rsidRPr="00305E0F" w:rsidRDefault="00B02122">
      <w:pPr>
        <w:pStyle w:val="P68B1DB1-ListParagraph13"/>
        <w:spacing w:after="120" w:line="240" w:lineRule="auto"/>
        <w:ind w:left="0"/>
        <w:contextualSpacing w:val="0"/>
        <w:jc w:val="center"/>
        <w:rPr>
          <w:color w:val="auto"/>
          <w:lang w:val="en-GB"/>
        </w:rPr>
      </w:pPr>
      <w:r w:rsidRPr="00305E0F">
        <w:rPr>
          <w:color w:val="auto"/>
          <w:lang w:val="en-GB"/>
        </w:rPr>
        <w:t>Exposure value - exposures to corporates, banks, central governments and central banks, regional governments, local authorities and public sector entities, retail exposures and non</w:t>
      </w:r>
      <w:r w:rsidR="00FD753A" w:rsidRPr="00305E0F">
        <w:rPr>
          <w:color w:val="auto"/>
          <w:lang w:val="en-GB"/>
        </w:rPr>
        <w:t xml:space="preserve"> </w:t>
      </w:r>
      <w:r w:rsidRPr="00305E0F">
        <w:rPr>
          <w:color w:val="auto"/>
          <w:lang w:val="en-GB"/>
        </w:rPr>
        <w:t>credit</w:t>
      </w:r>
      <w:r w:rsidR="00FD753A" w:rsidRPr="00305E0F">
        <w:rPr>
          <w:color w:val="auto"/>
          <w:lang w:val="en-GB"/>
        </w:rPr>
        <w:t>-obligation</w:t>
      </w:r>
      <w:r w:rsidRPr="00305E0F">
        <w:rPr>
          <w:color w:val="auto"/>
          <w:lang w:val="en-GB"/>
        </w:rPr>
        <w:t xml:space="preserve"> assets</w:t>
      </w:r>
    </w:p>
    <w:p w14:paraId="3E2DFF46" w14:textId="332FB9E7"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20" w:name="_Ref215235438"/>
      <w:r w:rsidRPr="00305E0F">
        <w:rPr>
          <w:color w:val="auto"/>
          <w:lang w:val="en-GB"/>
        </w:rPr>
        <w:t>Unless otherwise specified, the exposure value for on-balance sheet exposures shall be the accounting value measured without taking into account credit risk adjustments made.</w:t>
      </w:r>
      <w:bookmarkEnd w:id="120"/>
    </w:p>
    <w:p w14:paraId="05A6ED63" w14:textId="704BB88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This rule also applies to assets purchased at a price different from the amount </w:t>
      </w:r>
      <w:r w:rsidR="0075754B" w:rsidRPr="00305E0F">
        <w:rPr>
          <w:color w:val="auto"/>
          <w:lang w:val="en-GB"/>
        </w:rPr>
        <w:t>owed</w:t>
      </w:r>
      <w:r w:rsidRPr="00305E0F">
        <w:rPr>
          <w:color w:val="auto"/>
          <w:lang w:val="en-GB"/>
        </w:rPr>
        <w:t>.</w:t>
      </w:r>
    </w:p>
    <w:p w14:paraId="07DFD8DC" w14:textId="5CD0A5DB" w:rsidR="00EB0050" w:rsidRPr="00305E0F" w:rsidRDefault="0075754B">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21" w:name="_Ref215235445"/>
      <w:r w:rsidRPr="00305E0F">
        <w:rPr>
          <w:color w:val="auto"/>
          <w:lang w:val="en-GB"/>
        </w:rPr>
        <w:t>For purchased assets, the difference between the amount owed and the accounting value remaining after specific credit risk adjustments have been applied that has been recorded on the balance-sheet of the banks when purchasing the asset is denoted discount if the amount owed is larger, and premium if it is smaller.</w:t>
      </w:r>
      <w:bookmarkEnd w:id="121"/>
    </w:p>
    <w:p w14:paraId="5B6A906F" w14:textId="38021CB5"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Where banks use master netting agreements for repurchase transactions or securities or commodities lending or borrowing </w:t>
      </w:r>
      <w:r w:rsidR="0075754B" w:rsidRPr="00305E0F">
        <w:rPr>
          <w:color w:val="auto"/>
          <w:lang w:val="en-GB"/>
        </w:rPr>
        <w:t>transactions</w:t>
      </w:r>
      <w:r w:rsidRPr="00305E0F">
        <w:rPr>
          <w:color w:val="auto"/>
          <w:lang w:val="en-GB"/>
        </w:rPr>
        <w:t xml:space="preserve">, the exposure value shall be calculated in accordance with </w:t>
      </w:r>
      <w:bookmarkStart w:id="122" w:name="_Hlk215234611"/>
      <w:r w:rsidRPr="00305E0F">
        <w:rPr>
          <w:color w:val="auto"/>
          <w:lang w:val="en-GB"/>
        </w:rPr>
        <w:t xml:space="preserve">Regulation </w:t>
      </w:r>
      <w:r w:rsidR="00594C05" w:rsidRPr="00305E0F">
        <w:rPr>
          <w:color w:val="auto"/>
          <w:lang w:val="en-GB"/>
        </w:rPr>
        <w:t xml:space="preserve">No </w:t>
      </w:r>
      <w:r w:rsidRPr="00305E0F">
        <w:rPr>
          <w:color w:val="auto"/>
          <w:lang w:val="en-GB"/>
        </w:rPr>
        <w:t xml:space="preserve">112/2018 </w:t>
      </w:r>
      <w:bookmarkEnd w:id="122"/>
      <w:r w:rsidRPr="00305E0F">
        <w:rPr>
          <w:color w:val="auto"/>
          <w:lang w:val="en-GB"/>
        </w:rPr>
        <w:t xml:space="preserve">or the normative acts of the National Bank of Moldova </w:t>
      </w:r>
      <w:r w:rsidR="0075754B" w:rsidRPr="00305E0F">
        <w:rPr>
          <w:color w:val="auto"/>
          <w:lang w:val="en-GB"/>
        </w:rPr>
        <w:t>on</w:t>
      </w:r>
      <w:r w:rsidRPr="00305E0F">
        <w:rPr>
          <w:color w:val="auto"/>
          <w:lang w:val="en-GB"/>
        </w:rPr>
        <w:t xml:space="preserve"> the treatment of counterparty credit risk.</w:t>
      </w:r>
    </w:p>
    <w:p w14:paraId="2233C8DE" w14:textId="650635B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When calculating the exposure value for on-balance sheet netting of loans and deposits, banks shall apply the methods set out in Regulation </w:t>
      </w:r>
      <w:r w:rsidR="0075754B" w:rsidRPr="00305E0F">
        <w:rPr>
          <w:color w:val="auto"/>
          <w:lang w:val="en-GB"/>
        </w:rPr>
        <w:t>No 112/</w:t>
      </w:r>
      <w:r w:rsidRPr="00305E0F">
        <w:rPr>
          <w:color w:val="auto"/>
          <w:lang w:val="en-GB"/>
        </w:rPr>
        <w:t>2018.</w:t>
      </w:r>
    </w:p>
    <w:p w14:paraId="37ADBE9F" w14:textId="69120812" w:rsidR="00EB0050" w:rsidRPr="00305E0F" w:rsidRDefault="00B02122">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bookmarkStart w:id="123" w:name="_Ref215295158"/>
      <w:r w:rsidRPr="00305E0F">
        <w:rPr>
          <w:color w:val="auto"/>
          <w:sz w:val="24"/>
          <w:szCs w:val="24"/>
          <w:lang w:val="en-GB"/>
        </w:rPr>
        <w:t xml:space="preserve">The exposure value for leases is the present value of the minimum lease payments. Minimum lease payments are payments that the lessee is or may be required to make during the lease term, as well as any bargain option (whose probability of exercise is reasonably certain). If a party other than the lessee may be required to make a payment related to the residual value of the leased asset and if that payment obligation meets the set of conditions laid down in paragraph 36 of Regulation No 112/2018 on the eligibility of protection providers, as well as the requirements </w:t>
      </w:r>
      <w:r w:rsidRPr="00305E0F">
        <w:rPr>
          <w:color w:val="auto"/>
          <w:sz w:val="24"/>
          <w:szCs w:val="24"/>
          <w:lang w:val="en-GB"/>
        </w:rPr>
        <w:lastRenderedPageBreak/>
        <w:t>for the recognition of other types of guarantees laid down in paragraphs 52 to 56 of Regulation No 112/2018, the payment obligation may be recognised as unfunded credit protection in accordance with that regulation.</w:t>
      </w:r>
      <w:r w:rsidRPr="00305E0F">
        <w:rPr>
          <w:color w:val="auto"/>
          <w:sz w:val="18"/>
          <w:szCs w:val="18"/>
          <w:highlight w:val="lightGray"/>
          <w:lang w:val="en-GB"/>
        </w:rPr>
        <w:t xml:space="preserve"> </w:t>
      </w:r>
      <w:bookmarkEnd w:id="123"/>
    </w:p>
    <w:p w14:paraId="1F76A8AA" w14:textId="75A8232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In the case of any contract referred to in Annex 1 to Regulation </w:t>
      </w:r>
      <w:r w:rsidR="00594C05" w:rsidRPr="00305E0F">
        <w:rPr>
          <w:color w:val="auto"/>
          <w:lang w:val="en-GB"/>
        </w:rPr>
        <w:t xml:space="preserve">No </w:t>
      </w:r>
      <w:r w:rsidRPr="00305E0F">
        <w:rPr>
          <w:color w:val="auto"/>
          <w:lang w:val="en-GB"/>
        </w:rPr>
        <w:t xml:space="preserve">114/2018, the exposure value shall be determined using the methods set out in the normative acts of the National Bank of Moldova </w:t>
      </w:r>
      <w:r w:rsidR="00E653AF" w:rsidRPr="00305E0F">
        <w:rPr>
          <w:color w:val="auto"/>
          <w:lang w:val="en-GB"/>
        </w:rPr>
        <w:t>on</w:t>
      </w:r>
      <w:r w:rsidRPr="00305E0F">
        <w:rPr>
          <w:color w:val="auto"/>
          <w:lang w:val="en-GB"/>
        </w:rPr>
        <w:t xml:space="preserve"> the treatment of counterparty credit risk and shall not take into account the credit risk adjustments made.</w:t>
      </w:r>
    </w:p>
    <w:p w14:paraId="26313F80" w14:textId="486E6CA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calculating risk-weighted exposure amounts for purchased receivables, the exposure value shall be the value determined in accordance with paragraphs </w:t>
      </w:r>
      <w:r w:rsidRPr="00305E0F">
        <w:rPr>
          <w:color w:val="auto"/>
          <w:lang w:val="en-GB"/>
        </w:rPr>
        <w:fldChar w:fldCharType="begin"/>
      </w:r>
      <w:r w:rsidRPr="00305E0F">
        <w:rPr>
          <w:color w:val="auto"/>
          <w:lang w:val="en-GB"/>
        </w:rPr>
        <w:instrText xml:space="preserve"> REF _Ref215235438 \r \h </w:instrText>
      </w:r>
      <w:r w:rsidRPr="00305E0F">
        <w:rPr>
          <w:color w:val="auto"/>
          <w:lang w:val="en-GB"/>
        </w:rPr>
      </w:r>
      <w:r w:rsidRPr="00305E0F">
        <w:rPr>
          <w:color w:val="auto"/>
          <w:lang w:val="en-GB"/>
        </w:rPr>
        <w:fldChar w:fldCharType="separate"/>
      </w:r>
      <w:r w:rsidR="00594C05" w:rsidRPr="00305E0F">
        <w:rPr>
          <w:color w:val="auto"/>
          <w:lang w:val="en-GB"/>
        </w:rPr>
        <w:t>142</w:t>
      </w:r>
      <w:r w:rsidRPr="00305E0F">
        <w:rPr>
          <w:color w:val="auto"/>
          <w:lang w:val="en-GB"/>
        </w:rPr>
        <w:fldChar w:fldCharType="end"/>
      </w:r>
      <w:r w:rsidR="00E653AF" w:rsidRPr="00305E0F">
        <w:rPr>
          <w:color w:val="auto"/>
          <w:lang w:val="en-GB"/>
        </w:rPr>
        <w:t xml:space="preserve"> </w:t>
      </w:r>
      <w:r w:rsidRPr="00305E0F">
        <w:rPr>
          <w:color w:val="auto"/>
          <w:lang w:val="en-GB"/>
        </w:rPr>
        <w:t>to</w:t>
      </w:r>
      <w:r w:rsidR="00E653AF" w:rsidRPr="00305E0F">
        <w:rPr>
          <w:color w:val="auto"/>
          <w:lang w:val="en-GB"/>
        </w:rPr>
        <w:t xml:space="preserve"> </w:t>
      </w:r>
      <w:r w:rsidRPr="00305E0F">
        <w:rPr>
          <w:color w:val="auto"/>
          <w:lang w:val="en-GB"/>
        </w:rPr>
        <w:fldChar w:fldCharType="begin"/>
      </w:r>
      <w:r w:rsidRPr="00305E0F">
        <w:rPr>
          <w:color w:val="auto"/>
          <w:lang w:val="en-GB"/>
        </w:rPr>
        <w:instrText xml:space="preserve"> REF _Ref215235445 \r \h </w:instrText>
      </w:r>
      <w:r w:rsidRPr="00305E0F">
        <w:rPr>
          <w:color w:val="auto"/>
          <w:lang w:val="en-GB"/>
        </w:rPr>
      </w:r>
      <w:r w:rsidRPr="00305E0F">
        <w:rPr>
          <w:color w:val="auto"/>
          <w:lang w:val="en-GB"/>
        </w:rPr>
        <w:fldChar w:fldCharType="separate"/>
      </w:r>
      <w:r w:rsidR="00594C05" w:rsidRPr="00305E0F">
        <w:rPr>
          <w:color w:val="auto"/>
          <w:lang w:val="en-GB"/>
        </w:rPr>
        <w:t>144</w:t>
      </w:r>
      <w:r w:rsidRPr="00305E0F">
        <w:rPr>
          <w:color w:val="auto"/>
          <w:lang w:val="en-GB"/>
        </w:rPr>
        <w:fldChar w:fldCharType="end"/>
      </w:r>
      <w:r w:rsidRPr="00305E0F">
        <w:rPr>
          <w:color w:val="auto"/>
          <w:lang w:val="en-GB"/>
        </w:rPr>
        <w:t>, excluding own funds requirements for dilution risk, prior to the application of credit risk mitigation techniques.</w:t>
      </w:r>
    </w:p>
    <w:p w14:paraId="4A5DDEC0" w14:textId="0E5E25C0"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In the case of an exposure in the form of securities or commodities sold, </w:t>
      </w:r>
      <w:r w:rsidR="00E653AF" w:rsidRPr="00305E0F">
        <w:rPr>
          <w:color w:val="auto"/>
          <w:lang w:val="en-GB"/>
        </w:rPr>
        <w:t>posted</w:t>
      </w:r>
      <w:r w:rsidRPr="00305E0F">
        <w:rPr>
          <w:color w:val="auto"/>
          <w:lang w:val="en-GB"/>
        </w:rPr>
        <w:t xml:space="preserve"> or lent in repurchase transactions, securities or commodities lending or borrowing transactions, long settlement transactions and margin lending transactions, the exposure value shall be the value of the securities or commodities determined in accordance with the applicable accounting framework. Where the Financial Collateral Comprehensive Method set out in paragraphs 84 to 94 of Regulation </w:t>
      </w:r>
      <w:r w:rsidR="00E653AF" w:rsidRPr="00305E0F">
        <w:rPr>
          <w:color w:val="auto"/>
          <w:lang w:val="en-GB"/>
        </w:rPr>
        <w:t>No</w:t>
      </w:r>
      <w:r w:rsidRPr="00305E0F">
        <w:rPr>
          <w:color w:val="auto"/>
          <w:lang w:val="en-GB"/>
        </w:rPr>
        <w:t xml:space="preserve"> 112</w:t>
      </w:r>
      <w:r w:rsidR="00E653AF" w:rsidRPr="00305E0F">
        <w:rPr>
          <w:color w:val="auto"/>
          <w:lang w:val="en-GB"/>
        </w:rPr>
        <w:t>/2018</w:t>
      </w:r>
      <w:r w:rsidRPr="00305E0F">
        <w:rPr>
          <w:color w:val="auto"/>
          <w:lang w:val="en-GB"/>
        </w:rPr>
        <w:t xml:space="preserve"> is used, the exposure value shall be increased by the volatility adjustment corresponding to such securities or commodities as set out in that Regulation. In the case of repurchase transactions, securities or commodities lending or borrowing transactions, long settlement transactions and margin lending transactions, the exposure value may be determined either in accordance with the normative acts of the National Bank of Moldova </w:t>
      </w:r>
      <w:r w:rsidR="00E653AF" w:rsidRPr="00305E0F">
        <w:rPr>
          <w:color w:val="auto"/>
          <w:lang w:val="en-GB"/>
        </w:rPr>
        <w:t>on</w:t>
      </w:r>
      <w:r w:rsidRPr="00305E0F">
        <w:rPr>
          <w:color w:val="auto"/>
          <w:lang w:val="en-GB"/>
        </w:rPr>
        <w:t xml:space="preserve"> the treatment of counterparty credit risk or in accordance with paragraph 69 of Regulation </w:t>
      </w:r>
      <w:r w:rsidR="00594C05" w:rsidRPr="00305E0F">
        <w:rPr>
          <w:color w:val="auto"/>
          <w:lang w:val="en-GB"/>
        </w:rPr>
        <w:t xml:space="preserve">No </w:t>
      </w:r>
      <w:r w:rsidRPr="00305E0F">
        <w:rPr>
          <w:color w:val="auto"/>
          <w:lang w:val="en-GB"/>
        </w:rPr>
        <w:t>112/2018.</w:t>
      </w:r>
    </w:p>
    <w:p w14:paraId="0C7F2A3D" w14:textId="612CA4B8"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24" w:name="_Ref215502511"/>
      <w:r w:rsidRPr="00305E0F">
        <w:rPr>
          <w:color w:val="auto"/>
          <w:lang w:val="en-GB"/>
        </w:rPr>
        <w:t xml:space="preserve">The exposure value of off-balance sheet items that are not contracts as listed in Annex 1 to Regulation No 114/2018 shall be calculated using either the IRB-CCF or the SA-CCF in accordance with paragraphs </w:t>
      </w:r>
      <w:r w:rsidRPr="00305E0F">
        <w:rPr>
          <w:color w:val="auto"/>
          <w:lang w:val="en-GB"/>
        </w:rPr>
        <w:fldChar w:fldCharType="begin"/>
      </w:r>
      <w:r w:rsidRPr="00305E0F">
        <w:rPr>
          <w:color w:val="auto"/>
          <w:lang w:val="en-GB"/>
        </w:rPr>
        <w:instrText xml:space="preserve"> REF _Ref215235759 \r \h </w:instrText>
      </w:r>
      <w:r w:rsidRPr="00305E0F">
        <w:rPr>
          <w:color w:val="auto"/>
          <w:lang w:val="en-GB"/>
        </w:rPr>
      </w:r>
      <w:r w:rsidRPr="00305E0F">
        <w:rPr>
          <w:color w:val="auto"/>
          <w:lang w:val="en-GB"/>
        </w:rPr>
        <w:fldChar w:fldCharType="separate"/>
      </w:r>
      <w:r w:rsidR="00594C05" w:rsidRPr="00305E0F">
        <w:rPr>
          <w:color w:val="auto"/>
          <w:lang w:val="en-GB"/>
        </w:rPr>
        <w:t>155</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_Ref215235767 \r \h </w:instrText>
      </w:r>
      <w:r w:rsidRPr="00305E0F">
        <w:rPr>
          <w:color w:val="auto"/>
          <w:lang w:val="en-GB"/>
        </w:rPr>
      </w:r>
      <w:r w:rsidRPr="00305E0F">
        <w:rPr>
          <w:color w:val="auto"/>
          <w:lang w:val="en-GB"/>
        </w:rPr>
        <w:fldChar w:fldCharType="separate"/>
      </w:r>
      <w:r w:rsidR="00594C05" w:rsidRPr="00305E0F">
        <w:rPr>
          <w:color w:val="auto"/>
          <w:lang w:val="en-GB"/>
        </w:rPr>
        <w:t>156</w:t>
      </w:r>
      <w:r w:rsidRPr="00305E0F">
        <w:rPr>
          <w:color w:val="auto"/>
          <w:lang w:val="en-GB"/>
        </w:rPr>
        <w:fldChar w:fldCharType="end"/>
      </w:r>
      <w:r w:rsidRPr="00305E0F">
        <w:rPr>
          <w:color w:val="auto"/>
          <w:lang w:val="en-GB"/>
        </w:rPr>
        <w:t xml:space="preserve"> and</w:t>
      </w:r>
      <w:r w:rsidR="00E653AF" w:rsidRPr="00305E0F">
        <w:rPr>
          <w:color w:val="auto"/>
          <w:lang w:val="en-GB"/>
        </w:rPr>
        <w:t xml:space="preserve"> </w:t>
      </w:r>
      <w:r w:rsidRPr="00305E0F">
        <w:rPr>
          <w:color w:val="auto"/>
          <w:lang w:val="en-GB"/>
        </w:rPr>
        <w:fldChar w:fldCharType="begin"/>
      </w:r>
      <w:r w:rsidRPr="00305E0F">
        <w:rPr>
          <w:color w:val="auto"/>
          <w:lang w:val="en-GB"/>
        </w:rPr>
        <w:instrText xml:space="preserve"> REF _Ref215053812 \r \h </w:instrText>
      </w:r>
      <w:r w:rsidRPr="00305E0F">
        <w:rPr>
          <w:color w:val="auto"/>
          <w:lang w:val="en-GB"/>
        </w:rPr>
      </w:r>
      <w:r w:rsidRPr="00305E0F">
        <w:rPr>
          <w:color w:val="auto"/>
          <w:lang w:val="en-GB"/>
        </w:rPr>
        <w:fldChar w:fldCharType="separate"/>
      </w:r>
      <w:r w:rsidR="00594C05" w:rsidRPr="00305E0F">
        <w:rPr>
          <w:color w:val="auto"/>
          <w:lang w:val="en-GB"/>
        </w:rPr>
        <w:t>54</w:t>
      </w:r>
      <w:r w:rsidRPr="00305E0F">
        <w:rPr>
          <w:color w:val="auto"/>
          <w:lang w:val="en-GB"/>
        </w:rPr>
        <w:fldChar w:fldCharType="end"/>
      </w:r>
      <w:r w:rsidR="00E653AF" w:rsidRPr="00305E0F">
        <w:rPr>
          <w:color w:val="auto"/>
          <w:lang w:val="en-GB"/>
        </w:rPr>
        <w:t xml:space="preserve"> to </w:t>
      </w:r>
      <w:r w:rsidRPr="00305E0F">
        <w:rPr>
          <w:color w:val="auto"/>
          <w:lang w:val="en-GB"/>
        </w:rPr>
        <w:fldChar w:fldCharType="begin"/>
      </w:r>
      <w:r w:rsidRPr="00305E0F">
        <w:rPr>
          <w:color w:val="auto"/>
          <w:lang w:val="en-GB"/>
        </w:rPr>
        <w:instrText xml:space="preserve"> REF _Ref215053773 \r \h </w:instrText>
      </w:r>
      <w:r w:rsidRPr="00305E0F">
        <w:rPr>
          <w:color w:val="auto"/>
          <w:lang w:val="en-GB"/>
        </w:rPr>
      </w:r>
      <w:r w:rsidRPr="00305E0F">
        <w:rPr>
          <w:color w:val="auto"/>
          <w:lang w:val="en-GB"/>
        </w:rPr>
        <w:fldChar w:fldCharType="separate"/>
      </w:r>
      <w:r w:rsidR="00594C05" w:rsidRPr="00305E0F">
        <w:rPr>
          <w:color w:val="auto"/>
          <w:lang w:val="en-GB"/>
        </w:rPr>
        <w:t>55</w:t>
      </w:r>
      <w:r w:rsidRPr="00305E0F">
        <w:rPr>
          <w:color w:val="auto"/>
          <w:lang w:val="en-GB"/>
        </w:rPr>
        <w:fldChar w:fldCharType="end"/>
      </w:r>
      <w:r w:rsidRPr="00305E0F">
        <w:rPr>
          <w:color w:val="auto"/>
          <w:lang w:val="en-GB"/>
        </w:rPr>
        <w:t>.</w:t>
      </w:r>
      <w:bookmarkEnd w:id="124"/>
    </w:p>
    <w:p w14:paraId="758AA99B" w14:textId="0EE5D6D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Where only drawn balances of revolving facilities have been securitised, banks shall ensure that they continue to hold the required amount of own funds relative to the undrawn balances associated with the securitisation.</w:t>
      </w:r>
    </w:p>
    <w:p w14:paraId="534D3D33" w14:textId="749CCD05"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A bank that has not been authorised to use IRB-CCF shall calculate the exposure value as the committed but undrawn amount multiplied by the SA-CCF concerned.</w:t>
      </w:r>
    </w:p>
    <w:p w14:paraId="3B5A9C64" w14:textId="7F9AB2B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25" w:name="_Ref215502520"/>
      <w:r w:rsidRPr="00305E0F">
        <w:rPr>
          <w:color w:val="auto"/>
          <w:lang w:val="en-GB"/>
        </w:rPr>
        <w:t>A bank using IRB-CCF shall calculate the exposure value for undrawn commitments as the undrawn amount multiplied by the IRB-CCF.</w:t>
      </w:r>
      <w:bookmarkEnd w:id="125"/>
    </w:p>
    <w:p w14:paraId="42E639E4" w14:textId="53E9890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26" w:name="_Ref215235759"/>
      <w:r w:rsidRPr="00305E0F">
        <w:rPr>
          <w:color w:val="auto"/>
          <w:lang w:val="en-GB"/>
        </w:rPr>
        <w:t xml:space="preserve">For an exposure for which the bank has not received permission to use the IRB-CCF, the applicable CCF shall be the SA-CCF set out in Regulation No 111/2018 for the same types of items as set out in </w:t>
      </w:r>
      <w:r w:rsidR="00704220" w:rsidRPr="00305E0F">
        <w:rPr>
          <w:color w:val="auto"/>
          <w:lang w:val="en-GB"/>
        </w:rPr>
        <w:t>paragraph</w:t>
      </w:r>
      <w:r w:rsidRPr="00305E0F">
        <w:rPr>
          <w:color w:val="auto"/>
          <w:lang w:val="en-GB"/>
        </w:rPr>
        <w:t>s 5 to 10 of Regulation No 111/2018. The amount to which the SA-CCF is to be applied shall be the lower of the committed but undrawn amount and the amount that reflects any possible constraint on the availability of the facility, including the existence of an upper limit on the potential amount of credit that is related to the reported cash flow of the obligor. Where a facility is subject to such constraints, the bank shall have sufficient procedures in place to monitor and manage the credit line to support the existence of that constraint.</w:t>
      </w:r>
      <w:bookmarkEnd w:id="126"/>
    </w:p>
    <w:p w14:paraId="5A22FE93" w14:textId="6CC6645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27" w:name="_Ref215235767"/>
      <w:r w:rsidRPr="00305E0F">
        <w:rPr>
          <w:color w:val="auto"/>
          <w:lang w:val="en-GB"/>
        </w:rPr>
        <w:t>Subject to the approval of the National Bank of Moldova, banks that meet the requirements to use IRB-CCF as specified in Chapter VI shall use IRB-CCF for exposures arising from undrawn revolving commitments treated under the IRB Approach, provided that those exposures are not subject to a 100 % SA-CCF under the Standardised Approach. SA-CCF shall be used for:</w:t>
      </w:r>
      <w:bookmarkEnd w:id="127"/>
    </w:p>
    <w:p w14:paraId="457155CB" w14:textId="62A5767B"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All other off-balance sheet items, in particular undrawn non-re</w:t>
      </w:r>
      <w:r w:rsidR="006721F1" w:rsidRPr="00305E0F">
        <w:rPr>
          <w:color w:val="auto"/>
          <w:lang w:val="en-GB"/>
        </w:rPr>
        <w:t>volving</w:t>
      </w:r>
      <w:r w:rsidRPr="00305E0F">
        <w:rPr>
          <w:color w:val="auto"/>
          <w:lang w:val="en-GB"/>
        </w:rPr>
        <w:t xml:space="preserve"> commitments;</w:t>
      </w:r>
    </w:p>
    <w:p w14:paraId="141CA946" w14:textId="5AD7FB71"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Exposures for which the minimum requirements for the calculation of IRB-CCF, as specified in Chapter VI, are not met by the bank or for which the National Bank of Moldova has not allowed the use of IRB-CCF.</w:t>
      </w:r>
    </w:p>
    <w:p w14:paraId="70AB0F4E" w14:textId="759A30A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28" w:name="_Ref215502546"/>
      <w:r w:rsidRPr="00305E0F">
        <w:rPr>
          <w:color w:val="auto"/>
          <w:lang w:val="en-GB"/>
        </w:rPr>
        <w:t xml:space="preserve">For the purposes of this Chapter, a commitment is considered </w:t>
      </w:r>
      <w:r w:rsidR="006721F1" w:rsidRPr="00305E0F">
        <w:rPr>
          <w:color w:val="auto"/>
          <w:lang w:val="en-GB"/>
        </w:rPr>
        <w:t>“revolving”</w:t>
      </w:r>
      <w:r w:rsidRPr="00305E0F">
        <w:rPr>
          <w:color w:val="auto"/>
          <w:lang w:val="en-GB"/>
        </w:rPr>
        <w:t xml:space="preserve"> when it allows a</w:t>
      </w:r>
      <w:r w:rsidR="006721F1" w:rsidRPr="00305E0F">
        <w:rPr>
          <w:color w:val="auto"/>
          <w:lang w:val="en-GB"/>
        </w:rPr>
        <w:t xml:space="preserve">n obligor </w:t>
      </w:r>
      <w:r w:rsidRPr="00305E0F">
        <w:rPr>
          <w:color w:val="auto"/>
          <w:lang w:val="en-GB"/>
        </w:rPr>
        <w:t xml:space="preserve">to obtain a loan where the </w:t>
      </w:r>
      <w:r w:rsidR="006721F1" w:rsidRPr="00305E0F">
        <w:rPr>
          <w:color w:val="auto"/>
          <w:lang w:val="en-GB"/>
        </w:rPr>
        <w:t>obligor</w:t>
      </w:r>
      <w:r w:rsidRPr="00305E0F">
        <w:rPr>
          <w:color w:val="auto"/>
          <w:lang w:val="en-GB"/>
        </w:rPr>
        <w:t xml:space="preserve"> has the flexibility to decide how often and at what intervals to draw down the loan, allowing the </w:t>
      </w:r>
      <w:r w:rsidR="006721F1" w:rsidRPr="00305E0F">
        <w:rPr>
          <w:color w:val="auto"/>
          <w:lang w:val="en-GB"/>
        </w:rPr>
        <w:t>obligor</w:t>
      </w:r>
      <w:r w:rsidRPr="00305E0F">
        <w:rPr>
          <w:color w:val="auto"/>
          <w:lang w:val="en-GB"/>
        </w:rPr>
        <w:t xml:space="preserve"> to draw down, repay and draw down </w:t>
      </w:r>
      <w:r w:rsidRPr="00305E0F">
        <w:rPr>
          <w:color w:val="auto"/>
          <w:lang w:val="en-GB"/>
        </w:rPr>
        <w:lastRenderedPageBreak/>
        <w:t>the loans granted to it. Contractual arrangements allowing prepayments and subsequently new drawdowns of those prepayments shall be considered revolving.</w:t>
      </w:r>
      <w:bookmarkEnd w:id="128"/>
    </w:p>
    <w:p w14:paraId="0A8AA5B3" w14:textId="4A573857"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29" w:name="_Ref215504363"/>
      <w:r w:rsidRPr="00305E0F">
        <w:rPr>
          <w:color w:val="auto"/>
          <w:lang w:val="en-GB"/>
        </w:rPr>
        <w:t xml:space="preserve">Where the IRB-CCF is used exclusively for the purpose of calculating risk-weighted exposure amounts and expected loss amounts for exposures arising from revolving commitments other than exposures assigned to the exposure class in accordance with </w:t>
      </w:r>
      <w:r w:rsidR="006721F1"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_Ref214974472 \r \h </w:instrText>
      </w:r>
      <w:r w:rsidRPr="00305E0F">
        <w:rPr>
          <w:color w:val="auto"/>
          <w:lang w:val="en-GB"/>
        </w:rPr>
      </w:r>
      <w:r w:rsidRPr="00305E0F">
        <w:rPr>
          <w:color w:val="auto"/>
          <w:lang w:val="en-GB"/>
        </w:rPr>
        <w:fldChar w:fldCharType="separate"/>
      </w:r>
      <w:r w:rsidR="00594C05" w:rsidRPr="00305E0F">
        <w:rPr>
          <w:color w:val="auto"/>
          <w:lang w:val="en-GB"/>
        </w:rPr>
        <w:t>19</w:t>
      </w:r>
      <w:r w:rsidRPr="00305E0F">
        <w:rPr>
          <w:color w:val="auto"/>
          <w:lang w:val="en-GB"/>
        </w:rPr>
        <w:fldChar w:fldCharType="end"/>
      </w:r>
      <w:r w:rsidRPr="00305E0F">
        <w:rPr>
          <w:color w:val="auto"/>
          <w:lang w:val="en-GB"/>
        </w:rPr>
        <w:t xml:space="preserve"> </w:t>
      </w:r>
      <w:r w:rsidR="006721F1"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_Ref214973612 \r \h </w:instrText>
      </w:r>
      <w:r w:rsidRPr="00305E0F">
        <w:rPr>
          <w:color w:val="auto"/>
          <w:lang w:val="en-GB"/>
        </w:rPr>
      </w:r>
      <w:r w:rsidRPr="00305E0F">
        <w:rPr>
          <w:color w:val="auto"/>
          <w:lang w:val="en-GB"/>
        </w:rPr>
        <w:fldChar w:fldCharType="separate"/>
      </w:r>
      <w:r w:rsidR="00594C05" w:rsidRPr="00305E0F">
        <w:rPr>
          <w:color w:val="auto"/>
          <w:lang w:val="en-GB"/>
        </w:rPr>
        <w:t>19.1</w:t>
      </w:r>
      <w:r w:rsidRPr="00305E0F">
        <w:rPr>
          <w:color w:val="auto"/>
          <w:lang w:val="en-GB"/>
        </w:rPr>
        <w:fldChar w:fldCharType="end"/>
      </w:r>
      <w:r w:rsidRPr="00305E0F">
        <w:rPr>
          <w:color w:val="auto"/>
          <w:lang w:val="en-GB"/>
        </w:rPr>
        <w:t xml:space="preserve">, in particular under </w:t>
      </w:r>
      <w:r w:rsidR="00704220" w:rsidRPr="00305E0F">
        <w:rPr>
          <w:color w:val="auto"/>
          <w:lang w:val="en-GB"/>
        </w:rPr>
        <w:t>paragraph</w:t>
      </w:r>
      <w:r w:rsidRPr="00305E0F">
        <w:rPr>
          <w:color w:val="auto"/>
          <w:lang w:val="en-GB"/>
        </w:rPr>
        <w:t xml:space="preserve">s </w:t>
      </w:r>
      <w:r w:rsidRPr="00305E0F">
        <w:rPr>
          <w:color w:val="auto"/>
          <w:lang w:val="en-GB"/>
        </w:rPr>
        <w:fldChar w:fldCharType="begin"/>
      </w:r>
      <w:r w:rsidRPr="00305E0F">
        <w:rPr>
          <w:color w:val="auto"/>
          <w:lang w:val="en-GB"/>
        </w:rPr>
        <w:instrText xml:space="preserve"> REF _Ref215047688 \r \h </w:instrText>
      </w:r>
      <w:r w:rsidRPr="00305E0F">
        <w:rPr>
          <w:color w:val="auto"/>
          <w:lang w:val="en-GB"/>
        </w:rPr>
      </w:r>
      <w:r w:rsidRPr="00305E0F">
        <w:rPr>
          <w:color w:val="auto"/>
          <w:lang w:val="en-GB"/>
        </w:rPr>
        <w:fldChar w:fldCharType="separate"/>
      </w:r>
      <w:r w:rsidR="00594C05" w:rsidRPr="00305E0F">
        <w:rPr>
          <w:color w:val="auto"/>
          <w:lang w:val="en-GB"/>
        </w:rPr>
        <w:t>71</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_Ref215068985 \r \h </w:instrText>
      </w:r>
      <w:r w:rsidRPr="00305E0F">
        <w:rPr>
          <w:color w:val="auto"/>
          <w:lang w:val="en-GB"/>
        </w:rPr>
      </w:r>
      <w:r w:rsidRPr="00305E0F">
        <w:rPr>
          <w:color w:val="auto"/>
          <w:lang w:val="en-GB"/>
        </w:rPr>
        <w:fldChar w:fldCharType="separate"/>
      </w:r>
      <w:r w:rsidR="00594C05" w:rsidRPr="00305E0F">
        <w:rPr>
          <w:color w:val="auto"/>
          <w:lang w:val="en-GB"/>
        </w:rPr>
        <w:t>89</w:t>
      </w:r>
      <w:r w:rsidRPr="00305E0F">
        <w:rPr>
          <w:color w:val="auto"/>
          <w:lang w:val="en-GB"/>
        </w:rPr>
        <w:fldChar w:fldCharType="end"/>
      </w:r>
      <w:r w:rsidR="006721F1" w:rsidRPr="00305E0F">
        <w:rPr>
          <w:color w:val="auto"/>
          <w:lang w:val="en-GB"/>
        </w:rPr>
        <w:t xml:space="preserve"> </w:t>
      </w:r>
      <w:r w:rsidRPr="00305E0F">
        <w:rPr>
          <w:color w:val="auto"/>
          <w:lang w:val="en-GB"/>
        </w:rPr>
        <w:t>to</w:t>
      </w:r>
      <w:r w:rsidR="006721F1" w:rsidRPr="00305E0F">
        <w:rPr>
          <w:color w:val="auto"/>
          <w:lang w:val="en-GB"/>
        </w:rPr>
        <w:t xml:space="preserve"> </w:t>
      </w:r>
      <w:r w:rsidRPr="00305E0F">
        <w:rPr>
          <w:color w:val="auto"/>
          <w:lang w:val="en-GB"/>
        </w:rPr>
        <w:fldChar w:fldCharType="begin"/>
      </w:r>
      <w:r w:rsidRPr="00305E0F">
        <w:rPr>
          <w:color w:val="auto"/>
          <w:lang w:val="en-GB"/>
        </w:rPr>
        <w:instrText xml:space="preserve"> REF _Ref215221235 \r \h </w:instrText>
      </w:r>
      <w:r w:rsidRPr="00305E0F">
        <w:rPr>
          <w:color w:val="auto"/>
          <w:lang w:val="en-GB"/>
        </w:rPr>
      </w:r>
      <w:r w:rsidRPr="00305E0F">
        <w:rPr>
          <w:color w:val="auto"/>
          <w:lang w:val="en-GB"/>
        </w:rPr>
        <w:fldChar w:fldCharType="separate"/>
      </w:r>
      <w:r w:rsidR="00594C05" w:rsidRPr="00305E0F">
        <w:rPr>
          <w:color w:val="auto"/>
          <w:lang w:val="en-GB"/>
        </w:rPr>
        <w:t>93</w:t>
      </w:r>
      <w:r w:rsidRPr="00305E0F">
        <w:rPr>
          <w:color w:val="auto"/>
          <w:lang w:val="en-GB"/>
        </w:rPr>
        <w:fldChar w:fldCharType="end"/>
      </w:r>
      <w:r w:rsidR="006721F1"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_Ref215086495 \r \h </w:instrText>
      </w:r>
      <w:r w:rsidRPr="00305E0F">
        <w:rPr>
          <w:color w:val="auto"/>
          <w:lang w:val="en-GB"/>
        </w:rPr>
      </w:r>
      <w:r w:rsidRPr="00305E0F">
        <w:rPr>
          <w:color w:val="auto"/>
          <w:lang w:val="en-GB"/>
        </w:rPr>
        <w:fldChar w:fldCharType="separate"/>
      </w:r>
      <w:r w:rsidR="00594C05" w:rsidRPr="00305E0F">
        <w:rPr>
          <w:color w:val="auto"/>
          <w:lang w:val="en-GB"/>
        </w:rPr>
        <w:t>94</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_Ref215086356 \r \h </w:instrText>
      </w:r>
      <w:r w:rsidRPr="00305E0F">
        <w:rPr>
          <w:color w:val="auto"/>
          <w:lang w:val="en-GB"/>
        </w:rPr>
      </w:r>
      <w:r w:rsidRPr="00305E0F">
        <w:rPr>
          <w:color w:val="auto"/>
          <w:lang w:val="en-GB"/>
        </w:rPr>
        <w:fldChar w:fldCharType="separate"/>
      </w:r>
      <w:r w:rsidR="00594C05" w:rsidRPr="00305E0F">
        <w:rPr>
          <w:color w:val="auto"/>
          <w:lang w:val="en-GB"/>
        </w:rPr>
        <w:t>98</w:t>
      </w:r>
      <w:r w:rsidRPr="00305E0F">
        <w:rPr>
          <w:color w:val="auto"/>
          <w:lang w:val="en-GB"/>
        </w:rPr>
        <w:fldChar w:fldCharType="end"/>
      </w:r>
      <w:r w:rsidR="006721F1" w:rsidRPr="00305E0F">
        <w:rPr>
          <w:color w:val="auto"/>
          <w:lang w:val="en-GB"/>
        </w:rPr>
        <w:t>-</w:t>
      </w:r>
      <w:r w:rsidRPr="00305E0F">
        <w:rPr>
          <w:color w:val="auto"/>
          <w:lang w:val="en-GB"/>
        </w:rPr>
        <w:fldChar w:fldCharType="begin"/>
      </w:r>
      <w:r w:rsidRPr="00305E0F">
        <w:rPr>
          <w:color w:val="auto"/>
          <w:lang w:val="en-GB"/>
        </w:rPr>
        <w:instrText xml:space="preserve"> REF _Ref215221320 \r \h </w:instrText>
      </w:r>
      <w:r w:rsidRPr="00305E0F">
        <w:rPr>
          <w:color w:val="auto"/>
          <w:lang w:val="en-GB"/>
        </w:rPr>
      </w:r>
      <w:r w:rsidRPr="00305E0F">
        <w:rPr>
          <w:color w:val="auto"/>
          <w:lang w:val="en-GB"/>
        </w:rPr>
        <w:fldChar w:fldCharType="separate"/>
      </w:r>
      <w:r w:rsidR="00594C05" w:rsidRPr="00305E0F">
        <w:rPr>
          <w:color w:val="auto"/>
          <w:lang w:val="en-GB"/>
        </w:rPr>
        <w:t>99</w:t>
      </w:r>
      <w:r w:rsidRPr="00305E0F">
        <w:rPr>
          <w:color w:val="auto"/>
          <w:lang w:val="en-GB"/>
        </w:rPr>
        <w:fldChar w:fldCharType="end"/>
      </w:r>
      <w:r w:rsidRPr="00305E0F">
        <w:rPr>
          <w:color w:val="auto"/>
          <w:lang w:val="en-GB"/>
        </w:rPr>
        <w:t xml:space="preserve"> and</w:t>
      </w:r>
      <w:r w:rsidR="006721F1" w:rsidRPr="00305E0F">
        <w:rPr>
          <w:color w:val="auto"/>
          <w:lang w:val="en-GB"/>
        </w:rPr>
        <w:t xml:space="preserve"> </w:t>
      </w:r>
      <w:r w:rsidRPr="00305E0F">
        <w:rPr>
          <w:color w:val="auto"/>
          <w:lang w:val="en-GB"/>
        </w:rPr>
        <w:fldChar w:fldCharType="begin"/>
      </w:r>
      <w:r w:rsidRPr="00305E0F">
        <w:rPr>
          <w:color w:val="auto"/>
          <w:lang w:val="en-GB"/>
        </w:rPr>
        <w:instrText xml:space="preserve"> REF _Ref215086374 \r \h </w:instrText>
      </w:r>
      <w:r w:rsidRPr="00305E0F">
        <w:rPr>
          <w:color w:val="auto"/>
          <w:lang w:val="en-GB"/>
        </w:rPr>
      </w:r>
      <w:r w:rsidRPr="00305E0F">
        <w:rPr>
          <w:color w:val="auto"/>
          <w:lang w:val="en-GB"/>
        </w:rPr>
        <w:fldChar w:fldCharType="separate"/>
      </w:r>
      <w:r w:rsidR="00594C05" w:rsidRPr="00305E0F">
        <w:rPr>
          <w:color w:val="auto"/>
          <w:lang w:val="en-GB"/>
        </w:rPr>
        <w:t>102</w:t>
      </w:r>
      <w:r w:rsidRPr="00305E0F">
        <w:rPr>
          <w:color w:val="auto"/>
          <w:lang w:val="en-GB"/>
        </w:rPr>
        <w:fldChar w:fldCharType="end"/>
      </w:r>
      <w:r w:rsidRPr="00305E0F">
        <w:rPr>
          <w:color w:val="auto"/>
          <w:lang w:val="en-GB"/>
        </w:rPr>
        <w:t>, the value for each exposure used as an input in the formula for calculating the risk-weighted exposure amount and expected loss shall not be less than the sum of:</w:t>
      </w:r>
      <w:bookmarkEnd w:id="129"/>
    </w:p>
    <w:p w14:paraId="14629DA9" w14:textId="709EB473"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30" w:name="_Ref215241891"/>
      <w:r w:rsidRPr="00305E0F">
        <w:rPr>
          <w:color w:val="auto"/>
          <w:lang w:val="en-GB"/>
        </w:rPr>
        <w:t>The amount drawn from the revolving commitment;</w:t>
      </w:r>
      <w:bookmarkEnd w:id="130"/>
    </w:p>
    <w:p w14:paraId="5BB70315" w14:textId="0F1940FE"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31" w:name="_Ref215241897"/>
      <w:r w:rsidRPr="00305E0F">
        <w:rPr>
          <w:color w:val="auto"/>
          <w:lang w:val="en-GB"/>
        </w:rPr>
        <w:t>50% of the off-balance sheet exposure amount of the remaining undrawn part of the revolving commitment calculated using the applicable SA-CCF as set out in paragraphs 5 to 10 of Regulation No</w:t>
      </w:r>
      <w:r w:rsidR="006721F1" w:rsidRPr="00305E0F">
        <w:rPr>
          <w:color w:val="auto"/>
          <w:lang w:val="en-GB"/>
        </w:rPr>
        <w:t xml:space="preserve"> </w:t>
      </w:r>
      <w:r w:rsidRPr="00305E0F">
        <w:rPr>
          <w:color w:val="auto"/>
          <w:lang w:val="en-GB"/>
        </w:rPr>
        <w:t>111/2018.</w:t>
      </w:r>
      <w:bookmarkEnd w:id="131"/>
    </w:p>
    <w:p w14:paraId="2FB6087A" w14:textId="4A839DB4" w:rsidR="00EB0050" w:rsidRPr="00305E0F" w:rsidRDefault="00B02122">
      <w:pPr>
        <w:pStyle w:val="P68B1DB1-Normal7"/>
        <w:shd w:val="clear" w:color="auto" w:fill="FFFFFF"/>
        <w:tabs>
          <w:tab w:val="left" w:pos="0"/>
          <w:tab w:val="left" w:pos="567"/>
        </w:tabs>
        <w:spacing w:after="0" w:line="240" w:lineRule="auto"/>
        <w:jc w:val="both"/>
        <w:rPr>
          <w:color w:val="auto"/>
          <w:lang w:val="en-GB"/>
        </w:rPr>
      </w:pPr>
      <w:r w:rsidRPr="00305E0F">
        <w:rPr>
          <w:color w:val="auto"/>
          <w:lang w:val="en-GB"/>
        </w:rPr>
        <w:t xml:space="preserve">The sum of the amounts in sub-paragraphs </w:t>
      </w:r>
      <w:r w:rsidRPr="00305E0F">
        <w:rPr>
          <w:color w:val="auto"/>
          <w:lang w:val="en-GB"/>
        </w:rPr>
        <w:fldChar w:fldCharType="begin"/>
      </w:r>
      <w:r w:rsidRPr="00305E0F">
        <w:rPr>
          <w:color w:val="auto"/>
          <w:lang w:val="en-GB"/>
        </w:rPr>
        <w:instrText xml:space="preserve"> REF _Ref215241891 \r \h </w:instrText>
      </w:r>
      <w:r w:rsidRPr="00305E0F">
        <w:rPr>
          <w:color w:val="auto"/>
          <w:lang w:val="en-GB"/>
        </w:rPr>
      </w:r>
      <w:r w:rsidRPr="00305E0F">
        <w:rPr>
          <w:color w:val="auto"/>
          <w:lang w:val="en-GB"/>
        </w:rPr>
        <w:fldChar w:fldCharType="separate"/>
      </w:r>
      <w:r w:rsidR="00594C05" w:rsidRPr="00305E0F">
        <w:rPr>
          <w:color w:val="auto"/>
          <w:lang w:val="en-GB"/>
        </w:rPr>
        <w:t>158.1</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_Ref215241897 \r \h </w:instrText>
      </w:r>
      <w:r w:rsidRPr="00305E0F">
        <w:rPr>
          <w:color w:val="auto"/>
          <w:lang w:val="en-GB"/>
        </w:rPr>
      </w:r>
      <w:r w:rsidRPr="00305E0F">
        <w:rPr>
          <w:color w:val="auto"/>
          <w:lang w:val="en-GB"/>
        </w:rPr>
        <w:fldChar w:fldCharType="separate"/>
      </w:r>
      <w:r w:rsidR="00594C05" w:rsidRPr="00305E0F">
        <w:rPr>
          <w:color w:val="auto"/>
          <w:lang w:val="en-GB"/>
        </w:rPr>
        <w:t>158.2</w:t>
      </w:r>
      <w:r w:rsidRPr="00305E0F">
        <w:rPr>
          <w:color w:val="auto"/>
          <w:lang w:val="en-GB"/>
        </w:rPr>
        <w:fldChar w:fldCharType="end"/>
      </w:r>
      <w:r w:rsidRPr="00305E0F">
        <w:rPr>
          <w:color w:val="auto"/>
          <w:lang w:val="en-GB"/>
        </w:rPr>
        <w:t xml:space="preserve"> is referred to as the </w:t>
      </w:r>
      <w:r w:rsidR="006721F1" w:rsidRPr="00305E0F">
        <w:rPr>
          <w:color w:val="auto"/>
          <w:lang w:val="en-GB"/>
        </w:rPr>
        <w:t>“</w:t>
      </w:r>
      <w:r w:rsidRPr="00305E0F">
        <w:rPr>
          <w:color w:val="auto"/>
          <w:lang w:val="en-GB"/>
        </w:rPr>
        <w:t>CCF</w:t>
      </w:r>
      <w:r w:rsidR="006721F1" w:rsidRPr="00305E0F">
        <w:rPr>
          <w:color w:val="auto"/>
          <w:lang w:val="en-GB"/>
        </w:rPr>
        <w:t xml:space="preserve"> input</w:t>
      </w:r>
      <w:r w:rsidRPr="00305E0F">
        <w:rPr>
          <w:color w:val="auto"/>
          <w:lang w:val="en-GB"/>
        </w:rPr>
        <w:t xml:space="preserve"> floor</w:t>
      </w:r>
      <w:r w:rsidR="006721F1" w:rsidRPr="00305E0F">
        <w:rPr>
          <w:color w:val="auto"/>
          <w:lang w:val="en-GB"/>
        </w:rPr>
        <w:t>”</w:t>
      </w:r>
      <w:r w:rsidRPr="00305E0F">
        <w:rPr>
          <w:color w:val="auto"/>
          <w:lang w:val="en-GB"/>
        </w:rPr>
        <w:t>.</w:t>
      </w:r>
    </w:p>
    <w:p w14:paraId="101E0FCE" w14:textId="239A2027"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32" w:name="_Ref215241209"/>
      <w:r w:rsidRPr="00305E0F">
        <w:rPr>
          <w:color w:val="auto"/>
          <w:lang w:val="en-GB"/>
        </w:rPr>
        <w:t>Where one commitment relates to the extension of another commitment, the lower of the two conversion factors associated with the individual commitments shall be used.</w:t>
      </w:r>
      <w:bookmarkEnd w:id="132"/>
    </w:p>
    <w:p w14:paraId="06F798C8" w14:textId="18013F79"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exposure value of assets other than credit obligations shall be the carrying amount after specific credit risk adjustments have been applied.</w:t>
      </w:r>
    </w:p>
    <w:p w14:paraId="45371466" w14:textId="271C707F" w:rsidR="00EB0050" w:rsidRPr="00305E0F" w:rsidRDefault="00B02122">
      <w:pPr>
        <w:pStyle w:val="P68B1DB1-ListParagraph13"/>
        <w:shd w:val="clear" w:color="auto" w:fill="FFFFFF"/>
        <w:tabs>
          <w:tab w:val="left" w:pos="0"/>
          <w:tab w:val="left" w:pos="567"/>
        </w:tabs>
        <w:spacing w:before="120" w:after="0" w:line="240" w:lineRule="auto"/>
        <w:ind w:left="0"/>
        <w:contextualSpacing w:val="0"/>
        <w:jc w:val="center"/>
        <w:rPr>
          <w:bCs/>
          <w:color w:val="auto"/>
          <w:lang w:val="en-GB"/>
        </w:rPr>
      </w:pPr>
      <w:r w:rsidRPr="00305E0F">
        <w:rPr>
          <w:color w:val="auto"/>
          <w:lang w:val="en-GB"/>
        </w:rPr>
        <w:t>Chapter VI</w:t>
      </w:r>
    </w:p>
    <w:p w14:paraId="6D16647E" w14:textId="3645E4D9" w:rsidR="00EB0050" w:rsidRPr="00305E0F" w:rsidRDefault="00B02122">
      <w:pPr>
        <w:pStyle w:val="P68B1DB1-ListParagraph13"/>
        <w:shd w:val="clear" w:color="auto" w:fill="FFFFFF"/>
        <w:tabs>
          <w:tab w:val="left" w:pos="0"/>
          <w:tab w:val="left" w:pos="567"/>
        </w:tabs>
        <w:spacing w:after="120" w:line="240" w:lineRule="auto"/>
        <w:ind w:left="0"/>
        <w:contextualSpacing w:val="0"/>
        <w:jc w:val="center"/>
        <w:rPr>
          <w:bCs/>
          <w:color w:val="auto"/>
          <w:lang w:val="en-GB"/>
        </w:rPr>
      </w:pPr>
      <w:r w:rsidRPr="00305E0F">
        <w:rPr>
          <w:color w:val="auto"/>
          <w:lang w:val="en-GB"/>
        </w:rPr>
        <w:t>Requirements for the IRB Approach</w:t>
      </w:r>
    </w:p>
    <w:p w14:paraId="145F20DF" w14:textId="44E0F2DD"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Section 1</w:t>
      </w:r>
    </w:p>
    <w:p w14:paraId="1EC809E1" w14:textId="77777777" w:rsidR="00EB0050" w:rsidRPr="00305E0F" w:rsidRDefault="00B02122">
      <w:pPr>
        <w:pStyle w:val="P68B1DB1-ListParagraph15"/>
        <w:shd w:val="clear" w:color="auto" w:fill="FFFFFF"/>
        <w:tabs>
          <w:tab w:val="left" w:pos="0"/>
          <w:tab w:val="left" w:pos="567"/>
        </w:tabs>
        <w:spacing w:before="60" w:after="0" w:line="240" w:lineRule="auto"/>
        <w:ind w:left="0"/>
        <w:jc w:val="center"/>
        <w:rPr>
          <w:bCs/>
          <w:iCs/>
          <w:color w:val="auto"/>
          <w:lang w:val="en-GB"/>
        </w:rPr>
      </w:pPr>
      <w:r w:rsidRPr="00305E0F">
        <w:rPr>
          <w:color w:val="auto"/>
          <w:lang w:val="en-GB"/>
        </w:rPr>
        <w:t xml:space="preserve">Rating systems </w:t>
      </w:r>
    </w:p>
    <w:p w14:paraId="6F5A01B8" w14:textId="00797989"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 xml:space="preserve"> Subsection 1</w:t>
      </w:r>
    </w:p>
    <w:p w14:paraId="36B8E77A" w14:textId="3B829CD5" w:rsidR="00EB0050" w:rsidRPr="00305E0F" w:rsidRDefault="00B02122">
      <w:pPr>
        <w:pStyle w:val="P68B1DB1-ListParagraph15"/>
        <w:shd w:val="clear" w:color="auto" w:fill="FFFFFF"/>
        <w:tabs>
          <w:tab w:val="left" w:pos="0"/>
          <w:tab w:val="left" w:pos="567"/>
        </w:tabs>
        <w:spacing w:before="60" w:after="0" w:line="240" w:lineRule="auto"/>
        <w:ind w:left="0"/>
        <w:jc w:val="center"/>
        <w:rPr>
          <w:color w:val="auto"/>
          <w:lang w:val="en-GB"/>
        </w:rPr>
      </w:pPr>
      <w:r w:rsidRPr="00305E0F">
        <w:rPr>
          <w:color w:val="auto"/>
          <w:lang w:val="en-GB"/>
        </w:rPr>
        <w:t>Structure of rating systems</w:t>
      </w:r>
    </w:p>
    <w:p w14:paraId="52CB051A" w14:textId="5582C97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Where a bank uses more than one rating system, the rationale for assigning an obligor or transaction to a particular rating system shall be </w:t>
      </w:r>
      <w:r w:rsidR="006721F1" w:rsidRPr="00305E0F">
        <w:rPr>
          <w:color w:val="auto"/>
          <w:lang w:val="en-GB"/>
        </w:rPr>
        <w:t>documented</w:t>
      </w:r>
      <w:r w:rsidRPr="00305E0F">
        <w:rPr>
          <w:color w:val="auto"/>
          <w:lang w:val="en-GB"/>
        </w:rPr>
        <w:t xml:space="preserve"> and applied in such a way as to adequately reflect the level of risk.</w:t>
      </w:r>
    </w:p>
    <w:p w14:paraId="518F9827" w14:textId="4F55AA7A" w:rsidR="00EB0050" w:rsidRPr="00305E0F" w:rsidRDefault="006721F1">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Assignment criteria and processes shall be reviewed periodically to determine whether they are still appropriate to the current portfolio and external conditions.</w:t>
      </w:r>
    </w:p>
    <w:p w14:paraId="0CCCE49E" w14:textId="0E086BA7"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Where a bank uses direct estimates of risk parameters for individual obligors or exposures, these may be considered as estimates assigned to grades on a continuous rating scale.</w:t>
      </w:r>
    </w:p>
    <w:p w14:paraId="22E9CCCC" w14:textId="40C675C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structure of rating systems for exposures to corporates, banks, central governments and central and regional governments, local authorities and public sector entities shall comply with the following requirements:</w:t>
      </w:r>
    </w:p>
    <w:p w14:paraId="2459CEB6" w14:textId="2898E067"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A rating system shall take into account the risk characteristics of the obligor and the transaction;</w:t>
      </w:r>
    </w:p>
    <w:p w14:paraId="02326ABB" w14:textId="7F167D3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A rating system shall include an obligor rating scale that exclusively reflects the quantification of the default risk associated with the obligors. The obligor rating scale shall have a minimum of 7 grades for non-defaulted obligors and one grade for defaulted obligors;</w:t>
      </w:r>
    </w:p>
    <w:p w14:paraId="6BDFD0A8" w14:textId="7C023A73"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shall document the relationship between obligor grades in terms of the level of default risk involved in each grade and the criteria used to distinguish that level of default risk;</w:t>
      </w:r>
    </w:p>
    <w:p w14:paraId="64FEF6C2" w14:textId="4A8C3021"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Banks that hold portfolios focused on a particular market segment and in a given default risk range shall have a sufficient number of grades within that range to avoid excessive concentration of obligors in a given grade. Significant concentrations in a single grade shall be supported by convincing empirical evidence that the obligor grade covers a reasonably narrow PD </w:t>
      </w:r>
      <w:r w:rsidR="006721F1" w:rsidRPr="00305E0F">
        <w:rPr>
          <w:color w:val="auto"/>
          <w:lang w:val="en-GB"/>
        </w:rPr>
        <w:t>band</w:t>
      </w:r>
      <w:r w:rsidRPr="00305E0F">
        <w:rPr>
          <w:color w:val="auto"/>
          <w:lang w:val="en-GB"/>
        </w:rPr>
        <w:t xml:space="preserve"> and that the default risk of all obligors in that grade is within that </w:t>
      </w:r>
      <w:r w:rsidR="006721F1" w:rsidRPr="00305E0F">
        <w:rPr>
          <w:color w:val="auto"/>
          <w:lang w:val="en-GB"/>
        </w:rPr>
        <w:t>band</w:t>
      </w:r>
      <w:r w:rsidRPr="00305E0F">
        <w:rPr>
          <w:color w:val="auto"/>
          <w:lang w:val="en-GB"/>
        </w:rPr>
        <w:t>;</w:t>
      </w:r>
    </w:p>
    <w:p w14:paraId="369DEFF9" w14:textId="2B7EADB2"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In order to be allowed by the National Bank of Moldova to use own estimates of LGDs to determine own funds requirements, a rating </w:t>
      </w:r>
      <w:r w:rsidR="007F4F39" w:rsidRPr="00305E0F">
        <w:rPr>
          <w:color w:val="auto"/>
          <w:lang w:val="en-GB"/>
        </w:rPr>
        <w:t>system</w:t>
      </w:r>
      <w:r w:rsidRPr="00305E0F">
        <w:rPr>
          <w:color w:val="auto"/>
          <w:lang w:val="en-GB"/>
        </w:rPr>
        <w:t xml:space="preserve"> shall include a distinct </w:t>
      </w:r>
      <w:r w:rsidR="007F4F39" w:rsidRPr="00305E0F">
        <w:rPr>
          <w:color w:val="auto"/>
          <w:lang w:val="en-GB"/>
        </w:rPr>
        <w:t>facility</w:t>
      </w:r>
      <w:r w:rsidRPr="00305E0F">
        <w:rPr>
          <w:color w:val="auto"/>
          <w:lang w:val="en-GB"/>
        </w:rPr>
        <w:t xml:space="preserve"> rating scale that exclusively reflects the LGD-related characteristics of the transactions. The definition of the </w:t>
      </w:r>
      <w:r w:rsidR="007F4F39" w:rsidRPr="00305E0F">
        <w:rPr>
          <w:color w:val="auto"/>
          <w:lang w:val="en-GB"/>
        </w:rPr>
        <w:t>facility</w:t>
      </w:r>
      <w:r w:rsidRPr="00305E0F">
        <w:rPr>
          <w:color w:val="auto"/>
          <w:lang w:val="en-GB"/>
        </w:rPr>
        <w:t xml:space="preserve"> grade shall include both the description of how exposures are assigned to that grade and the criteria used to distinguish the level of risk associated with each grade;</w:t>
      </w:r>
    </w:p>
    <w:p w14:paraId="5C539AFF" w14:textId="2779B23F"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lastRenderedPageBreak/>
        <w:t xml:space="preserve">Significant concentrations in a single </w:t>
      </w:r>
      <w:r w:rsidR="007F4F39" w:rsidRPr="00305E0F">
        <w:rPr>
          <w:color w:val="auto"/>
          <w:lang w:val="en-GB"/>
        </w:rPr>
        <w:t>facility</w:t>
      </w:r>
      <w:r w:rsidRPr="00305E0F">
        <w:rPr>
          <w:color w:val="auto"/>
          <w:lang w:val="en-GB"/>
        </w:rPr>
        <w:t xml:space="preserve"> grade shall be supported by convincing empirical evidence that the </w:t>
      </w:r>
      <w:r w:rsidR="007F4F39" w:rsidRPr="00305E0F">
        <w:rPr>
          <w:color w:val="auto"/>
          <w:lang w:val="en-GB"/>
        </w:rPr>
        <w:t>facility</w:t>
      </w:r>
      <w:r w:rsidRPr="00305E0F">
        <w:rPr>
          <w:color w:val="auto"/>
          <w:lang w:val="en-GB"/>
        </w:rPr>
        <w:t xml:space="preserve"> grade covers a reasonably narrow </w:t>
      </w:r>
      <w:r w:rsidR="007F4F39" w:rsidRPr="00305E0F">
        <w:rPr>
          <w:color w:val="auto"/>
          <w:lang w:val="en-GB"/>
        </w:rPr>
        <w:t>band</w:t>
      </w:r>
      <w:r w:rsidRPr="00305E0F">
        <w:rPr>
          <w:color w:val="auto"/>
          <w:lang w:val="en-GB"/>
        </w:rPr>
        <w:t xml:space="preserve"> of LGDs and that the risk of all exposures in that grade is within that </w:t>
      </w:r>
      <w:r w:rsidR="007F4F39" w:rsidRPr="00305E0F">
        <w:rPr>
          <w:color w:val="auto"/>
          <w:lang w:val="en-GB"/>
        </w:rPr>
        <w:t>band</w:t>
      </w:r>
      <w:r w:rsidRPr="00305E0F">
        <w:rPr>
          <w:color w:val="auto"/>
          <w:lang w:val="en-GB"/>
        </w:rPr>
        <w:t>.</w:t>
      </w:r>
    </w:p>
    <w:p w14:paraId="31ABE297" w14:textId="64D895F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33" w:name="_Ref215243706"/>
      <w:r w:rsidRPr="00305E0F">
        <w:rPr>
          <w:color w:val="auto"/>
          <w:lang w:val="en-GB"/>
        </w:rPr>
        <w:t xml:space="preserve">Banks using the methods set out in </w:t>
      </w:r>
      <w:r w:rsidR="00704220" w:rsidRPr="00305E0F">
        <w:rPr>
          <w:color w:val="auto"/>
          <w:lang w:val="en-GB"/>
        </w:rPr>
        <w:t>paragraph</w:t>
      </w:r>
      <w:r w:rsidR="007F4F39" w:rsidRPr="00305E0F">
        <w:rPr>
          <w:color w:val="auto"/>
          <w:lang w:val="en-GB"/>
        </w:rPr>
        <w:t>s</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_Ref215086557 \r \h </w:instrText>
      </w:r>
      <w:r w:rsidRPr="00305E0F">
        <w:rPr>
          <w:color w:val="auto"/>
          <w:lang w:val="en-GB"/>
        </w:rPr>
      </w:r>
      <w:r w:rsidRPr="00305E0F">
        <w:rPr>
          <w:color w:val="auto"/>
          <w:lang w:val="en-GB"/>
        </w:rPr>
        <w:fldChar w:fldCharType="separate"/>
      </w:r>
      <w:r w:rsidR="00594C05" w:rsidRPr="00305E0F">
        <w:rPr>
          <w:color w:val="auto"/>
          <w:lang w:val="en-GB"/>
        </w:rPr>
        <w:t>75</w:t>
      </w:r>
      <w:r w:rsidRPr="00305E0F">
        <w:rPr>
          <w:color w:val="auto"/>
          <w:lang w:val="en-GB"/>
        </w:rPr>
        <w:fldChar w:fldCharType="end"/>
      </w:r>
      <w:r w:rsidR="007F4F39" w:rsidRPr="00305E0F">
        <w:rPr>
          <w:color w:val="auto"/>
          <w:lang w:val="en-GB"/>
        </w:rPr>
        <w:t>-</w:t>
      </w:r>
      <w:r w:rsidRPr="00305E0F">
        <w:rPr>
          <w:color w:val="auto"/>
          <w:lang w:val="en-GB"/>
        </w:rPr>
        <w:fldChar w:fldCharType="begin"/>
      </w:r>
      <w:r w:rsidRPr="00305E0F">
        <w:rPr>
          <w:color w:val="auto"/>
          <w:lang w:val="en-GB"/>
        </w:rPr>
        <w:instrText xml:space="preserve"> REF _Ref215086567 \r \h </w:instrText>
      </w:r>
      <w:r w:rsidRPr="00305E0F">
        <w:rPr>
          <w:color w:val="auto"/>
          <w:lang w:val="en-GB"/>
        </w:rPr>
      </w:r>
      <w:r w:rsidRPr="00305E0F">
        <w:rPr>
          <w:color w:val="auto"/>
          <w:lang w:val="en-GB"/>
        </w:rPr>
        <w:fldChar w:fldCharType="separate"/>
      </w:r>
      <w:r w:rsidR="00594C05" w:rsidRPr="00305E0F">
        <w:rPr>
          <w:color w:val="auto"/>
          <w:lang w:val="en-GB"/>
        </w:rPr>
        <w:t>76</w:t>
      </w:r>
      <w:r w:rsidRPr="00305E0F">
        <w:rPr>
          <w:color w:val="auto"/>
          <w:lang w:val="en-GB"/>
        </w:rPr>
        <w:fldChar w:fldCharType="end"/>
      </w:r>
      <w:r w:rsidRPr="00305E0F">
        <w:rPr>
          <w:color w:val="auto"/>
          <w:lang w:val="en-GB"/>
        </w:rPr>
        <w:t xml:space="preserve"> for assigning risk weights to specialised lending exposures shall be exempted from the obligation to have an obligor rating scale that solely reflects the quantification of the default risk associated with obligors for these exposures. Those banks shall have at least 4 grades for non-defaulted obligors and at least one grade for defaulted obligors for those exposures.</w:t>
      </w:r>
      <w:bookmarkEnd w:id="133"/>
    </w:p>
    <w:p w14:paraId="2A2092E6" w14:textId="3538113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structure of rating systems for retail exposures shall comply with the following requirements:</w:t>
      </w:r>
    </w:p>
    <w:p w14:paraId="0B64C942" w14:textId="79641C72"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Rating </w:t>
      </w:r>
      <w:r w:rsidR="007F4F39" w:rsidRPr="00305E0F">
        <w:rPr>
          <w:color w:val="auto"/>
          <w:lang w:val="en-GB"/>
        </w:rPr>
        <w:t>systems shall reflect both obligor and transaction risk, and shall capture all relevant obligor and transaction characteristics</w:t>
      </w:r>
      <w:r w:rsidRPr="00305E0F">
        <w:rPr>
          <w:color w:val="auto"/>
          <w:lang w:val="en-GB"/>
        </w:rPr>
        <w:t>.</w:t>
      </w:r>
      <w:r w:rsidR="007F4F39" w:rsidRPr="00305E0F">
        <w:rPr>
          <w:color w:val="auto"/>
          <w:lang w:val="en-GB"/>
        </w:rPr>
        <w:t xml:space="preserve"> </w:t>
      </w:r>
    </w:p>
    <w:p w14:paraId="441E100A" w14:textId="39CAC988"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The </w:t>
      </w:r>
      <w:r w:rsidR="007F4F39" w:rsidRPr="00305E0F">
        <w:rPr>
          <w:color w:val="auto"/>
          <w:lang w:val="en-GB"/>
        </w:rPr>
        <w:t>level of risk differentiation shall ensure that the number of exposures in a given grade or pool is sufficient to allow for meaningful quantification and validation of the loss characteristics at the grade or pool level. The distribution of exposures and obligors across grades or pools shall be such as to avoid excessive concentrations</w:t>
      </w:r>
      <w:r w:rsidRPr="00305E0F">
        <w:rPr>
          <w:color w:val="auto"/>
          <w:lang w:val="en-GB"/>
        </w:rPr>
        <w:t>.</w:t>
      </w:r>
      <w:r w:rsidR="007F4F39" w:rsidRPr="00305E0F">
        <w:rPr>
          <w:color w:val="auto"/>
          <w:lang w:val="en-GB"/>
        </w:rPr>
        <w:t xml:space="preserve"> </w:t>
      </w:r>
    </w:p>
    <w:p w14:paraId="612AED38" w14:textId="7DF52D70"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The </w:t>
      </w:r>
      <w:r w:rsidR="007F4F39" w:rsidRPr="00305E0F">
        <w:rPr>
          <w:color w:val="auto"/>
          <w:lang w:val="en-GB"/>
        </w:rPr>
        <w:t>process of assigning exposures to grades or pools shall provide for a meaningful differentiation of risk, for a grouping of sufficiently homogenous exposures, and shall allow for accurate and consistent estimation of loss characteristics at grade or pool level. For purchased receivables the grouping shall reflect the seller's underwriting practices and the heterogeneity of its customers</w:t>
      </w:r>
      <w:r w:rsidRPr="00305E0F">
        <w:rPr>
          <w:color w:val="auto"/>
          <w:lang w:val="en-GB"/>
        </w:rPr>
        <w:t>.</w:t>
      </w:r>
      <w:r w:rsidR="007F4F39" w:rsidRPr="00305E0F">
        <w:rPr>
          <w:color w:val="auto"/>
          <w:lang w:val="en-GB"/>
        </w:rPr>
        <w:t xml:space="preserve"> </w:t>
      </w:r>
    </w:p>
    <w:p w14:paraId="6C04E5B2" w14:textId="17F162F7"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When assigning exposures to risk classes or pools, banks shall take into account the following risk factors:</w:t>
      </w:r>
    </w:p>
    <w:p w14:paraId="20ACE5FE" w14:textId="2C12803E" w:rsidR="00EB0050" w:rsidRPr="00305E0F" w:rsidRDefault="007F4F39">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Obligor risk characteristics;</w:t>
      </w:r>
    </w:p>
    <w:p w14:paraId="6452A4BE" w14:textId="7C6A7C22" w:rsidR="00EB0050" w:rsidRPr="00305E0F" w:rsidRDefault="007F4F39">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Transaction risk characteristics, including product and funded credit protection types, recognised unfunded credit protection, loan-to-value measures, seasoning and seniority; banks shall explicitly address cases where several exposures benefit from the same funded or unfunded credit protection;</w:t>
      </w:r>
    </w:p>
    <w:p w14:paraId="0530BBA2" w14:textId="1004F664" w:rsidR="00EB0050" w:rsidRPr="00305E0F" w:rsidRDefault="007F4F39">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Delinquency, except where a bank demonstrates to the satisfaction of the National Bank of Moldova that delinquency is not a material driver of risk for the exposure.</w:t>
      </w:r>
    </w:p>
    <w:p w14:paraId="20BD1B7F" w14:textId="485C3999"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2</w:t>
      </w:r>
    </w:p>
    <w:p w14:paraId="11D4A690" w14:textId="12CD0D63" w:rsidR="00EB0050" w:rsidRPr="00305E0F" w:rsidRDefault="00B02122">
      <w:pPr>
        <w:pStyle w:val="ListParagraph"/>
        <w:shd w:val="clear" w:color="auto" w:fill="FFFFFF"/>
        <w:tabs>
          <w:tab w:val="left" w:pos="0"/>
          <w:tab w:val="left" w:pos="567"/>
        </w:tabs>
        <w:spacing w:before="60" w:after="0" w:line="240" w:lineRule="auto"/>
        <w:ind w:left="0"/>
        <w:jc w:val="center"/>
        <w:rPr>
          <w:rFonts w:ascii="Times New Roman" w:hAnsi="Times New Roman" w:cs="Times New Roman"/>
          <w:sz w:val="24"/>
          <w:szCs w:val="24"/>
          <w:lang w:val="en-GB"/>
        </w:rPr>
      </w:pPr>
      <w:r w:rsidRPr="00305E0F">
        <w:rPr>
          <w:rFonts w:ascii="Times New Roman" w:hAnsi="Times New Roman" w:cs="Times New Roman"/>
          <w:b/>
          <w:i/>
          <w:sz w:val="24"/>
          <w:szCs w:val="24"/>
          <w:lang w:val="en-GB"/>
        </w:rPr>
        <w:t>The assignment to grades or pools and the integrity of the assignment process. Use of models</w:t>
      </w:r>
    </w:p>
    <w:p w14:paraId="11882659" w14:textId="7CCC745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34" w:name="_Ref215507795"/>
      <w:r w:rsidRPr="00305E0F">
        <w:rPr>
          <w:color w:val="auto"/>
          <w:lang w:val="en-GB"/>
        </w:rPr>
        <w:t>A bank shall use specific definitions, processes and criteria to assign exposures to grades or pools within a rating system that comply with the following requirements:</w:t>
      </w:r>
      <w:bookmarkEnd w:id="134"/>
    </w:p>
    <w:p w14:paraId="734F5F5B" w14:textId="46CE8116" w:rsidR="00EB0050" w:rsidRPr="00305E0F" w:rsidRDefault="00DE6E0F">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grade or pool definitions and criteria shall be sufficiently detailed to allow those charged with assigning ratings to consistently assign obligors or facilities posing similar risk to the same grade or pool. This consistency shall exist across lines of business, departments and geographic locations;</w:t>
      </w:r>
    </w:p>
    <w:p w14:paraId="5315368F" w14:textId="11A358B7" w:rsidR="00EB0050" w:rsidRPr="00305E0F" w:rsidRDefault="00DE6E0F">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documentation of the rating process shall allow third parties to understand the assignments of exposures to grades or pools, to replicate grade and pool assignments and to evaluate the appropriateness of the assignments to a grade or a pool;</w:t>
      </w:r>
    </w:p>
    <w:p w14:paraId="29F5FEB1" w14:textId="25A8EA24" w:rsidR="00EB0050" w:rsidRPr="00305E0F" w:rsidRDefault="00DE6E0F">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criteria shall also be consistent with the bank's internal lending standards and its policies for handling troubled obligors and facilities.</w:t>
      </w:r>
    </w:p>
    <w:p w14:paraId="5DE94BAD" w14:textId="2275D58B" w:rsidR="00EB0050" w:rsidRPr="00305E0F" w:rsidRDefault="00DE6E0F">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35" w:name="_Ref215563124"/>
      <w:r w:rsidRPr="00305E0F">
        <w:rPr>
          <w:color w:val="auto"/>
          <w:lang w:val="en-GB"/>
        </w:rPr>
        <w:t>A bank shall take all relevant information into account in assigning obligors and facilities to grades or pools. Information shall be current and shall enable the bank to forecast the future performance of the exposure. The less information a bank has, the more conservative shall be its assignments of exposures to obligor and facility grades or pools. If a bank uses an external rating as a primary factor determining an internal rating assignment, the bank shall ensure that it considers other relevant information.</w:t>
      </w:r>
      <w:bookmarkEnd w:id="135"/>
    </w:p>
    <w:p w14:paraId="6F11D79E" w14:textId="3A19BAC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36" w:name="_Ref215507803"/>
      <w:r w:rsidRPr="00305E0F">
        <w:rPr>
          <w:color w:val="auto"/>
          <w:lang w:val="en-GB"/>
        </w:rPr>
        <w:t xml:space="preserve">Banks shall use a time horizon of more than one year when assigning ratings. An obligor rating is the bank’s assessment of the obligor’s ability and willingness to comply with the </w:t>
      </w:r>
      <w:r w:rsidRPr="00305E0F">
        <w:rPr>
          <w:color w:val="auto"/>
          <w:lang w:val="en-GB"/>
        </w:rPr>
        <w:lastRenderedPageBreak/>
        <w:t>contract despite adverse economic conditions or unforeseen events. Rating systems shall be designed in such a way that idiosyncratic and sector-specific changes, where they are material risk factors for the type of exposure, are a determining factor in the transitions from one grade or pool to another. The effects of business cycles can also be a driver of the transitions from one grade or pool to another.</w:t>
      </w:r>
      <w:bookmarkEnd w:id="136"/>
    </w:p>
    <w:p w14:paraId="1087AFE7" w14:textId="3836FBF3"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37" w:name="_Ref215507814"/>
      <w:r w:rsidRPr="00305E0F">
        <w:rPr>
          <w:color w:val="auto"/>
          <w:lang w:val="en-GB"/>
        </w:rPr>
        <w:t>For exposures to central governments and central banks, exposures to regional governments, local authorities and public sector entities, exposures to banks and exposures to corporates, the assignment shall be carried out in accordance with the following criteria:</w:t>
      </w:r>
      <w:bookmarkEnd w:id="137"/>
    </w:p>
    <w:p w14:paraId="3CB9BE13" w14:textId="2DB7F004"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Each obligor shall be assigned to an obligor grade as part of the credit approval process;</w:t>
      </w:r>
    </w:p>
    <w:p w14:paraId="0E6981D2" w14:textId="6A2393A0"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For exposures for which a bank has received, pursuant to paragraphs </w:t>
      </w:r>
      <w:r w:rsidRPr="00305E0F">
        <w:rPr>
          <w:color w:val="auto"/>
          <w:lang w:val="en-GB"/>
        </w:rPr>
        <w:fldChar w:fldCharType="begin"/>
      </w:r>
      <w:r w:rsidRPr="00305E0F">
        <w:rPr>
          <w:color w:val="auto"/>
          <w:lang w:val="en-GB"/>
        </w:rPr>
        <w:instrText xml:space="preserve"> REF _Ref215069496 \r \h </w:instrText>
      </w:r>
      <w:r w:rsidRPr="00305E0F">
        <w:rPr>
          <w:color w:val="auto"/>
          <w:lang w:val="en-GB"/>
        </w:rPr>
      </w:r>
      <w:r w:rsidRPr="00305E0F">
        <w:rPr>
          <w:color w:val="auto"/>
          <w:lang w:val="en-GB"/>
        </w:rPr>
        <w:fldChar w:fldCharType="separate"/>
      </w:r>
      <w:r w:rsidR="00594C05" w:rsidRPr="00305E0F">
        <w:rPr>
          <w:color w:val="auto"/>
          <w:lang w:val="en-GB"/>
        </w:rPr>
        <w:t>4</w:t>
      </w:r>
      <w:r w:rsidRPr="00305E0F">
        <w:rPr>
          <w:color w:val="auto"/>
          <w:lang w:val="en-GB"/>
        </w:rPr>
        <w:fldChar w:fldCharType="end"/>
      </w:r>
      <w:r w:rsidR="00DE6E0F" w:rsidRPr="00305E0F">
        <w:rPr>
          <w:color w:val="auto"/>
          <w:lang w:val="en-GB"/>
        </w:rPr>
        <w:t xml:space="preserve"> </w:t>
      </w:r>
      <w:r w:rsidRPr="00305E0F">
        <w:rPr>
          <w:color w:val="auto"/>
          <w:lang w:val="en-GB"/>
        </w:rPr>
        <w:t>to</w:t>
      </w:r>
      <w:r w:rsidR="00DE6E0F" w:rsidRPr="00305E0F">
        <w:rPr>
          <w:color w:val="auto"/>
          <w:lang w:val="en-GB"/>
        </w:rPr>
        <w:t xml:space="preserve"> </w:t>
      </w:r>
      <w:r w:rsidRPr="00305E0F">
        <w:rPr>
          <w:color w:val="auto"/>
          <w:lang w:val="en-GB"/>
        </w:rPr>
        <w:fldChar w:fldCharType="begin"/>
      </w:r>
      <w:r w:rsidRPr="00305E0F">
        <w:rPr>
          <w:color w:val="auto"/>
          <w:lang w:val="en-GB"/>
        </w:rPr>
        <w:instrText xml:space="preserve"> REF _Ref215069507 \r \h </w:instrText>
      </w:r>
      <w:r w:rsidRPr="00305E0F">
        <w:rPr>
          <w:color w:val="auto"/>
          <w:lang w:val="en-GB"/>
        </w:rPr>
      </w:r>
      <w:r w:rsidRPr="00305E0F">
        <w:rPr>
          <w:color w:val="auto"/>
          <w:lang w:val="en-GB"/>
        </w:rPr>
        <w:fldChar w:fldCharType="separate"/>
      </w:r>
      <w:r w:rsidR="00594C05" w:rsidRPr="00305E0F">
        <w:rPr>
          <w:color w:val="auto"/>
          <w:lang w:val="en-GB"/>
        </w:rPr>
        <w:t>7</w:t>
      </w:r>
      <w:r w:rsidRPr="00305E0F">
        <w:rPr>
          <w:color w:val="auto"/>
          <w:lang w:val="en-GB"/>
        </w:rPr>
        <w:fldChar w:fldCharType="end"/>
      </w:r>
      <w:r w:rsidRPr="00305E0F">
        <w:rPr>
          <w:color w:val="auto"/>
          <w:lang w:val="en-GB"/>
        </w:rPr>
        <w:t>, the approval of the National Bank of Moldova to use own estimates of LGDs and conversion factors, each exposure shall also be assigned to a transaction grade as part of the credit approval process;</w:t>
      </w:r>
    </w:p>
    <w:p w14:paraId="2772F68C" w14:textId="55FD8738"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Banks using the methods set out in </w:t>
      </w:r>
      <w:r w:rsidR="00704220" w:rsidRPr="00305E0F">
        <w:rPr>
          <w:color w:val="auto"/>
          <w:lang w:val="en-GB"/>
        </w:rPr>
        <w:t>paragraph</w:t>
      </w:r>
      <w:r w:rsidRPr="00305E0F">
        <w:rPr>
          <w:color w:val="auto"/>
          <w:lang w:val="en-GB"/>
        </w:rPr>
        <w:t xml:space="preserve">s </w:t>
      </w:r>
      <w:r w:rsidRPr="00305E0F">
        <w:rPr>
          <w:color w:val="auto"/>
          <w:lang w:val="en-GB"/>
        </w:rPr>
        <w:fldChar w:fldCharType="begin"/>
      </w:r>
      <w:r w:rsidRPr="00305E0F">
        <w:rPr>
          <w:color w:val="auto"/>
          <w:lang w:val="en-GB"/>
        </w:rPr>
        <w:instrText xml:space="preserve"> REF _Ref215086557 \r \h </w:instrText>
      </w:r>
      <w:r w:rsidRPr="00305E0F">
        <w:rPr>
          <w:color w:val="auto"/>
          <w:lang w:val="en-GB"/>
        </w:rPr>
      </w:r>
      <w:r w:rsidRPr="00305E0F">
        <w:rPr>
          <w:color w:val="auto"/>
          <w:lang w:val="en-GB"/>
        </w:rPr>
        <w:fldChar w:fldCharType="separate"/>
      </w:r>
      <w:r w:rsidR="00594C05" w:rsidRPr="00305E0F">
        <w:rPr>
          <w:color w:val="auto"/>
          <w:lang w:val="en-GB"/>
        </w:rPr>
        <w:t>75</w:t>
      </w:r>
      <w:r w:rsidRPr="00305E0F">
        <w:rPr>
          <w:color w:val="auto"/>
          <w:lang w:val="en-GB"/>
        </w:rPr>
        <w:fldChar w:fldCharType="end"/>
      </w:r>
      <w:r w:rsidR="00DE6E0F" w:rsidRPr="00305E0F">
        <w:rPr>
          <w:color w:val="auto"/>
          <w:lang w:val="en-GB"/>
        </w:rPr>
        <w:t>-</w:t>
      </w:r>
      <w:r w:rsidRPr="00305E0F">
        <w:rPr>
          <w:color w:val="auto"/>
          <w:lang w:val="en-GB"/>
        </w:rPr>
        <w:fldChar w:fldCharType="begin"/>
      </w:r>
      <w:r w:rsidRPr="00305E0F">
        <w:rPr>
          <w:color w:val="auto"/>
          <w:lang w:val="en-GB"/>
        </w:rPr>
        <w:instrText xml:space="preserve"> REF _Ref215086567 \r \h </w:instrText>
      </w:r>
      <w:r w:rsidRPr="00305E0F">
        <w:rPr>
          <w:color w:val="auto"/>
          <w:lang w:val="en-GB"/>
        </w:rPr>
      </w:r>
      <w:r w:rsidRPr="00305E0F">
        <w:rPr>
          <w:color w:val="auto"/>
          <w:lang w:val="en-GB"/>
        </w:rPr>
        <w:fldChar w:fldCharType="separate"/>
      </w:r>
      <w:r w:rsidR="00594C05" w:rsidRPr="00305E0F">
        <w:rPr>
          <w:color w:val="auto"/>
          <w:lang w:val="en-GB"/>
        </w:rPr>
        <w:t>76</w:t>
      </w:r>
      <w:r w:rsidRPr="00305E0F">
        <w:rPr>
          <w:color w:val="auto"/>
          <w:lang w:val="en-GB"/>
        </w:rPr>
        <w:fldChar w:fldCharType="end"/>
      </w:r>
      <w:r w:rsidRPr="00305E0F">
        <w:rPr>
          <w:color w:val="auto"/>
          <w:lang w:val="en-GB"/>
        </w:rPr>
        <w:t xml:space="preserve"> for assigning risk weights to specialised lending exposures shall assign each of those exposures to a rating grade in accordance with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_Ref215243706 \r \h </w:instrText>
      </w:r>
      <w:r w:rsidRPr="00305E0F">
        <w:rPr>
          <w:color w:val="auto"/>
          <w:lang w:val="en-GB"/>
        </w:rPr>
      </w:r>
      <w:r w:rsidRPr="00305E0F">
        <w:rPr>
          <w:color w:val="auto"/>
          <w:lang w:val="en-GB"/>
        </w:rPr>
        <w:fldChar w:fldCharType="separate"/>
      </w:r>
      <w:r w:rsidR="00594C05" w:rsidRPr="00305E0F">
        <w:rPr>
          <w:color w:val="auto"/>
          <w:lang w:val="en-GB"/>
        </w:rPr>
        <w:t>165</w:t>
      </w:r>
      <w:r w:rsidRPr="00305E0F">
        <w:rPr>
          <w:color w:val="auto"/>
          <w:lang w:val="en-GB"/>
        </w:rPr>
        <w:fldChar w:fldCharType="end"/>
      </w:r>
      <w:r w:rsidRPr="00305E0F">
        <w:rPr>
          <w:color w:val="auto"/>
          <w:lang w:val="en-GB"/>
        </w:rPr>
        <w:t>;</w:t>
      </w:r>
    </w:p>
    <w:p w14:paraId="05ED08D9" w14:textId="3397938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38" w:name="_Ref222836166"/>
      <w:r w:rsidRPr="00305E0F">
        <w:rPr>
          <w:color w:val="auto"/>
          <w:lang w:val="en-GB"/>
        </w:rPr>
        <w:t>Each separate legal entity to which the bank has exposures shall be assessed separately;</w:t>
      </w:r>
      <w:bookmarkEnd w:id="138"/>
    </w:p>
    <w:p w14:paraId="1BC06832" w14:textId="7F81BE1A"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Separate exposures to the same obligor shall be assigned to the same obligor grade, irrespective of differences in the nature of each specific transaction. However, separate exposures may result in the same obligor being assigned to more than one grade in the following cases:</w:t>
      </w:r>
    </w:p>
    <w:p w14:paraId="1334C3C5" w14:textId="673A22FC" w:rsidR="00EB0050" w:rsidRPr="00305E0F" w:rsidRDefault="00B02122">
      <w:pPr>
        <w:pStyle w:val="P68B1DB1-ListParagraph8"/>
        <w:numPr>
          <w:ilvl w:val="2"/>
          <w:numId w:val="2"/>
        </w:numPr>
        <w:shd w:val="clear" w:color="auto" w:fill="FFFFFF"/>
        <w:tabs>
          <w:tab w:val="left" w:pos="0"/>
        </w:tabs>
        <w:spacing w:before="60" w:after="0" w:line="240" w:lineRule="auto"/>
        <w:ind w:left="0"/>
        <w:jc w:val="both"/>
        <w:rPr>
          <w:color w:val="auto"/>
          <w:lang w:val="en-GB"/>
        </w:rPr>
      </w:pPr>
      <w:r w:rsidRPr="00305E0F">
        <w:rPr>
          <w:color w:val="auto"/>
          <w:lang w:val="en-GB"/>
        </w:rPr>
        <w:t>There is a country transfer risk depending on whether the exposures are denominated in the local currency or in a foreign currency;</w:t>
      </w:r>
    </w:p>
    <w:p w14:paraId="7E6E79AB" w14:textId="4C4F4FAE" w:rsidR="00EB0050" w:rsidRPr="00305E0F" w:rsidRDefault="00B02122">
      <w:pPr>
        <w:pStyle w:val="P68B1DB1-ListParagraph8"/>
        <w:numPr>
          <w:ilvl w:val="2"/>
          <w:numId w:val="2"/>
        </w:numPr>
        <w:shd w:val="clear" w:color="auto" w:fill="FFFFFF"/>
        <w:tabs>
          <w:tab w:val="left" w:pos="0"/>
        </w:tabs>
        <w:spacing w:before="60" w:after="0" w:line="240" w:lineRule="auto"/>
        <w:ind w:left="0"/>
        <w:jc w:val="both"/>
        <w:rPr>
          <w:color w:val="auto"/>
          <w:lang w:val="en-GB"/>
        </w:rPr>
      </w:pPr>
      <w:r w:rsidRPr="00305E0F">
        <w:rPr>
          <w:color w:val="auto"/>
          <w:lang w:val="en-GB"/>
        </w:rPr>
        <w:t>The treatment of associated</w:t>
      </w:r>
      <w:r w:rsidR="00DE6E0F" w:rsidRPr="00305E0F">
        <w:rPr>
          <w:color w:val="auto"/>
          <w:lang w:val="en-GB"/>
        </w:rPr>
        <w:t xml:space="preserve"> guarantees</w:t>
      </w:r>
      <w:r w:rsidRPr="00305E0F">
        <w:rPr>
          <w:color w:val="auto"/>
          <w:lang w:val="en-GB"/>
        </w:rPr>
        <w:t xml:space="preserve"> </w:t>
      </w:r>
      <w:r w:rsidR="00DE6E0F" w:rsidRPr="00305E0F">
        <w:rPr>
          <w:color w:val="auto"/>
          <w:lang w:val="en-GB"/>
        </w:rPr>
        <w:t>to</w:t>
      </w:r>
      <w:r w:rsidRPr="00305E0F">
        <w:rPr>
          <w:color w:val="auto"/>
          <w:lang w:val="en-GB"/>
        </w:rPr>
        <w:t xml:space="preserve"> an exposure may consist of adjusting a rating assigned to the obligor;</w:t>
      </w:r>
    </w:p>
    <w:p w14:paraId="23C060FA" w14:textId="5B4B29B0" w:rsidR="00EB0050" w:rsidRPr="00305E0F" w:rsidRDefault="00B02122">
      <w:pPr>
        <w:pStyle w:val="P68B1DB1-ListParagraph8"/>
        <w:numPr>
          <w:ilvl w:val="2"/>
          <w:numId w:val="2"/>
        </w:numPr>
        <w:shd w:val="clear" w:color="auto" w:fill="FFFFFF"/>
        <w:tabs>
          <w:tab w:val="left" w:pos="0"/>
        </w:tabs>
        <w:spacing w:before="60" w:after="0" w:line="240" w:lineRule="auto"/>
        <w:ind w:left="0"/>
        <w:jc w:val="both"/>
        <w:rPr>
          <w:color w:val="auto"/>
          <w:lang w:val="en-GB"/>
        </w:rPr>
      </w:pPr>
      <w:r w:rsidRPr="00305E0F">
        <w:rPr>
          <w:color w:val="auto"/>
          <w:lang w:val="en-GB"/>
        </w:rPr>
        <w:t>Consumer protection or bank secrecy laws, or any other regulations, prohibit the exchange of customer information.</w:t>
      </w:r>
    </w:p>
    <w:p w14:paraId="05C98D86" w14:textId="55373429"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DE6E0F"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_Ref222836166 \r \h </w:instrText>
      </w:r>
      <w:r w:rsidRPr="00305E0F">
        <w:rPr>
          <w:color w:val="auto"/>
          <w:lang w:val="en-GB"/>
        </w:rPr>
      </w:r>
      <w:r w:rsidRPr="00305E0F">
        <w:rPr>
          <w:color w:val="auto"/>
          <w:lang w:val="en-GB"/>
        </w:rPr>
        <w:fldChar w:fldCharType="separate"/>
      </w:r>
      <w:r w:rsidR="00594C05" w:rsidRPr="00305E0F">
        <w:rPr>
          <w:color w:val="auto"/>
          <w:lang w:val="en-GB"/>
        </w:rPr>
        <w:t>171.4</w:t>
      </w:r>
      <w:r w:rsidRPr="00305E0F">
        <w:rPr>
          <w:color w:val="auto"/>
          <w:lang w:val="en-GB"/>
        </w:rPr>
        <w:fldChar w:fldCharType="end"/>
      </w:r>
      <w:r w:rsidRPr="00305E0F">
        <w:rPr>
          <w:color w:val="auto"/>
          <w:lang w:val="en-GB"/>
        </w:rPr>
        <w:t>, a bank shall have appropriate policies regarding the treatment of individual obligor clients and groups of connected clients. Those policies shall contain a process for identifying Specific Wrong-Way Risk for each legal entity to which the bank has exposures.</w:t>
      </w:r>
    </w:p>
    <w:p w14:paraId="5CC826F0" w14:textId="559F861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the normative acts of the National Bank of Moldova </w:t>
      </w:r>
      <w:r w:rsidR="00DE6E0F" w:rsidRPr="00305E0F">
        <w:rPr>
          <w:color w:val="auto"/>
          <w:lang w:val="en-GB"/>
        </w:rPr>
        <w:t>on</w:t>
      </w:r>
      <w:r w:rsidRPr="00305E0F">
        <w:rPr>
          <w:color w:val="auto"/>
          <w:lang w:val="en-GB"/>
        </w:rPr>
        <w:t xml:space="preserve"> the treatment of counterparty credit risk, transactions with counterparties for which a specific Wrong-Way risk has been identified shall be treated differently when calculating their exposure value.</w:t>
      </w:r>
    </w:p>
    <w:p w14:paraId="0DA364A8" w14:textId="3637C52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For retail exposures, each exposure shall be assigned to a grade or pool as part of the credit approval process.</w:t>
      </w:r>
    </w:p>
    <w:p w14:paraId="100C1F64" w14:textId="514EF811" w:rsidR="00EB0050" w:rsidRPr="00305E0F" w:rsidRDefault="00DE6E0F">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39" w:name="_Ref215507822"/>
      <w:r w:rsidRPr="00305E0F">
        <w:rPr>
          <w:color w:val="auto"/>
          <w:lang w:val="en-GB"/>
        </w:rPr>
        <w:t>For grade and pool assignments banks shall document the situations in which human judgement may override the inputs or outputs of the assignment process and the personnel responsible for approving these overrides. Banks shall document these overrides and note down the personnel responsible. Banks shall analyse the performance of the exposures whose assignments have been overridden. This analysis shall include an assessment of the performance of exposures whose rating has been overridden by a particular person, accounting for all the responsible personnel.</w:t>
      </w:r>
      <w:bookmarkEnd w:id="139"/>
    </w:p>
    <w:p w14:paraId="66E80945" w14:textId="5CF5C144" w:rsidR="00EB0050" w:rsidRPr="00305E0F" w:rsidRDefault="00D9335C">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40" w:name="_Ref215507833"/>
      <w:r w:rsidRPr="00305E0F">
        <w:rPr>
          <w:color w:val="auto"/>
          <w:lang w:val="en-GB"/>
        </w:rPr>
        <w:t>For exposures to central governments and central banks, exposures to regional governments, local authorities and public sector entities, exposures to banks and exposures to corporates, the assignment process shall meet the following requirements:</w:t>
      </w:r>
      <w:bookmarkEnd w:id="140"/>
    </w:p>
    <w:p w14:paraId="2309B34A" w14:textId="33EEFE81" w:rsidR="00EB0050" w:rsidRPr="00305E0F" w:rsidRDefault="00D9335C">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Assignments and periodic reviews of assignments shall be completed or approved by an independent party that does not directly benefit from decisions to extend the credit. </w:t>
      </w:r>
    </w:p>
    <w:p w14:paraId="462FD4BB" w14:textId="66A720AE" w:rsidR="00EB0050" w:rsidRPr="00305E0F" w:rsidRDefault="00D9335C">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review assignments at least annually and adjust the assignment where the result of the review does not justify carrying forward the current assignment. High risk obligors and problem exposures shall be subject to more frequent review. Banks shall undertake a new assignment if material information on the obligor or exposure becomes available.</w:t>
      </w:r>
    </w:p>
    <w:p w14:paraId="3400E246" w14:textId="63430F07"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lastRenderedPageBreak/>
        <w:t>A bank shall have in place an efficient process to obtain and update relevant information on obligor characteristics affecting PDs and transaction characteristics affecting LGDs or conversion factors.</w:t>
      </w:r>
    </w:p>
    <w:p w14:paraId="42C754A6" w14:textId="09F9FC8F" w:rsidR="00EB0050" w:rsidRPr="00305E0F" w:rsidRDefault="00D9335C">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41" w:name="_Ref215507839"/>
      <w:r w:rsidRPr="00305E0F">
        <w:rPr>
          <w:color w:val="auto"/>
          <w:lang w:val="en-GB"/>
        </w:rPr>
        <w:t>For retail exposures, a bank shall at least annually review obligor and facility assignments and adjust the assignment where the result of the review does not justify carrying forward the current assignment, or review the loss characteristics and delinquency status of each identified risk pool, whichever applicable. A bank shall also at least annually review in a representative sample the status of individual exposures within each pool as a means of ensuring that exposures continue to be assigned to the correct pool, and adjust the assignment where the result of the review does not justify carrying forward the current assignment.</w:t>
      </w:r>
      <w:bookmarkEnd w:id="141"/>
    </w:p>
    <w:p w14:paraId="22815A9B" w14:textId="77875E8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42" w:name="_Ref215507559"/>
      <w:r w:rsidRPr="00305E0F">
        <w:rPr>
          <w:color w:val="auto"/>
          <w:lang w:val="en-GB"/>
        </w:rPr>
        <w:t>Banks shall use statistical or other mathematical methods (</w:t>
      </w:r>
      <w:r w:rsidR="00D9335C" w:rsidRPr="00305E0F">
        <w:rPr>
          <w:color w:val="auto"/>
          <w:lang w:val="en-GB"/>
        </w:rPr>
        <w:t>“</w:t>
      </w:r>
      <w:r w:rsidRPr="00305E0F">
        <w:rPr>
          <w:color w:val="auto"/>
          <w:lang w:val="en-GB"/>
        </w:rPr>
        <w:t>models</w:t>
      </w:r>
      <w:r w:rsidR="00D9335C" w:rsidRPr="00305E0F">
        <w:rPr>
          <w:color w:val="auto"/>
          <w:lang w:val="en-GB"/>
        </w:rPr>
        <w:t>”</w:t>
      </w:r>
      <w:r w:rsidRPr="00305E0F">
        <w:rPr>
          <w:color w:val="auto"/>
          <w:lang w:val="en-GB"/>
        </w:rPr>
        <w:t>) to assign exposures to obligor or transaction grades or pools. The following requirements shall be met:</w:t>
      </w:r>
      <w:bookmarkEnd w:id="142"/>
    </w:p>
    <w:p w14:paraId="4082DFA4" w14:textId="2D82AFE1" w:rsidR="00EB0050" w:rsidRPr="00305E0F" w:rsidRDefault="00D9335C">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43" w:name="_Ref215243891"/>
      <w:r w:rsidRPr="00305E0F">
        <w:rPr>
          <w:color w:val="auto"/>
          <w:lang w:val="en-GB"/>
        </w:rPr>
        <w:t>The model shall have good predictive power and own funds requirements shall not be distorted as a result of its use;</w:t>
      </w:r>
      <w:bookmarkEnd w:id="143"/>
    </w:p>
    <w:p w14:paraId="14B78FF3" w14:textId="272BE314"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 </w:t>
      </w:r>
      <w:r w:rsidR="002E41BF" w:rsidRPr="00305E0F">
        <w:rPr>
          <w:color w:val="auto"/>
          <w:lang w:val="en-GB"/>
        </w:rPr>
        <w:t>The bank shall have in place a process for vetting data inputs into the model, which includes an assessment of the accuracy, completeness and appropriateness of the data</w:t>
      </w:r>
      <w:r w:rsidRPr="00305E0F">
        <w:rPr>
          <w:color w:val="auto"/>
          <w:lang w:val="en-GB"/>
        </w:rPr>
        <w:t>;</w:t>
      </w:r>
    </w:p>
    <w:p w14:paraId="518A9FEE" w14:textId="44982FC0"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 </w:t>
      </w:r>
      <w:r w:rsidR="002E41BF" w:rsidRPr="00305E0F">
        <w:rPr>
          <w:color w:val="auto"/>
          <w:lang w:val="en-GB"/>
        </w:rPr>
        <w:t>The data used to build the model shall be representative of the population of the bank's actual obligors or exposures</w:t>
      </w:r>
      <w:r w:rsidRPr="00305E0F">
        <w:rPr>
          <w:color w:val="auto"/>
          <w:lang w:val="en-GB"/>
        </w:rPr>
        <w:t>;</w:t>
      </w:r>
    </w:p>
    <w:p w14:paraId="7CEAA4DA" w14:textId="786D80F2" w:rsidR="00EB0050" w:rsidRPr="00305E0F" w:rsidRDefault="002E41BF">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shall have a regular cycle of model validation that includes monitoring of model performance and stability; review of model specification; and testing of model outputs against outcomes;</w:t>
      </w:r>
    </w:p>
    <w:p w14:paraId="2DCB2651" w14:textId="5D36B60A" w:rsidR="00EB0050" w:rsidRPr="00305E0F" w:rsidRDefault="002E41BF">
      <w:pPr>
        <w:pStyle w:val="P68B1DB1-ListParagraph11"/>
        <w:numPr>
          <w:ilvl w:val="1"/>
          <w:numId w:val="2"/>
        </w:numPr>
        <w:shd w:val="clear" w:color="auto" w:fill="FFFFFF"/>
        <w:tabs>
          <w:tab w:val="left" w:pos="0"/>
          <w:tab w:val="left" w:pos="567"/>
        </w:tabs>
        <w:spacing w:before="60" w:after="0" w:line="240" w:lineRule="auto"/>
        <w:jc w:val="both"/>
        <w:rPr>
          <w:color w:val="auto"/>
          <w:sz w:val="24"/>
          <w:szCs w:val="24"/>
          <w:lang w:val="en-GB"/>
        </w:rPr>
      </w:pPr>
      <w:r w:rsidRPr="00305E0F">
        <w:rPr>
          <w:color w:val="auto"/>
          <w:sz w:val="24"/>
          <w:szCs w:val="24"/>
          <w:lang w:val="en-GB"/>
        </w:rPr>
        <w:t>The bank shall complement the statistical model by human judgement and human oversight to review model-based assignments and to ensure that the models are used appropriately. Review procedures shall aim at finding and limiting errors associated with model weaknesses. Human judgements shall take into account all relevant information not considered by the model. The bank shall document how human judgement and model results are to be combined.</w:t>
      </w:r>
      <w:r w:rsidRPr="00305E0F">
        <w:rPr>
          <w:color w:val="auto"/>
          <w:sz w:val="18"/>
          <w:szCs w:val="18"/>
          <w:highlight w:val="lightGray"/>
          <w:lang w:val="en-GB"/>
        </w:rPr>
        <w:t xml:space="preserve"> </w:t>
      </w:r>
    </w:p>
    <w:p w14:paraId="66E98E3C" w14:textId="3D6923F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44" w:name="_Ref215507565"/>
      <w:r w:rsidRPr="00305E0F">
        <w:rPr>
          <w:color w:val="auto"/>
          <w:lang w:val="en-GB"/>
        </w:rPr>
        <w:t xml:space="preserve">For the purposes of </w:t>
      </w:r>
      <w:r w:rsidR="002E41BF"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_Ref215243891 \r \h </w:instrText>
      </w:r>
      <w:r w:rsidRPr="00305E0F">
        <w:rPr>
          <w:color w:val="auto"/>
          <w:lang w:val="en-GB"/>
        </w:rPr>
      </w:r>
      <w:r w:rsidRPr="00305E0F">
        <w:rPr>
          <w:color w:val="auto"/>
          <w:lang w:val="en-GB"/>
        </w:rPr>
        <w:fldChar w:fldCharType="separate"/>
      </w:r>
      <w:r w:rsidR="00594C05" w:rsidRPr="00305E0F">
        <w:rPr>
          <w:color w:val="auto"/>
          <w:lang w:val="en-GB"/>
        </w:rPr>
        <w:t>178.1</w:t>
      </w:r>
      <w:r w:rsidRPr="00305E0F">
        <w:rPr>
          <w:color w:val="auto"/>
          <w:lang w:val="en-GB"/>
        </w:rPr>
        <w:fldChar w:fldCharType="end"/>
      </w:r>
      <w:r w:rsidRPr="00305E0F">
        <w:rPr>
          <w:color w:val="auto"/>
          <w:lang w:val="en-GB"/>
        </w:rPr>
        <w:t xml:space="preserve">, </w:t>
      </w:r>
      <w:r w:rsidR="002E41BF" w:rsidRPr="00305E0F">
        <w:rPr>
          <w:color w:val="auto"/>
          <w:lang w:val="en-GB"/>
        </w:rPr>
        <w:t>the input variables shall form a reasonable and effective basis for the resulting predictions. The model shall not have material biases. There shall be a functional link between the inputs and the outputs of the model, which may be determined through expert judgement, where appropriate</w:t>
      </w:r>
      <w:r w:rsidRPr="00305E0F">
        <w:rPr>
          <w:color w:val="auto"/>
          <w:lang w:val="en-GB"/>
        </w:rPr>
        <w:t>.</w:t>
      </w:r>
      <w:bookmarkEnd w:id="144"/>
    </w:p>
    <w:p w14:paraId="59134055" w14:textId="17335F5A"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3</w:t>
      </w:r>
    </w:p>
    <w:p w14:paraId="5297F3A4" w14:textId="6AF1638B" w:rsidR="00EB0050" w:rsidRPr="00305E0F" w:rsidRDefault="00B02122">
      <w:pPr>
        <w:pStyle w:val="P68B1DB1-Normal16"/>
        <w:shd w:val="clear" w:color="auto" w:fill="FFFFFF"/>
        <w:tabs>
          <w:tab w:val="left" w:pos="0"/>
          <w:tab w:val="left" w:pos="567"/>
        </w:tabs>
        <w:spacing w:after="120" w:line="240" w:lineRule="auto"/>
        <w:jc w:val="center"/>
        <w:rPr>
          <w:color w:val="auto"/>
          <w:lang w:val="en-GB"/>
        </w:rPr>
      </w:pPr>
      <w:r w:rsidRPr="00305E0F">
        <w:rPr>
          <w:color w:val="auto"/>
          <w:lang w:val="en-GB"/>
        </w:rPr>
        <w:t xml:space="preserve">Documentation of rating systems and data </w:t>
      </w:r>
      <w:r w:rsidR="002E41BF" w:rsidRPr="00305E0F">
        <w:rPr>
          <w:color w:val="auto"/>
          <w:lang w:val="en-GB"/>
        </w:rPr>
        <w:t>maintenance</w:t>
      </w:r>
    </w:p>
    <w:p w14:paraId="1FDB9629" w14:textId="47E2C48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45" w:name="_Ref215567127"/>
      <w:r w:rsidRPr="00305E0F">
        <w:rPr>
          <w:color w:val="auto"/>
          <w:lang w:val="en-GB"/>
        </w:rPr>
        <w:t xml:space="preserve">Banks </w:t>
      </w:r>
      <w:r w:rsidR="002E41BF" w:rsidRPr="00305E0F">
        <w:rPr>
          <w:color w:val="auto"/>
          <w:lang w:val="en-GB"/>
        </w:rPr>
        <w:t>shall document the design and operational details of its rating systems. The documentation shall provide evidence of compliance with the requirements in this</w:t>
      </w:r>
      <w:r w:rsidRPr="00305E0F">
        <w:rPr>
          <w:color w:val="auto"/>
          <w:lang w:val="en-GB"/>
        </w:rPr>
        <w:t xml:space="preserve"> Chapter </w:t>
      </w:r>
      <w:r w:rsidR="002E41BF" w:rsidRPr="00305E0F">
        <w:rPr>
          <w:color w:val="auto"/>
          <w:lang w:val="en-GB"/>
        </w:rPr>
        <w:t>and address topics including portfolio differentiation, rating criteria, responsibilities of parties that rate obligors and exposures, frequency of assignment reviews, and management oversight of the rating process</w:t>
      </w:r>
      <w:r w:rsidRPr="00305E0F">
        <w:rPr>
          <w:color w:val="auto"/>
          <w:lang w:val="en-GB"/>
        </w:rPr>
        <w:t>.</w:t>
      </w:r>
      <w:bookmarkEnd w:id="145"/>
      <w:r w:rsidR="002E41BF" w:rsidRPr="00305E0F">
        <w:rPr>
          <w:color w:val="auto"/>
          <w:lang w:val="en-GB"/>
        </w:rPr>
        <w:t xml:space="preserve"> </w:t>
      </w:r>
    </w:p>
    <w:p w14:paraId="461C69B4" w14:textId="1100A262" w:rsidR="00EB0050" w:rsidRPr="00305E0F" w:rsidRDefault="002E41BF">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bank shall document the rationale for and analysis supporting its choice of rating criteria. A bank shall document all major changes in the risk rating process, and such documentation shall support identification of changes made to the risk rating process subsequent to the last review by the National Bank of Moldova. The organisation of rating assignment including the rating assignment process and the internal control structure shall also be documented.</w:t>
      </w:r>
    </w:p>
    <w:p w14:paraId="4B0FEAD1" w14:textId="0EEDBD7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Banks </w:t>
      </w:r>
      <w:r w:rsidR="002E41BF" w:rsidRPr="00305E0F">
        <w:rPr>
          <w:color w:val="auto"/>
          <w:lang w:val="en-GB"/>
        </w:rPr>
        <w:t>shall document the specific definitions of default and loss used internally and ensure consistency with the definitions set out in this Regulation</w:t>
      </w:r>
      <w:r w:rsidRPr="00305E0F">
        <w:rPr>
          <w:color w:val="auto"/>
          <w:lang w:val="en-GB"/>
        </w:rPr>
        <w:t>.</w:t>
      </w:r>
      <w:r w:rsidR="002E41BF" w:rsidRPr="00305E0F">
        <w:rPr>
          <w:color w:val="auto"/>
          <w:lang w:val="en-GB"/>
        </w:rPr>
        <w:t xml:space="preserve"> </w:t>
      </w:r>
    </w:p>
    <w:p w14:paraId="3CB03841" w14:textId="7A071B4B" w:rsidR="00EB0050" w:rsidRPr="00305E0F" w:rsidRDefault="002E41BF">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Where the bank employs statistical models in the rating process, the bank shall document their methodologies. This material shall:</w:t>
      </w:r>
    </w:p>
    <w:p w14:paraId="55B01875" w14:textId="2B2821B1" w:rsidR="00EB0050" w:rsidRPr="00305E0F" w:rsidRDefault="002E41BF">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Provide a detailed outline of the theory, assumptions and mathematical and empirical basis of the assignment of estimates to grades, individual obligors, exposures, or pools, and the data source(s) used to estimate the model;</w:t>
      </w:r>
    </w:p>
    <w:p w14:paraId="6536DA5C" w14:textId="20FE1667" w:rsidR="00EB0050" w:rsidRPr="00305E0F" w:rsidRDefault="002E41BF">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Establish a rigorous statistical process including out-of-time and out-of-sample performance tests for validating the model;</w:t>
      </w:r>
    </w:p>
    <w:p w14:paraId="37669863" w14:textId="66A70DA0" w:rsidR="00EB0050" w:rsidRPr="00305E0F" w:rsidRDefault="002E41BF">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Indicate any circumstances under which the model does not work effectively.</w:t>
      </w:r>
    </w:p>
    <w:p w14:paraId="49F9D9A9" w14:textId="3685D4A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Where a bank has obtained a rating system, or a model used in a rating system, from a third-party </w:t>
      </w:r>
      <w:r w:rsidR="00194B63" w:rsidRPr="00305E0F">
        <w:rPr>
          <w:color w:val="auto"/>
          <w:lang w:val="en-GB"/>
        </w:rPr>
        <w:t>vendor</w:t>
      </w:r>
      <w:r w:rsidRPr="00305E0F">
        <w:rPr>
          <w:color w:val="auto"/>
          <w:lang w:val="en-GB"/>
        </w:rPr>
        <w:t xml:space="preserve"> and the </w:t>
      </w:r>
      <w:r w:rsidR="00194B63" w:rsidRPr="00305E0F">
        <w:rPr>
          <w:color w:val="auto"/>
          <w:lang w:val="en-GB"/>
        </w:rPr>
        <w:t>vendor</w:t>
      </w:r>
      <w:r w:rsidRPr="00305E0F">
        <w:rPr>
          <w:color w:val="auto"/>
          <w:lang w:val="en-GB"/>
        </w:rPr>
        <w:t xml:space="preserve"> denies or restricts the bank’s access to information related to the methodology of that rating system or model, or to the underlying data used to develop that methodology or model, by invoking proprietary rights in that information, the bank concerned shall demonstrate to the satisfaction of the National Bank of Moldova that the requirements laid down in this Subsection are met.</w:t>
      </w:r>
    </w:p>
    <w:p w14:paraId="043DA491" w14:textId="13264AFD"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4</w:t>
      </w:r>
    </w:p>
    <w:p w14:paraId="4BDEF32A" w14:textId="75F49E9B" w:rsidR="00EB0050" w:rsidRPr="00305E0F" w:rsidRDefault="00194B63">
      <w:pPr>
        <w:pStyle w:val="P68B1DB1-ListParagraph15"/>
        <w:shd w:val="clear" w:color="auto" w:fill="FFFFFF"/>
        <w:tabs>
          <w:tab w:val="left" w:pos="0"/>
          <w:tab w:val="left" w:pos="567"/>
        </w:tabs>
        <w:spacing w:after="120" w:line="240" w:lineRule="auto"/>
        <w:ind w:left="0"/>
        <w:jc w:val="center"/>
        <w:rPr>
          <w:color w:val="auto"/>
          <w:lang w:val="en-GB"/>
        </w:rPr>
      </w:pPr>
      <w:r w:rsidRPr="00305E0F">
        <w:rPr>
          <w:color w:val="auto"/>
          <w:lang w:val="en-GB"/>
        </w:rPr>
        <w:t>Data maintenance</w:t>
      </w:r>
    </w:p>
    <w:p w14:paraId="10DDE828" w14:textId="1E69965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Banks collect and maintain data on various aspects of their internal ratings, as provided for in the normative acts of the National Bank of Moldova </w:t>
      </w:r>
      <w:r w:rsidR="00194B63" w:rsidRPr="00305E0F">
        <w:rPr>
          <w:color w:val="auto"/>
          <w:lang w:val="en-GB"/>
        </w:rPr>
        <w:t>on</w:t>
      </w:r>
      <w:r w:rsidRPr="00305E0F">
        <w:rPr>
          <w:color w:val="auto"/>
          <w:lang w:val="en-GB"/>
        </w:rPr>
        <w:t xml:space="preserve"> the </w:t>
      </w:r>
      <w:r w:rsidR="00194B63" w:rsidRPr="00305E0F">
        <w:rPr>
          <w:color w:val="auto"/>
          <w:lang w:val="en-GB"/>
        </w:rPr>
        <w:t>requirements for publication of information by</w:t>
      </w:r>
      <w:r w:rsidRPr="00305E0F">
        <w:rPr>
          <w:color w:val="auto"/>
          <w:lang w:val="en-GB"/>
        </w:rPr>
        <w:t xml:space="preserve"> banks.</w:t>
      </w:r>
    </w:p>
    <w:p w14:paraId="2C200001" w14:textId="59987D2F"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For exposures to central governments and central banks, exposures to regional governments, local authorities and public sector entities, exposures to banks and exposures to corporates, banks shall collect and store:</w:t>
      </w:r>
    </w:p>
    <w:p w14:paraId="7C53CA30" w14:textId="34BE5840"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Complete rating histories on obligors and recognised guarantors;</w:t>
      </w:r>
    </w:p>
    <w:p w14:paraId="50755E06" w14:textId="612D8604"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dates the ratings were assigned;</w:t>
      </w:r>
    </w:p>
    <w:p w14:paraId="58BB3042" w14:textId="72D8D88A"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key data and methodology used to derive the rating;</w:t>
      </w:r>
    </w:p>
    <w:p w14:paraId="104A2A94" w14:textId="775EB4F7"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person responsible for the rating assignment;</w:t>
      </w:r>
    </w:p>
    <w:p w14:paraId="23F3F8E1" w14:textId="09CDDE70"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identity of obligors and exposures that defaulted;</w:t>
      </w:r>
    </w:p>
    <w:p w14:paraId="1F09CDBD" w14:textId="44EE340A"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date and circumstances of such defaults;</w:t>
      </w:r>
    </w:p>
    <w:p w14:paraId="5C2CCE7E" w14:textId="7221ABBC"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Data on the PDs and realised default rates associated with rating grades and ratings migration.</w:t>
      </w:r>
    </w:p>
    <w:p w14:paraId="2B39320C" w14:textId="2087F3A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For exposures for which this Regulation allows the use of own estimates of LGD or the use of IRB-CCF, but for which banks do not use own estimates of LGD or IRB-CCF, banks shall collect and maintain data on comparisons between actual LGD values and values set out in paragraph</w:t>
      </w:r>
      <w:r w:rsidR="00194B63" w:rsidRPr="00305E0F">
        <w:rPr>
          <w:color w:val="auto"/>
          <w:lang w:val="en-GB"/>
        </w:rPr>
        <w:t xml:space="preserve"> </w:t>
      </w:r>
      <w:r w:rsidRPr="00305E0F">
        <w:rPr>
          <w:color w:val="auto"/>
          <w:lang w:val="en-GB"/>
        </w:rPr>
        <w:fldChar w:fldCharType="begin"/>
      </w:r>
      <w:r w:rsidRPr="00305E0F">
        <w:rPr>
          <w:color w:val="auto"/>
          <w:lang w:val="en-GB"/>
        </w:rPr>
        <w:instrText xml:space="preserve"> REF _Ref215235445 \r \h </w:instrText>
      </w:r>
      <w:r w:rsidRPr="00305E0F">
        <w:rPr>
          <w:color w:val="auto"/>
          <w:lang w:val="en-GB"/>
        </w:rPr>
      </w:r>
      <w:r w:rsidRPr="00305E0F">
        <w:rPr>
          <w:color w:val="auto"/>
          <w:lang w:val="en-GB"/>
        </w:rPr>
        <w:fldChar w:fldCharType="separate"/>
      </w:r>
      <w:r w:rsidR="00594C05" w:rsidRPr="00305E0F">
        <w:rPr>
          <w:color w:val="auto"/>
          <w:lang w:val="en-GB"/>
        </w:rPr>
        <w:t>144</w:t>
      </w:r>
      <w:r w:rsidRPr="00305E0F">
        <w:rPr>
          <w:color w:val="auto"/>
          <w:lang w:val="en-GB"/>
        </w:rPr>
        <w:fldChar w:fldCharType="end"/>
      </w:r>
      <w:r w:rsidRPr="00305E0F">
        <w:rPr>
          <w:color w:val="auto"/>
          <w:lang w:val="en-GB"/>
        </w:rPr>
        <w:t>, and between actual CCF values and SA-CCF values set out in paragraph</w:t>
      </w:r>
      <w:r w:rsidR="00194B63" w:rsidRPr="00305E0F">
        <w:rPr>
          <w:color w:val="auto"/>
          <w:lang w:val="en-GB"/>
        </w:rPr>
        <w:t xml:space="preserve"> </w:t>
      </w:r>
      <w:r w:rsidRPr="00305E0F">
        <w:rPr>
          <w:color w:val="auto"/>
          <w:lang w:val="en-GB"/>
        </w:rPr>
        <w:fldChar w:fldCharType="begin"/>
      </w:r>
      <w:r w:rsidRPr="00305E0F">
        <w:rPr>
          <w:color w:val="auto"/>
          <w:lang w:val="en-GB"/>
        </w:rPr>
        <w:instrText xml:space="preserve"> REF _Ref215235759 \r \h </w:instrText>
      </w:r>
      <w:r w:rsidRPr="00305E0F">
        <w:rPr>
          <w:color w:val="auto"/>
          <w:lang w:val="en-GB"/>
        </w:rPr>
      </w:r>
      <w:r w:rsidRPr="00305E0F">
        <w:rPr>
          <w:color w:val="auto"/>
          <w:lang w:val="en-GB"/>
        </w:rPr>
        <w:fldChar w:fldCharType="separate"/>
      </w:r>
      <w:r w:rsidR="00594C05" w:rsidRPr="00305E0F">
        <w:rPr>
          <w:color w:val="auto"/>
          <w:lang w:val="en-GB"/>
        </w:rPr>
        <w:t>155</w:t>
      </w:r>
      <w:r w:rsidRPr="00305E0F">
        <w:rPr>
          <w:color w:val="auto"/>
          <w:lang w:val="en-GB"/>
        </w:rPr>
        <w:fldChar w:fldCharType="end"/>
      </w:r>
      <w:r w:rsidRPr="00305E0F">
        <w:rPr>
          <w:color w:val="auto"/>
          <w:lang w:val="en-GB"/>
        </w:rPr>
        <w:t>.</w:t>
      </w:r>
    </w:p>
    <w:p w14:paraId="62B39260" w14:textId="2A3C45B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Banks using own estimates of LGDs and conversion factors shall collect and retain:</w:t>
      </w:r>
    </w:p>
    <w:p w14:paraId="31E967C5" w14:textId="32E99F85"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Complete histories of data on the facility ratings and LGD and conversion factor estimates associated with each rating scale;</w:t>
      </w:r>
    </w:p>
    <w:p w14:paraId="48B0B2D6" w14:textId="754ED889"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sz w:val="18"/>
          <w:szCs w:val="18"/>
          <w:lang w:val="en-GB"/>
        </w:rPr>
      </w:pPr>
      <w:r w:rsidRPr="00305E0F">
        <w:rPr>
          <w:color w:val="auto"/>
          <w:lang w:val="en-GB"/>
        </w:rPr>
        <w:t>The dates on which the ratings were assigned and the estimates were made;</w:t>
      </w:r>
    </w:p>
    <w:p w14:paraId="10B27CC3" w14:textId="704049A4"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key data and methodology used to derive the facility ratings and LGD and conversion factor estimates;</w:t>
      </w:r>
    </w:p>
    <w:p w14:paraId="1416D61B" w14:textId="13062E0B"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person who assigned the facility rating and the person who provided LGD and conversion factor estimates;</w:t>
      </w:r>
    </w:p>
    <w:p w14:paraId="148D6864" w14:textId="7CD17F8E"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Data on the estimated and realised LGDs and conversion factors associated with each defaulted exposure;</w:t>
      </w:r>
    </w:p>
    <w:p w14:paraId="4672D48D" w14:textId="67C45337"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Data on the LGD of the exposure before and after evaluation of the effects of a guarantee/or credit derivative, for those banks that reflect the credit risk mitigating effects of guarantees or credit derivatives through LGD.</w:t>
      </w:r>
    </w:p>
    <w:p w14:paraId="22E9378F" w14:textId="56CD4449"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Data on the components of loss for each defaulted exposure.</w:t>
      </w:r>
    </w:p>
    <w:p w14:paraId="28A181F1" w14:textId="3AA374D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For retail exposures, banks shall collect and store:</w:t>
      </w:r>
    </w:p>
    <w:p w14:paraId="147DD786" w14:textId="04E08AB6" w:rsidR="00EB0050" w:rsidRPr="00305E0F" w:rsidRDefault="00194B6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Data used in the process of allocating exposures to grades or pools;</w:t>
      </w:r>
    </w:p>
    <w:p w14:paraId="58FDCD59" w14:textId="34D16E71" w:rsidR="00EB0050" w:rsidRPr="00305E0F" w:rsidRDefault="001C25D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Data on the estimated PDs, LGDs and conversion factors associated with grades or pools of exposures;</w:t>
      </w:r>
    </w:p>
    <w:p w14:paraId="5C986EA2" w14:textId="183B00A3" w:rsidR="00EB0050" w:rsidRPr="00305E0F" w:rsidRDefault="001C25D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identity of obligors and exposures that defaulted;</w:t>
      </w:r>
    </w:p>
    <w:p w14:paraId="37604D87" w14:textId="6B9B2CB1" w:rsidR="00EB0050" w:rsidRPr="00305E0F" w:rsidRDefault="001C25D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For defaulted exposures, data on the grades or pools to which the exposure was assigned over the year prior to default and the realised outcomes on LGD and conversion factor;</w:t>
      </w:r>
    </w:p>
    <w:p w14:paraId="1930925C" w14:textId="4926648A" w:rsidR="00EB0050" w:rsidRPr="00305E0F" w:rsidRDefault="001C25D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Data on loss rates for qualifying revolving retail exposures.</w:t>
      </w:r>
    </w:p>
    <w:p w14:paraId="530281E4" w14:textId="037ECAA4"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5</w:t>
      </w:r>
    </w:p>
    <w:p w14:paraId="223DE9C3" w14:textId="7D4A7BDA" w:rsidR="00EB0050" w:rsidRPr="00305E0F" w:rsidRDefault="00B02122">
      <w:pPr>
        <w:pStyle w:val="P68B1DB1-ListParagraph15"/>
        <w:shd w:val="clear" w:color="auto" w:fill="FFFFFF"/>
        <w:tabs>
          <w:tab w:val="left" w:pos="0"/>
          <w:tab w:val="left" w:pos="567"/>
        </w:tabs>
        <w:spacing w:after="120" w:line="240" w:lineRule="auto"/>
        <w:ind w:left="0"/>
        <w:jc w:val="center"/>
        <w:rPr>
          <w:color w:val="auto"/>
          <w:lang w:val="en-GB"/>
        </w:rPr>
      </w:pPr>
      <w:r w:rsidRPr="00305E0F">
        <w:rPr>
          <w:color w:val="auto"/>
          <w:lang w:val="en-GB"/>
        </w:rPr>
        <w:t xml:space="preserve">Stress tests used </w:t>
      </w:r>
      <w:r w:rsidR="001C25D3" w:rsidRPr="00305E0F">
        <w:rPr>
          <w:color w:val="auto"/>
          <w:lang w:val="en-GB"/>
        </w:rPr>
        <w:t>in</w:t>
      </w:r>
      <w:r w:rsidRPr="00305E0F">
        <w:rPr>
          <w:color w:val="auto"/>
          <w:lang w:val="en-GB"/>
        </w:rPr>
        <w:t xml:space="preserve"> assess</w:t>
      </w:r>
      <w:r w:rsidR="001C25D3" w:rsidRPr="00305E0F">
        <w:rPr>
          <w:color w:val="auto"/>
          <w:lang w:val="en-GB"/>
        </w:rPr>
        <w:t>ment of</w:t>
      </w:r>
      <w:r w:rsidRPr="00305E0F">
        <w:rPr>
          <w:color w:val="auto"/>
          <w:lang w:val="en-GB"/>
        </w:rPr>
        <w:t xml:space="preserve"> capital adequacy</w:t>
      </w:r>
    </w:p>
    <w:p w14:paraId="6DACF1BB" w14:textId="47784386" w:rsidR="00EB0050" w:rsidRPr="00305E0F" w:rsidRDefault="001C25D3">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r w:rsidRPr="00305E0F">
        <w:rPr>
          <w:color w:val="auto"/>
          <w:sz w:val="24"/>
          <w:szCs w:val="24"/>
          <w:lang w:val="en-GB"/>
        </w:rPr>
        <w:t>A bank shall have in place sound stress testing processes for use in the assessment of its capital adequacy. Stress testing shall involve identifying possible events or future changes in economic conditions that could have unfavourable effects on bank’s credit exposures and assessment of the bank’s ability to withstand such changes.</w:t>
      </w:r>
      <w:r w:rsidRPr="00305E0F">
        <w:rPr>
          <w:color w:val="auto"/>
          <w:sz w:val="18"/>
          <w:szCs w:val="18"/>
          <w:highlight w:val="lightGray"/>
          <w:lang w:val="en-GB"/>
        </w:rPr>
        <w:t xml:space="preserve"> </w:t>
      </w:r>
    </w:p>
    <w:p w14:paraId="23F82461" w14:textId="15F39618" w:rsidR="00EB0050" w:rsidRPr="00305E0F" w:rsidRDefault="001C25D3">
      <w:pPr>
        <w:pStyle w:val="P68B1DB1-ListParagraph11"/>
        <w:numPr>
          <w:ilvl w:val="0"/>
          <w:numId w:val="2"/>
        </w:numPr>
        <w:shd w:val="clear" w:color="auto" w:fill="FFFFFF"/>
        <w:tabs>
          <w:tab w:val="left" w:pos="0"/>
          <w:tab w:val="left" w:pos="567"/>
        </w:tabs>
        <w:spacing w:before="60" w:after="0" w:line="240" w:lineRule="auto"/>
        <w:ind w:firstLine="567"/>
        <w:jc w:val="both"/>
        <w:rPr>
          <w:color w:val="auto"/>
          <w:sz w:val="24"/>
          <w:szCs w:val="24"/>
          <w:lang w:val="en-GB"/>
        </w:rPr>
      </w:pPr>
      <w:bookmarkStart w:id="146" w:name="_Ref215244293"/>
      <w:r w:rsidRPr="00305E0F">
        <w:rPr>
          <w:color w:val="auto"/>
          <w:sz w:val="24"/>
          <w:szCs w:val="24"/>
          <w:lang w:val="en-GB"/>
        </w:rPr>
        <w:t>A bank shall regularly perform a credit risk stress test to assess the effect of certain specific conditions on its total capital requirements for credit risk. The test shall be one chosen by the bank, subject to supervisory review. The test to be employed shall be meaningful and consider the effects of severe, but plausible, recession scenarios. A bank shall assess migration in its ratings under the stress test scenarios. Stressed portfolios shall contain the vast majority of a bank’s total exposure.</w:t>
      </w:r>
      <w:r w:rsidRPr="00305E0F">
        <w:rPr>
          <w:color w:val="auto"/>
          <w:sz w:val="18"/>
          <w:szCs w:val="18"/>
          <w:highlight w:val="lightGray"/>
          <w:lang w:val="en-GB"/>
        </w:rPr>
        <w:t xml:space="preserve"> </w:t>
      </w:r>
      <w:bookmarkEnd w:id="146"/>
    </w:p>
    <w:p w14:paraId="6C4DCFAF" w14:textId="4F49A96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The scenarios used under paragraph </w:t>
      </w:r>
      <w:r w:rsidRPr="00305E0F">
        <w:rPr>
          <w:color w:val="auto"/>
          <w:lang w:val="en-GB"/>
        </w:rPr>
        <w:fldChar w:fldCharType="begin"/>
      </w:r>
      <w:r w:rsidRPr="00305E0F">
        <w:rPr>
          <w:color w:val="auto"/>
          <w:lang w:val="en-GB"/>
        </w:rPr>
        <w:instrText xml:space="preserve"> REF _Ref215244293 \r \h </w:instrText>
      </w:r>
      <w:r w:rsidRPr="00305E0F">
        <w:rPr>
          <w:color w:val="auto"/>
          <w:lang w:val="en-GB"/>
        </w:rPr>
      </w:r>
      <w:r w:rsidRPr="00305E0F">
        <w:rPr>
          <w:color w:val="auto"/>
          <w:lang w:val="en-GB"/>
        </w:rPr>
        <w:fldChar w:fldCharType="separate"/>
      </w:r>
      <w:r w:rsidR="00594C05" w:rsidRPr="00305E0F">
        <w:rPr>
          <w:color w:val="auto"/>
          <w:lang w:val="en-GB"/>
        </w:rPr>
        <w:t>191</w:t>
      </w:r>
      <w:r w:rsidRPr="00305E0F">
        <w:rPr>
          <w:color w:val="auto"/>
          <w:lang w:val="en-GB"/>
        </w:rPr>
        <w:fldChar w:fldCharType="end"/>
      </w:r>
      <w:r w:rsidRPr="00305E0F">
        <w:rPr>
          <w:color w:val="auto"/>
          <w:lang w:val="en-GB"/>
        </w:rPr>
        <w:t xml:space="preserve"> shall also include ESG risk </w:t>
      </w:r>
      <w:r w:rsidR="001C25D3" w:rsidRPr="00305E0F">
        <w:rPr>
          <w:color w:val="auto"/>
          <w:lang w:val="en-GB"/>
        </w:rPr>
        <w:t>drivers</w:t>
      </w:r>
      <w:r w:rsidRPr="00305E0F">
        <w:rPr>
          <w:color w:val="auto"/>
          <w:lang w:val="en-GB"/>
        </w:rPr>
        <w:t xml:space="preserve">, in particular physical and transition risk </w:t>
      </w:r>
      <w:r w:rsidR="001C25D3" w:rsidRPr="00305E0F">
        <w:rPr>
          <w:color w:val="auto"/>
          <w:lang w:val="en-GB"/>
        </w:rPr>
        <w:t>drivers</w:t>
      </w:r>
      <w:r w:rsidRPr="00305E0F">
        <w:rPr>
          <w:color w:val="auto"/>
          <w:lang w:val="en-GB"/>
        </w:rPr>
        <w:t xml:space="preserve"> stemming from climate change.</w:t>
      </w:r>
    </w:p>
    <w:p w14:paraId="7D4D14D0" w14:textId="05D8735E"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Section 2</w:t>
      </w:r>
    </w:p>
    <w:p w14:paraId="1124644E" w14:textId="52DBC771" w:rsidR="00EB0050" w:rsidRPr="00305E0F" w:rsidRDefault="00B02122">
      <w:pPr>
        <w:pStyle w:val="P68B1DB1-ListParagraph15"/>
        <w:shd w:val="clear" w:color="auto" w:fill="FFFFFF"/>
        <w:tabs>
          <w:tab w:val="left" w:pos="0"/>
          <w:tab w:val="left" w:pos="567"/>
        </w:tabs>
        <w:spacing w:before="60" w:after="0" w:line="240" w:lineRule="auto"/>
        <w:ind w:left="0"/>
        <w:jc w:val="center"/>
        <w:rPr>
          <w:bCs/>
          <w:iCs/>
          <w:color w:val="auto"/>
          <w:lang w:val="en-GB"/>
        </w:rPr>
      </w:pPr>
      <w:r w:rsidRPr="00305E0F">
        <w:rPr>
          <w:color w:val="auto"/>
          <w:lang w:val="en-GB"/>
        </w:rPr>
        <w:t>Risk quantification and validation of internal estimates</w:t>
      </w:r>
    </w:p>
    <w:p w14:paraId="2482E705" w14:textId="3F3E19D8"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1</w:t>
      </w:r>
    </w:p>
    <w:p w14:paraId="457EB748" w14:textId="697E8CFE" w:rsidR="00EB0050" w:rsidRPr="00305E0F" w:rsidRDefault="001C25D3">
      <w:pPr>
        <w:pStyle w:val="P68B1DB1-ListParagraph15"/>
        <w:shd w:val="clear" w:color="auto" w:fill="FFFFFF"/>
        <w:tabs>
          <w:tab w:val="left" w:pos="0"/>
          <w:tab w:val="left" w:pos="567"/>
        </w:tabs>
        <w:spacing w:before="60" w:after="0" w:line="240" w:lineRule="auto"/>
        <w:ind w:left="0"/>
        <w:jc w:val="center"/>
        <w:rPr>
          <w:color w:val="auto"/>
          <w:lang w:val="en-GB"/>
        </w:rPr>
      </w:pPr>
      <w:r w:rsidRPr="00305E0F">
        <w:rPr>
          <w:bCs/>
          <w:color w:val="auto"/>
          <w:lang w:val="en-GB"/>
        </w:rPr>
        <w:t>Overall requirements for estimation</w:t>
      </w:r>
    </w:p>
    <w:p w14:paraId="1D12B236" w14:textId="1B15F35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The default of an obligor or credit facility shall be determined in accordance with paragraphs 23 to 28 of Regulation </w:t>
      </w:r>
      <w:r w:rsidR="001C25D3" w:rsidRPr="00305E0F">
        <w:rPr>
          <w:color w:val="auto"/>
          <w:lang w:val="en-GB"/>
        </w:rPr>
        <w:t xml:space="preserve">No </w:t>
      </w:r>
      <w:r w:rsidRPr="00305E0F">
        <w:rPr>
          <w:color w:val="auto"/>
          <w:lang w:val="en-GB"/>
        </w:rPr>
        <w:t>111</w:t>
      </w:r>
      <w:r w:rsidR="001C25D3" w:rsidRPr="00305E0F">
        <w:rPr>
          <w:color w:val="auto"/>
          <w:lang w:val="en-GB"/>
        </w:rPr>
        <w:t>/2018</w:t>
      </w:r>
      <w:r w:rsidRPr="00305E0F">
        <w:rPr>
          <w:color w:val="auto"/>
          <w:lang w:val="en-GB"/>
        </w:rPr>
        <w:t>.</w:t>
      </w:r>
    </w:p>
    <w:p w14:paraId="30A0A28D" w14:textId="551C3E5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Banks using external data that are not consistent with the definition of default set out in paragraph 23 of Regulation </w:t>
      </w:r>
      <w:r w:rsidR="001C25D3" w:rsidRPr="00305E0F">
        <w:rPr>
          <w:color w:val="auto"/>
          <w:lang w:val="en-GB"/>
        </w:rPr>
        <w:t xml:space="preserve">No 111/2018 </w:t>
      </w:r>
      <w:r w:rsidRPr="00305E0F">
        <w:rPr>
          <w:color w:val="auto"/>
          <w:lang w:val="en-GB"/>
        </w:rPr>
        <w:t>shall make appropriate adjustments to achieve substantial equivalence with the definition of default.</w:t>
      </w:r>
    </w:p>
    <w:p w14:paraId="44BF1CFE" w14:textId="0591421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When quantifying the risk parameters to be associated with grades or pools, banks shall apply the following requirements:</w:t>
      </w:r>
    </w:p>
    <w:p w14:paraId="7E56271D" w14:textId="3A201C1E"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A bank’s own estimates of risk parameters: PD, LGD, conversion factor and expected loss shall take into account all relevant data, information and methods. Estimates are obtained using historical experience and empirical evidence and are not based solely on considerations derived from professional judgement. Estimates shall be plausible and intuitive and shall be based on the main factors determining the evolution of those risk parameters. A bank’s estimates must be all the more prudent as it has less data.</w:t>
      </w:r>
    </w:p>
    <w:p w14:paraId="1ED43FF3" w14:textId="01353D82" w:rsidR="00EB0050" w:rsidRPr="00305E0F" w:rsidRDefault="001C25D3">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A bank shall be able to provide a breakdown of its loss experience in terms of default frequency, LGD, conversion factor, or loss where EL estimates are used, by the factors it sees as the drivers of the respective risk parameters. The </w:t>
      </w:r>
      <w:r w:rsidR="00306026" w:rsidRPr="00305E0F">
        <w:rPr>
          <w:color w:val="auto"/>
          <w:lang w:val="en-GB"/>
        </w:rPr>
        <w:t>bank’s</w:t>
      </w:r>
      <w:r w:rsidRPr="00305E0F">
        <w:rPr>
          <w:color w:val="auto"/>
          <w:lang w:val="en-GB"/>
        </w:rPr>
        <w:t xml:space="preserve"> estimates shall be representative of long run experience;</w:t>
      </w:r>
    </w:p>
    <w:p w14:paraId="29412321" w14:textId="4E769FBD"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Any changes in lending practices or in the process of recovering amounts due during the observation periods referred to in sub</w:t>
      </w:r>
      <w:r w:rsidR="00306026" w:rsidRPr="00305E0F">
        <w:rPr>
          <w:color w:val="auto"/>
          <w:lang w:val="en-GB"/>
        </w:rPr>
        <w:t>-</w:t>
      </w:r>
      <w:r w:rsidRPr="00305E0F">
        <w:rPr>
          <w:color w:val="auto"/>
          <w:lang w:val="en-GB"/>
        </w:rPr>
        <w:t xml:space="preserve">paragraphs </w:t>
      </w:r>
      <w:r w:rsidRPr="00305E0F">
        <w:rPr>
          <w:color w:val="auto"/>
          <w:lang w:val="en-GB"/>
        </w:rPr>
        <w:fldChar w:fldCharType="begin"/>
      </w:r>
      <w:r w:rsidRPr="00305E0F">
        <w:rPr>
          <w:color w:val="auto"/>
          <w:lang w:val="en-GB"/>
        </w:rPr>
        <w:instrText xml:space="preserve"> REF _Ref215295374 \r \h </w:instrText>
      </w:r>
      <w:r w:rsidRPr="00305E0F">
        <w:rPr>
          <w:color w:val="auto"/>
          <w:lang w:val="en-GB"/>
        </w:rPr>
      </w:r>
      <w:r w:rsidRPr="00305E0F">
        <w:rPr>
          <w:color w:val="auto"/>
          <w:lang w:val="en-GB"/>
        </w:rPr>
        <w:fldChar w:fldCharType="separate"/>
      </w:r>
      <w:r w:rsidR="00594C05" w:rsidRPr="00305E0F">
        <w:rPr>
          <w:color w:val="auto"/>
          <w:lang w:val="en-GB"/>
        </w:rPr>
        <w:t>198.8</w:t>
      </w:r>
      <w:r w:rsidRPr="00305E0F">
        <w:rPr>
          <w:color w:val="auto"/>
          <w:lang w:val="en-GB"/>
        </w:rPr>
        <w:fldChar w:fldCharType="end"/>
      </w:r>
      <w:r w:rsidRPr="00305E0F">
        <w:rPr>
          <w:color w:val="auto"/>
          <w:lang w:val="en-GB"/>
        </w:rPr>
        <w:t xml:space="preserve"> and</w:t>
      </w:r>
      <w:r w:rsidR="00306026" w:rsidRPr="00305E0F">
        <w:rPr>
          <w:color w:val="auto"/>
          <w:lang w:val="en-GB"/>
        </w:rPr>
        <w:t xml:space="preserve"> </w:t>
      </w:r>
      <w:r w:rsidRPr="00305E0F">
        <w:rPr>
          <w:color w:val="auto"/>
          <w:lang w:val="en-GB"/>
        </w:rPr>
        <w:fldChar w:fldCharType="begin"/>
      </w:r>
      <w:r w:rsidRPr="00305E0F">
        <w:rPr>
          <w:color w:val="auto"/>
          <w:lang w:val="en-GB"/>
        </w:rPr>
        <w:instrText xml:space="preserve"> REF _Ref215296131 \r \h </w:instrText>
      </w:r>
      <w:r w:rsidRPr="00305E0F">
        <w:rPr>
          <w:color w:val="auto"/>
          <w:lang w:val="en-GB"/>
        </w:rPr>
      </w:r>
      <w:r w:rsidRPr="00305E0F">
        <w:rPr>
          <w:color w:val="auto"/>
          <w:lang w:val="en-GB"/>
        </w:rPr>
        <w:fldChar w:fldCharType="separate"/>
      </w:r>
      <w:r w:rsidR="00594C05" w:rsidRPr="00305E0F">
        <w:rPr>
          <w:color w:val="auto"/>
          <w:lang w:val="en-GB"/>
        </w:rPr>
        <w:t>200.5</w:t>
      </w:r>
      <w:r w:rsidRPr="00305E0F">
        <w:rPr>
          <w:color w:val="auto"/>
          <w:lang w:val="en-GB"/>
        </w:rPr>
        <w:fldChar w:fldCharType="end"/>
      </w:r>
      <w:r w:rsidRPr="00305E0F">
        <w:rPr>
          <w:color w:val="auto"/>
          <w:lang w:val="en-GB"/>
        </w:rPr>
        <w:t>, sub</w:t>
      </w:r>
      <w:r w:rsidR="00306026" w:rsidRPr="00305E0F">
        <w:rPr>
          <w:color w:val="auto"/>
          <w:lang w:val="en-GB"/>
        </w:rPr>
        <w:t>-</w:t>
      </w:r>
      <w:r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_Ref215506114 \r \h </w:instrText>
      </w:r>
      <w:r w:rsidRPr="00305E0F">
        <w:rPr>
          <w:color w:val="auto"/>
          <w:lang w:val="en-GB"/>
        </w:rPr>
      </w:r>
      <w:r w:rsidRPr="00305E0F">
        <w:rPr>
          <w:color w:val="auto"/>
          <w:lang w:val="en-GB"/>
        </w:rPr>
        <w:fldChar w:fldCharType="separate"/>
      </w:r>
      <w:r w:rsidR="00594C05" w:rsidRPr="00305E0F">
        <w:rPr>
          <w:color w:val="auto"/>
          <w:lang w:val="en-GB"/>
        </w:rPr>
        <w:t>202.10</w:t>
      </w:r>
      <w:r w:rsidRPr="00305E0F">
        <w:rPr>
          <w:color w:val="auto"/>
          <w:lang w:val="en-GB"/>
        </w:rPr>
        <w:fldChar w:fldCharType="end"/>
      </w:r>
      <w:r w:rsidRPr="00305E0F">
        <w:rPr>
          <w:color w:val="auto"/>
          <w:lang w:val="en-GB"/>
        </w:rPr>
        <w:t xml:space="preserve"> and </w:t>
      </w:r>
      <w:r w:rsidR="00704220" w:rsidRPr="00305E0F">
        <w:rPr>
          <w:color w:val="auto"/>
          <w:lang w:val="en-GB"/>
        </w:rPr>
        <w:t>paragraph</w:t>
      </w:r>
      <w:r w:rsidRPr="00305E0F">
        <w:rPr>
          <w:color w:val="auto"/>
          <w:lang w:val="en-GB"/>
        </w:rPr>
        <w:t xml:space="preserve">s </w:t>
      </w:r>
      <w:r w:rsidRPr="00305E0F">
        <w:rPr>
          <w:color w:val="auto"/>
          <w:lang w:val="en-GB"/>
        </w:rPr>
        <w:fldChar w:fldCharType="begin"/>
      </w:r>
      <w:r w:rsidRPr="00305E0F">
        <w:rPr>
          <w:color w:val="auto"/>
          <w:lang w:val="en-GB"/>
        </w:rPr>
        <w:instrText xml:space="preserve"> REF _Ref215506133 \r \h </w:instrText>
      </w:r>
      <w:r w:rsidRPr="00305E0F">
        <w:rPr>
          <w:color w:val="auto"/>
          <w:lang w:val="en-GB"/>
        </w:rPr>
      </w:r>
      <w:r w:rsidRPr="00305E0F">
        <w:rPr>
          <w:color w:val="auto"/>
          <w:lang w:val="en-GB"/>
        </w:rPr>
        <w:fldChar w:fldCharType="separate"/>
      </w:r>
      <w:r w:rsidR="00594C05" w:rsidRPr="00305E0F">
        <w:rPr>
          <w:color w:val="auto"/>
          <w:lang w:val="en-GB"/>
        </w:rPr>
        <w:t>206</w:t>
      </w:r>
      <w:r w:rsidRPr="00305E0F">
        <w:rPr>
          <w:color w:val="auto"/>
          <w:lang w:val="en-GB"/>
        </w:rPr>
        <w:fldChar w:fldCharType="end"/>
      </w:r>
      <w:r w:rsidR="00306026" w:rsidRPr="00305E0F">
        <w:rPr>
          <w:color w:val="auto"/>
          <w:lang w:val="en-GB"/>
        </w:rPr>
        <w:t xml:space="preserve"> to </w:t>
      </w:r>
      <w:r w:rsidRPr="00305E0F">
        <w:rPr>
          <w:color w:val="auto"/>
          <w:lang w:val="en-GB"/>
        </w:rPr>
        <w:fldChar w:fldCharType="begin"/>
      </w:r>
      <w:r w:rsidRPr="00305E0F">
        <w:rPr>
          <w:color w:val="auto"/>
          <w:lang w:val="en-GB"/>
        </w:rPr>
        <w:instrText xml:space="preserve"> REF _Ref215506139 \r \h </w:instrText>
      </w:r>
      <w:r w:rsidRPr="00305E0F">
        <w:rPr>
          <w:color w:val="auto"/>
          <w:lang w:val="en-GB"/>
        </w:rPr>
      </w:r>
      <w:r w:rsidRPr="00305E0F">
        <w:rPr>
          <w:color w:val="auto"/>
          <w:lang w:val="en-GB"/>
        </w:rPr>
        <w:fldChar w:fldCharType="separate"/>
      </w:r>
      <w:r w:rsidR="00594C05" w:rsidRPr="00305E0F">
        <w:rPr>
          <w:color w:val="auto"/>
          <w:lang w:val="en-GB"/>
        </w:rPr>
        <w:t>208</w:t>
      </w:r>
      <w:r w:rsidRPr="00305E0F">
        <w:rPr>
          <w:color w:val="auto"/>
          <w:lang w:val="en-GB"/>
        </w:rPr>
        <w:fldChar w:fldCharType="end"/>
      </w:r>
      <w:r w:rsidRPr="00305E0F">
        <w:rPr>
          <w:color w:val="auto"/>
          <w:lang w:val="en-GB"/>
        </w:rPr>
        <w:t xml:space="preserve"> and paragraph </w:t>
      </w:r>
      <w:r w:rsidRPr="00305E0F">
        <w:rPr>
          <w:color w:val="auto"/>
          <w:lang w:val="en-GB"/>
        </w:rPr>
        <w:fldChar w:fldCharType="begin"/>
      </w:r>
      <w:r w:rsidRPr="00305E0F">
        <w:rPr>
          <w:color w:val="auto"/>
          <w:lang w:val="en-GB"/>
        </w:rPr>
        <w:instrText xml:space="preserve"> REF _Ref215506164 \r \h </w:instrText>
      </w:r>
      <w:r w:rsidRPr="00305E0F">
        <w:rPr>
          <w:color w:val="auto"/>
          <w:lang w:val="en-GB"/>
        </w:rPr>
      </w:r>
      <w:r w:rsidRPr="00305E0F">
        <w:rPr>
          <w:color w:val="auto"/>
          <w:lang w:val="en-GB"/>
        </w:rPr>
        <w:fldChar w:fldCharType="separate"/>
      </w:r>
      <w:r w:rsidR="00594C05" w:rsidRPr="00305E0F">
        <w:rPr>
          <w:color w:val="auto"/>
          <w:lang w:val="en-GB"/>
        </w:rPr>
        <w:t>217</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_Ref215506175 \r \h </w:instrText>
      </w:r>
      <w:r w:rsidRPr="00305E0F">
        <w:rPr>
          <w:color w:val="auto"/>
          <w:lang w:val="en-GB"/>
        </w:rPr>
      </w:r>
      <w:r w:rsidRPr="00305E0F">
        <w:rPr>
          <w:color w:val="auto"/>
          <w:lang w:val="en-GB"/>
        </w:rPr>
        <w:fldChar w:fldCharType="separate"/>
      </w:r>
      <w:r w:rsidR="00594C05" w:rsidRPr="00305E0F">
        <w:rPr>
          <w:color w:val="auto"/>
          <w:lang w:val="en-GB"/>
        </w:rPr>
        <w:t>218</w:t>
      </w:r>
      <w:r w:rsidRPr="00305E0F">
        <w:rPr>
          <w:color w:val="auto"/>
          <w:lang w:val="en-GB"/>
        </w:rPr>
        <w:fldChar w:fldCharType="end"/>
      </w:r>
      <w:r w:rsidR="00306026" w:rsidRPr="00305E0F">
        <w:rPr>
          <w:color w:val="auto"/>
          <w:lang w:val="en-GB"/>
        </w:rPr>
        <w:t xml:space="preserve"> to </w:t>
      </w:r>
      <w:r w:rsidRPr="00305E0F">
        <w:rPr>
          <w:color w:val="auto"/>
          <w:lang w:val="en-GB"/>
        </w:rPr>
        <w:fldChar w:fldCharType="begin"/>
      </w:r>
      <w:r w:rsidRPr="00305E0F">
        <w:rPr>
          <w:color w:val="auto"/>
          <w:lang w:val="en-GB"/>
        </w:rPr>
        <w:instrText xml:space="preserve"> REF _Ref215506180 \r \h </w:instrText>
      </w:r>
      <w:r w:rsidRPr="00305E0F">
        <w:rPr>
          <w:color w:val="auto"/>
          <w:lang w:val="en-GB"/>
        </w:rPr>
      </w:r>
      <w:r w:rsidRPr="00305E0F">
        <w:rPr>
          <w:color w:val="auto"/>
          <w:lang w:val="en-GB"/>
        </w:rPr>
        <w:fldChar w:fldCharType="separate"/>
      </w:r>
      <w:r w:rsidR="00594C05" w:rsidRPr="00305E0F">
        <w:rPr>
          <w:color w:val="auto"/>
          <w:lang w:val="en-GB"/>
        </w:rPr>
        <w:t>219</w:t>
      </w:r>
      <w:r w:rsidRPr="00305E0F">
        <w:rPr>
          <w:color w:val="auto"/>
          <w:lang w:val="en-GB"/>
        </w:rPr>
        <w:fldChar w:fldCharType="end"/>
      </w:r>
      <w:r w:rsidR="00306026" w:rsidRPr="00305E0F">
        <w:rPr>
          <w:color w:val="auto"/>
          <w:lang w:val="en-GB"/>
        </w:rPr>
        <w:t xml:space="preserve"> </w:t>
      </w:r>
      <w:r w:rsidRPr="00305E0F">
        <w:rPr>
          <w:color w:val="auto"/>
          <w:lang w:val="en-GB"/>
        </w:rPr>
        <w:t>shall be taken into account. A bank's estimates should take into account the implications of technological progress and new data, or other information, as it becomes available. Banks should review their estimates at least annually and when new information becomes available;</w:t>
      </w:r>
    </w:p>
    <w:p w14:paraId="046C1DBB" w14:textId="3CE479CA" w:rsidR="00EB0050" w:rsidRPr="00305E0F" w:rsidRDefault="00306026">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population of exposures represented in the data used for estimation, the lending standards used when the data was generated and other relevant characteristics shall be comparable with those of the bank’s exposures and standards. The economic or market conditions that underlie the data shall be relevant to current and foreseeable conditions. The number of exposures in the sample and the data period used for quantification shall be sufficient to provide the bank with confidence in the accuracy and robustness of its estimates.</w:t>
      </w:r>
    </w:p>
    <w:p w14:paraId="64BD79D7" w14:textId="07C124D6" w:rsidR="00EB0050" w:rsidRPr="00305E0F" w:rsidRDefault="00306026">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For purchased receivables the estimates shall reflect all relevant information available to the purchasing bank regarding the quality of the underlying receivables, including data for similar pools provided by the seller, by the purchasing bank, or by external sources. The purchasing bank shall evaluate any data relied upon which is provided by the seller.</w:t>
      </w:r>
    </w:p>
    <w:p w14:paraId="2466D32E" w14:textId="1DE0EC05" w:rsidR="00EB0050" w:rsidRPr="00305E0F" w:rsidRDefault="00306026">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To overcome biases, a bank shall include appropriate adjustments in its estimates to the extent possible; after having included an appropriate adjustment, it shall add to its estimates a sufficient margin of conservatism that is related to the expected range of estimation errors; where methods and data are considered to be less satisfactory, the expected range of errors is larger, and the margin of conservatism shall be larger.</w:t>
      </w:r>
    </w:p>
    <w:p w14:paraId="3D7B352E" w14:textId="0F9F79FF"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Where banks use estimates for the calculation of risk weights that are different from those used for internal purposes, this should be </w:t>
      </w:r>
      <w:r w:rsidR="00306026" w:rsidRPr="00305E0F">
        <w:rPr>
          <w:color w:val="auto"/>
          <w:lang w:val="en-GB"/>
        </w:rPr>
        <w:t>documented</w:t>
      </w:r>
      <w:r w:rsidRPr="00305E0F">
        <w:rPr>
          <w:color w:val="auto"/>
          <w:lang w:val="en-GB"/>
        </w:rPr>
        <w:t xml:space="preserve"> and reasonable.</w:t>
      </w:r>
    </w:p>
    <w:p w14:paraId="24CD2801" w14:textId="6629D604"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47" w:name="_Ref215508059"/>
      <w:r w:rsidRPr="00305E0F">
        <w:rPr>
          <w:color w:val="auto"/>
          <w:lang w:val="en-GB"/>
        </w:rPr>
        <w:t>Where a bank uses pooled data from more than one bank, it shall meet the following requirements:</w:t>
      </w:r>
      <w:bookmarkEnd w:id="147"/>
    </w:p>
    <w:p w14:paraId="0AD284F8" w14:textId="7AC652D2" w:rsidR="00EB0050" w:rsidRPr="00305E0F" w:rsidRDefault="00306026">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rating systems and criteria of other institutions in the pool are similar to its own;</w:t>
      </w:r>
    </w:p>
    <w:p w14:paraId="77F17763" w14:textId="0503EED4" w:rsidR="00EB0050" w:rsidRPr="00305E0F" w:rsidRDefault="00306026">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pool is representative of the portfolio for which the pooled data is used;</w:t>
      </w:r>
    </w:p>
    <w:p w14:paraId="255901F8" w14:textId="5E981224" w:rsidR="00EB0050" w:rsidRPr="00305E0F" w:rsidRDefault="00306026">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pooled data is used consistently over time by the bank for its estimates;</w:t>
      </w:r>
    </w:p>
    <w:p w14:paraId="5E455F1B" w14:textId="45B9B028" w:rsidR="00EB0050" w:rsidRPr="00305E0F" w:rsidRDefault="00306026">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shall remain responsible for the integrity of its rating systems;</w:t>
      </w:r>
    </w:p>
    <w:p w14:paraId="1D8E067C" w14:textId="2F9B4119" w:rsidR="00EB0050" w:rsidRPr="00305E0F" w:rsidRDefault="00306026">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shall maintain sufficient in-house understanding of its rating systems, including the ability to effectively monitor and audit the rating process.</w:t>
      </w:r>
    </w:p>
    <w:p w14:paraId="740DCBB5" w14:textId="5AE54788"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2</w:t>
      </w:r>
    </w:p>
    <w:p w14:paraId="2E102D05" w14:textId="32FC358E" w:rsidR="00EB0050" w:rsidRPr="00305E0F" w:rsidRDefault="00263C07">
      <w:pPr>
        <w:pStyle w:val="P68B1DB1-ListParagraph15"/>
        <w:shd w:val="clear" w:color="auto" w:fill="FFFFFF"/>
        <w:tabs>
          <w:tab w:val="left" w:pos="0"/>
          <w:tab w:val="left" w:pos="567"/>
        </w:tabs>
        <w:spacing w:after="120" w:line="240" w:lineRule="auto"/>
        <w:ind w:left="0"/>
        <w:contextualSpacing w:val="0"/>
        <w:jc w:val="center"/>
        <w:rPr>
          <w:color w:val="auto"/>
          <w:lang w:val="en-GB"/>
        </w:rPr>
      </w:pPr>
      <w:r w:rsidRPr="00305E0F">
        <w:rPr>
          <w:bCs/>
          <w:color w:val="auto"/>
          <w:lang w:val="en-GB"/>
        </w:rPr>
        <w:t>Requirements specific to PD estimation</w:t>
      </w:r>
    </w:p>
    <w:p w14:paraId="2A6BE256" w14:textId="708003AF"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48" w:name="_Ref215507096"/>
      <w:r w:rsidRPr="00305E0F">
        <w:rPr>
          <w:color w:val="auto"/>
          <w:lang w:val="en-GB"/>
        </w:rPr>
        <w:t>In quantifying the risk parameters to be associated with</w:t>
      </w:r>
      <w:r w:rsidR="00D9504A" w:rsidRPr="00305E0F">
        <w:rPr>
          <w:color w:val="auto"/>
          <w:lang w:val="en-GB"/>
        </w:rPr>
        <w:t xml:space="preserve"> rating</w:t>
      </w:r>
      <w:r w:rsidRPr="00305E0F">
        <w:rPr>
          <w:color w:val="auto"/>
          <w:lang w:val="en-GB"/>
        </w:rPr>
        <w:t xml:space="preserve"> grades or pools, banks shall apply the following specific PD estimation requirements to exposures to central governments and central banks, exposures to regional governments, local authorities and public sector entities, exposures to banks and exposures to corporates:</w:t>
      </w:r>
      <w:bookmarkEnd w:id="148"/>
    </w:p>
    <w:p w14:paraId="54B33895" w14:textId="062C13F1" w:rsidR="00EB0050" w:rsidRPr="00305E0F" w:rsidRDefault="00D9504A">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estimate PDs by obligor grade from long run averages of one-year default rates. PD estimates for obligors that are highly leveraged or for obligors whose assets are predominantly traded assets shall reflect the performance of the underlying assets based on periods of stressed volatilities;</w:t>
      </w:r>
    </w:p>
    <w:p w14:paraId="326A549F" w14:textId="621BD592" w:rsidR="00EB0050" w:rsidRPr="00305E0F" w:rsidRDefault="00D9504A">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For purchased corporate receivables banks may estimate the EL by obligor grade from long run averages of one-year realised default rates;</w:t>
      </w:r>
    </w:p>
    <w:p w14:paraId="684F5BE3" w14:textId="10D7797C" w:rsidR="00EB0050" w:rsidRPr="00305E0F" w:rsidRDefault="00D9504A">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If a bank derives long run average estimates of PDs and LGDs for purchased corporate receivables from an estimate of EL, and an appropriate estimate of PD or LGD, the process for estimating total losses shall meet the overall standards for estimation of PD and LGD set out in this part, and the outcome shall be consistent with the concept of LGD as set out in 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_Ref215296493 \r \h </w:instrText>
      </w:r>
      <w:r w:rsidRPr="00305E0F">
        <w:rPr>
          <w:color w:val="auto"/>
          <w:lang w:val="en-GB"/>
        </w:rPr>
      </w:r>
      <w:r w:rsidRPr="00305E0F">
        <w:rPr>
          <w:color w:val="auto"/>
          <w:lang w:val="en-GB"/>
        </w:rPr>
        <w:fldChar w:fldCharType="separate"/>
      </w:r>
      <w:r w:rsidR="00594C05" w:rsidRPr="00305E0F">
        <w:rPr>
          <w:color w:val="auto"/>
          <w:lang w:val="en-GB"/>
        </w:rPr>
        <w:t>202.1</w:t>
      </w:r>
      <w:r w:rsidRPr="00305E0F">
        <w:rPr>
          <w:color w:val="auto"/>
          <w:lang w:val="en-GB"/>
        </w:rPr>
        <w:fldChar w:fldCharType="end"/>
      </w:r>
      <w:r w:rsidRPr="00305E0F">
        <w:rPr>
          <w:color w:val="auto"/>
          <w:lang w:val="en-GB"/>
        </w:rPr>
        <w:t>;</w:t>
      </w:r>
    </w:p>
    <w:p w14:paraId="660387A1" w14:textId="3C0720D6" w:rsidR="00EB0050" w:rsidRPr="00305E0F" w:rsidRDefault="00D9504A">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use PD estimation techniques only with supporting analysis. Institutions shall recognise the importance of judgmental considerations in combining results of techniques and in making adjustments for limitations of techniques and information;</w:t>
      </w:r>
    </w:p>
    <w:p w14:paraId="5B8BB6E4" w14:textId="71E5F55F" w:rsidR="00EB0050" w:rsidRPr="00305E0F" w:rsidRDefault="00D9504A">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To the extent that a bank uses data on internal default experience for the estimation of PDs, the estimates shall be reflective of current underwriting standards and of any differences in the rating system that generated the data and the current rating system; where underwriting standards or rating systems have changed, after including an appropriate adjustment, the bank shall add a greater margin of conservatism in its estimate of PD related to the expected range of estimation errors that is not already covered by the appropriate adjustment;</w:t>
      </w:r>
    </w:p>
    <w:p w14:paraId="3665C689" w14:textId="2D8588DD" w:rsidR="00EB0050" w:rsidRPr="00305E0F" w:rsidRDefault="00D9504A">
      <w:pPr>
        <w:pStyle w:val="ListParagraph"/>
        <w:numPr>
          <w:ilvl w:val="1"/>
          <w:numId w:val="2"/>
        </w:numPr>
        <w:shd w:val="clear" w:color="auto" w:fill="FFFFFF"/>
        <w:tabs>
          <w:tab w:val="left" w:pos="0"/>
          <w:tab w:val="left" w:pos="567"/>
        </w:tabs>
        <w:spacing w:before="60" w:after="0" w:line="240" w:lineRule="auto"/>
        <w:jc w:val="both"/>
        <w:rPr>
          <w:rFonts w:ascii="Times New Roman" w:hAnsi="Times New Roman" w:cs="Times New Roman"/>
          <w:sz w:val="24"/>
          <w:szCs w:val="24"/>
          <w:lang w:val="en-GB"/>
        </w:rPr>
      </w:pPr>
      <w:r w:rsidRPr="00305E0F">
        <w:rPr>
          <w:rFonts w:ascii="Times New Roman" w:hAnsi="Times New Roman" w:cs="Times New Roman"/>
          <w:sz w:val="24"/>
          <w:szCs w:val="24"/>
          <w:lang w:val="en-GB"/>
        </w:rPr>
        <w:t>To the extent that a bank associates or maps its internal grades to the scale used by an ECAI or similar organisations and then attributes the default rate observed for the external organisation's grades to the bank’s grades, mappings shall be based on a comparison of internal rating criteria to the criteria used by the external organisation and on a comparison of the internal and external ratings of any common obligors. Biases or inconsistencies in the mapping approach or underlying data shall be avoided. The criteria of the external organisation underlying the data used for quantification shall be oriented to default risk only and not reflect transaction characteristics. The analysis undertaken by the bank shall include a comparison of the default definitions used, subject to the requirements set out in paragraphs 23 to 28 of Regulation No 111/2018. The bank shall document the basis for the mapping;</w:t>
      </w:r>
    </w:p>
    <w:p w14:paraId="76894214" w14:textId="6EBEF42C" w:rsidR="00EB0050" w:rsidRPr="00305E0F" w:rsidRDefault="00D9504A">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To the extent that a bank uses statistical default prediction models it is allowed to estimate PDs as the simple average of default-probability estimates for individual obligors in a given grade. The bank’s use of default probability models for this purpose shall meet the standards specified in paragraphs </w:t>
      </w:r>
      <w:r w:rsidRPr="00305E0F">
        <w:rPr>
          <w:color w:val="auto"/>
          <w:lang w:val="en-GB"/>
        </w:rPr>
        <w:fldChar w:fldCharType="begin"/>
      </w:r>
      <w:r w:rsidRPr="00305E0F">
        <w:rPr>
          <w:color w:val="auto"/>
          <w:lang w:val="en-GB"/>
        </w:rPr>
        <w:instrText xml:space="preserve"> REF _Ref215507559 \r \h </w:instrText>
      </w:r>
      <w:r w:rsidRPr="00305E0F">
        <w:rPr>
          <w:color w:val="auto"/>
          <w:lang w:val="en-GB"/>
        </w:rPr>
      </w:r>
      <w:r w:rsidRPr="00305E0F">
        <w:rPr>
          <w:color w:val="auto"/>
          <w:lang w:val="en-GB"/>
        </w:rPr>
        <w:fldChar w:fldCharType="separate"/>
      </w:r>
      <w:r w:rsidR="00594C05" w:rsidRPr="00305E0F">
        <w:rPr>
          <w:color w:val="auto"/>
          <w:lang w:val="en-GB"/>
        </w:rPr>
        <w:t>178</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_Ref215507565 \r \h </w:instrText>
      </w:r>
      <w:r w:rsidRPr="00305E0F">
        <w:rPr>
          <w:color w:val="auto"/>
          <w:lang w:val="en-GB"/>
        </w:rPr>
      </w:r>
      <w:r w:rsidRPr="00305E0F">
        <w:rPr>
          <w:color w:val="auto"/>
          <w:lang w:val="en-GB"/>
        </w:rPr>
        <w:fldChar w:fldCharType="separate"/>
      </w:r>
      <w:r w:rsidR="00594C05" w:rsidRPr="00305E0F">
        <w:rPr>
          <w:color w:val="auto"/>
          <w:lang w:val="en-GB"/>
        </w:rPr>
        <w:t>179</w:t>
      </w:r>
      <w:r w:rsidRPr="00305E0F">
        <w:rPr>
          <w:color w:val="auto"/>
          <w:lang w:val="en-GB"/>
        </w:rPr>
        <w:fldChar w:fldCharType="end"/>
      </w:r>
      <w:r w:rsidRPr="00305E0F">
        <w:rPr>
          <w:color w:val="auto"/>
          <w:lang w:val="en-GB"/>
        </w:rPr>
        <w:t>;</w:t>
      </w:r>
    </w:p>
    <w:p w14:paraId="444B7B56" w14:textId="10B288F5" w:rsidR="00EB0050" w:rsidRPr="00305E0F" w:rsidRDefault="00D9504A">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49" w:name="_Ref215295374"/>
      <w:r w:rsidRPr="00305E0F">
        <w:rPr>
          <w:color w:val="auto"/>
          <w:lang w:val="en-GB"/>
        </w:rPr>
        <w:t>Irrespective of whether a bank is using external, internal, or pooled data sources, or a combination of the three, for its PD estimation, the length of the underlying historical observation period used shall be at least five years for at least one source;</w:t>
      </w:r>
      <w:bookmarkEnd w:id="149"/>
    </w:p>
    <w:p w14:paraId="2D67E134" w14:textId="6E6D572B" w:rsidR="00EB0050" w:rsidRPr="00305E0F" w:rsidRDefault="00D9504A">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Irrespective of the method used to estimate PD, banks shall estimate a PD for each rating grade based on the observed historical average one-year default rate that is an arithmetic average based on the number of obligors (count weighted); other approaches, including exposure-weighted averages, shall not be permitted.</w:t>
      </w:r>
    </w:p>
    <w:p w14:paraId="23C27F68" w14:textId="405E31D5"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D9504A"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_Ref215295374 \r \h </w:instrText>
      </w:r>
      <w:r w:rsidRPr="00305E0F">
        <w:rPr>
          <w:color w:val="auto"/>
          <w:lang w:val="en-GB"/>
        </w:rPr>
      </w:r>
      <w:r w:rsidRPr="00305E0F">
        <w:rPr>
          <w:color w:val="auto"/>
          <w:lang w:val="en-GB"/>
        </w:rPr>
        <w:fldChar w:fldCharType="separate"/>
      </w:r>
      <w:r w:rsidR="00594C05" w:rsidRPr="00305E0F">
        <w:rPr>
          <w:color w:val="auto"/>
          <w:lang w:val="en-GB"/>
        </w:rPr>
        <w:t>198.8</w:t>
      </w:r>
      <w:r w:rsidRPr="00305E0F">
        <w:rPr>
          <w:color w:val="auto"/>
          <w:lang w:val="en-GB"/>
        </w:rPr>
        <w:fldChar w:fldCharType="end"/>
      </w:r>
      <w:r w:rsidRPr="00305E0F">
        <w:rPr>
          <w:color w:val="auto"/>
          <w:lang w:val="en-GB"/>
        </w:rPr>
        <w:t xml:space="preserve">, where the available observation period is longer for any of the sources and where those data are relevant, that longer period shall be used. The data shall include a representative combination of favourable and unfavourable years of the economic cycle relevant for the type of exposures. Subject to the approval of the National Bank of Moldova, banks that have not received, pursuant to paragraphs </w:t>
      </w:r>
      <w:r w:rsidRPr="00305E0F">
        <w:rPr>
          <w:color w:val="auto"/>
          <w:lang w:val="en-GB"/>
        </w:rPr>
        <w:fldChar w:fldCharType="begin"/>
      </w:r>
      <w:r w:rsidRPr="00305E0F">
        <w:rPr>
          <w:color w:val="auto"/>
          <w:lang w:val="en-GB"/>
        </w:rPr>
        <w:instrText xml:space="preserve"> REF _Ref215069496 \r \h  \* MERGEFORMAT </w:instrText>
      </w:r>
      <w:r w:rsidRPr="00305E0F">
        <w:rPr>
          <w:color w:val="auto"/>
          <w:lang w:val="en-GB"/>
        </w:rPr>
      </w:r>
      <w:r w:rsidRPr="00305E0F">
        <w:rPr>
          <w:color w:val="auto"/>
          <w:lang w:val="en-GB"/>
        </w:rPr>
        <w:fldChar w:fldCharType="separate"/>
      </w:r>
      <w:r w:rsidR="00594C05" w:rsidRPr="00305E0F">
        <w:rPr>
          <w:color w:val="auto"/>
          <w:lang w:val="en-GB"/>
        </w:rPr>
        <w:t>4</w:t>
      </w:r>
      <w:r w:rsidRPr="00305E0F">
        <w:rPr>
          <w:color w:val="auto"/>
          <w:lang w:val="en-GB"/>
        </w:rPr>
        <w:fldChar w:fldCharType="end"/>
      </w:r>
      <w:r w:rsidR="004977AD" w:rsidRPr="00305E0F">
        <w:rPr>
          <w:color w:val="auto"/>
          <w:lang w:val="en-GB"/>
        </w:rPr>
        <w:t xml:space="preserve"> </w:t>
      </w:r>
      <w:r w:rsidRPr="00305E0F">
        <w:rPr>
          <w:color w:val="auto"/>
          <w:lang w:val="en-GB"/>
        </w:rPr>
        <w:t>to</w:t>
      </w:r>
      <w:r w:rsidR="004977AD" w:rsidRPr="00305E0F">
        <w:rPr>
          <w:color w:val="auto"/>
          <w:lang w:val="en-GB"/>
        </w:rPr>
        <w:t xml:space="preserve"> </w:t>
      </w:r>
      <w:r w:rsidRPr="00305E0F">
        <w:rPr>
          <w:color w:val="auto"/>
          <w:lang w:val="en-GB"/>
        </w:rPr>
        <w:fldChar w:fldCharType="begin"/>
      </w:r>
      <w:r w:rsidRPr="00305E0F">
        <w:rPr>
          <w:color w:val="auto"/>
          <w:lang w:val="en-GB"/>
        </w:rPr>
        <w:instrText xml:space="preserve"> REF _Ref215069507 \r \h  \* MERGEFORMAT </w:instrText>
      </w:r>
      <w:r w:rsidRPr="00305E0F">
        <w:rPr>
          <w:color w:val="auto"/>
          <w:lang w:val="en-GB"/>
        </w:rPr>
      </w:r>
      <w:r w:rsidRPr="00305E0F">
        <w:rPr>
          <w:color w:val="auto"/>
          <w:lang w:val="en-GB"/>
        </w:rPr>
        <w:fldChar w:fldCharType="separate"/>
      </w:r>
      <w:r w:rsidR="00594C05" w:rsidRPr="00305E0F">
        <w:rPr>
          <w:color w:val="auto"/>
          <w:lang w:val="en-GB"/>
        </w:rPr>
        <w:t>7</w:t>
      </w:r>
      <w:r w:rsidRPr="00305E0F">
        <w:rPr>
          <w:color w:val="auto"/>
          <w:lang w:val="en-GB"/>
        </w:rPr>
        <w:fldChar w:fldCharType="end"/>
      </w:r>
      <w:r w:rsidRPr="00305E0F">
        <w:rPr>
          <w:color w:val="auto"/>
          <w:lang w:val="en-GB"/>
        </w:rPr>
        <w:t>, the approval of the National Bank of Moldova to use own LGD estimates or to use IRB-CCF may use, when applying the IRB Approach, relevant data covering a period of two years. The period to be covered shall be increased by one year each year until the relevant data cover at least five years.</w:t>
      </w:r>
    </w:p>
    <w:p w14:paraId="0EF1C4C3" w14:textId="061FB9E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For retail exposures, the following requirements shall apply:</w:t>
      </w:r>
    </w:p>
    <w:p w14:paraId="4E98D083" w14:textId="0D6CE7D7"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50" w:name="_Ref215296097"/>
      <w:r w:rsidRPr="00305E0F">
        <w:rPr>
          <w:color w:val="auto"/>
          <w:lang w:val="en-GB"/>
        </w:rPr>
        <w:t>Banks shall estimate PDs by obligor or transaction grades or pools from long</w:t>
      </w:r>
      <w:r w:rsidR="004977AD" w:rsidRPr="00305E0F">
        <w:rPr>
          <w:color w:val="auto"/>
          <w:lang w:val="en-GB"/>
        </w:rPr>
        <w:t xml:space="preserve"> run </w:t>
      </w:r>
      <w:r w:rsidRPr="00305E0F">
        <w:rPr>
          <w:color w:val="auto"/>
          <w:lang w:val="en-GB"/>
        </w:rPr>
        <w:t>averages of one-year default rates and default rates shall be calculated at transaction level only where the definition of default is applied at the level of individual credit facilities pursuant to paragraph 24 of Regulation No</w:t>
      </w:r>
      <w:r w:rsidR="004977AD" w:rsidRPr="00305E0F">
        <w:rPr>
          <w:color w:val="auto"/>
          <w:lang w:val="en-GB"/>
        </w:rPr>
        <w:t xml:space="preserve"> </w:t>
      </w:r>
      <w:r w:rsidRPr="00305E0F">
        <w:rPr>
          <w:color w:val="auto"/>
          <w:lang w:val="en-GB"/>
        </w:rPr>
        <w:t>111/2018. The PD shall be based on the observed historical average of the one-year default rate;</w:t>
      </w:r>
      <w:bookmarkEnd w:id="150"/>
    </w:p>
    <w:p w14:paraId="0100B130" w14:textId="10A21D42" w:rsidR="00EB0050" w:rsidRPr="00305E0F" w:rsidRDefault="004977A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PD estimates may also be derived from an estimate of total losses and appropriate estimates of LGDs; </w:t>
      </w:r>
    </w:p>
    <w:p w14:paraId="13AE6A6A" w14:textId="1C1A30E6" w:rsidR="00EB0050" w:rsidRPr="00305E0F" w:rsidRDefault="004977A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regard internal data for assigning exposures to grades or pools as the primary source of information for estimating loss characteristics. Banks may use external data (including pooled data) or statistical models for quantification provided that the following strong links both exist:</w:t>
      </w:r>
    </w:p>
    <w:p w14:paraId="4731F705" w14:textId="31D22F06" w:rsidR="00EB0050" w:rsidRPr="00305E0F" w:rsidRDefault="004977AD">
      <w:pPr>
        <w:pStyle w:val="P68B1DB1-ListParagraph8"/>
        <w:numPr>
          <w:ilvl w:val="2"/>
          <w:numId w:val="2"/>
        </w:numPr>
        <w:shd w:val="clear" w:color="auto" w:fill="FFFFFF"/>
        <w:tabs>
          <w:tab w:val="left" w:pos="0"/>
        </w:tabs>
        <w:spacing w:before="60" w:after="0" w:line="240" w:lineRule="auto"/>
        <w:ind w:left="0"/>
        <w:jc w:val="both"/>
        <w:rPr>
          <w:color w:val="auto"/>
          <w:lang w:val="en-GB"/>
        </w:rPr>
      </w:pPr>
      <w:r w:rsidRPr="00305E0F">
        <w:rPr>
          <w:color w:val="auto"/>
          <w:lang w:val="en-GB"/>
        </w:rPr>
        <w:t>Between the bank’s process of assigning exposures to grades or pools and the process used by the external data source; and</w:t>
      </w:r>
    </w:p>
    <w:p w14:paraId="51004E6E" w14:textId="3D755B80" w:rsidR="00EB0050" w:rsidRPr="00305E0F" w:rsidRDefault="004977AD">
      <w:pPr>
        <w:pStyle w:val="P68B1DB1-ListParagraph8"/>
        <w:numPr>
          <w:ilvl w:val="2"/>
          <w:numId w:val="2"/>
        </w:numPr>
        <w:shd w:val="clear" w:color="auto" w:fill="FFFFFF"/>
        <w:tabs>
          <w:tab w:val="left" w:pos="0"/>
        </w:tabs>
        <w:spacing w:before="60" w:after="0" w:line="240" w:lineRule="auto"/>
        <w:ind w:left="0"/>
        <w:jc w:val="both"/>
        <w:rPr>
          <w:color w:val="auto"/>
          <w:lang w:val="en-GB"/>
        </w:rPr>
      </w:pPr>
      <w:r w:rsidRPr="00305E0F">
        <w:rPr>
          <w:color w:val="auto"/>
          <w:lang w:val="en-GB"/>
        </w:rPr>
        <w:t>Between the bank’s internal risk profile and the composition of the external data;</w:t>
      </w:r>
    </w:p>
    <w:p w14:paraId="41B9B861" w14:textId="579E92AE" w:rsidR="00EB0050" w:rsidRPr="00305E0F" w:rsidRDefault="004977A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If a bank derives long run average estimates of PD and LGD for retail exposures from an estimate of total losses and an appropriate estimate of PD or LGD, the process for estimating total losses shall meet the overall standards for estimation of PD and LGD set out in this part, and the outcome shall be consistent with the concept of LGD as set out in 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_Ref215296493 \r \h </w:instrText>
      </w:r>
      <w:r w:rsidRPr="00305E0F">
        <w:rPr>
          <w:color w:val="auto"/>
          <w:lang w:val="en-GB"/>
        </w:rPr>
      </w:r>
      <w:r w:rsidRPr="00305E0F">
        <w:rPr>
          <w:color w:val="auto"/>
          <w:lang w:val="en-GB"/>
        </w:rPr>
        <w:fldChar w:fldCharType="separate"/>
      </w:r>
      <w:r w:rsidR="00594C05" w:rsidRPr="00305E0F">
        <w:rPr>
          <w:color w:val="auto"/>
          <w:lang w:val="en-GB"/>
        </w:rPr>
        <w:t>202.1</w:t>
      </w:r>
      <w:r w:rsidRPr="00305E0F">
        <w:rPr>
          <w:color w:val="auto"/>
          <w:lang w:val="en-GB"/>
        </w:rPr>
        <w:fldChar w:fldCharType="end"/>
      </w:r>
      <w:r w:rsidRPr="00305E0F">
        <w:rPr>
          <w:color w:val="auto"/>
          <w:lang w:val="en-GB"/>
        </w:rPr>
        <w:t>;</w:t>
      </w:r>
    </w:p>
    <w:p w14:paraId="36053E9C" w14:textId="7C0385EB"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51" w:name="_Ref215296131"/>
      <w:r w:rsidRPr="00305E0F">
        <w:rPr>
          <w:color w:val="auto"/>
          <w:lang w:val="en-GB"/>
        </w:rPr>
        <w:t>Irrespective of whether a bank uses external, internal or centralised data sources, or a combination thereof in its PD estimates, the historical observation period for the underlying data shall be at least five years for at least one source. Where the available observation period is longer for any of the sources and where those data are relevant, that longer period shall be used. The data shall include a representative combination of favourable and unfavourable years of the economic cycle relevant for the type of exposures. Subject to the approval of the National Bank of Moldova, when applying the IRB Approach, banks may use relevant data covering a period of two years. The period to be covered shall be increased by one year each year until the relevant data cover at least five years;</w:t>
      </w:r>
      <w:bookmarkEnd w:id="151"/>
    </w:p>
    <w:p w14:paraId="5DCCAB2E" w14:textId="5E62466A"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should identify and analyse expected changes in risk parameters over the life of credit exposures (seasoning effects).</w:t>
      </w:r>
    </w:p>
    <w:p w14:paraId="7FED454D" w14:textId="6DF44CCF"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52" w:name="_Ref232158739"/>
      <w:r w:rsidRPr="00305E0F">
        <w:rPr>
          <w:color w:val="auto"/>
          <w:lang w:val="en-GB"/>
        </w:rPr>
        <w:t xml:space="preserve">For purchased retail receivables, banks may use external and internal reference data. Banks should use all relevant data sources as </w:t>
      </w:r>
      <w:r w:rsidR="004977AD" w:rsidRPr="00305E0F">
        <w:rPr>
          <w:color w:val="auto"/>
          <w:lang w:val="en-GB"/>
        </w:rPr>
        <w:t>points of comparison</w:t>
      </w:r>
      <w:r w:rsidRPr="00305E0F">
        <w:rPr>
          <w:color w:val="auto"/>
          <w:lang w:val="en-GB"/>
        </w:rPr>
        <w:t>.</w:t>
      </w:r>
      <w:bookmarkEnd w:id="152"/>
    </w:p>
    <w:p w14:paraId="402055EC" w14:textId="795A7C9B"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3</w:t>
      </w:r>
    </w:p>
    <w:p w14:paraId="22A68394" w14:textId="7066E6EF" w:rsidR="00EB0050" w:rsidRPr="00305E0F" w:rsidRDefault="00FA3752">
      <w:pPr>
        <w:pStyle w:val="P68B1DB1-ListParagraph15"/>
        <w:shd w:val="clear" w:color="auto" w:fill="FFFFFF"/>
        <w:tabs>
          <w:tab w:val="left" w:pos="0"/>
          <w:tab w:val="left" w:pos="567"/>
        </w:tabs>
        <w:spacing w:before="60" w:after="0" w:line="240" w:lineRule="auto"/>
        <w:ind w:left="0"/>
        <w:jc w:val="center"/>
        <w:rPr>
          <w:color w:val="auto"/>
          <w:lang w:val="en-GB"/>
        </w:rPr>
      </w:pPr>
      <w:r w:rsidRPr="00305E0F">
        <w:rPr>
          <w:bCs/>
          <w:color w:val="auto"/>
          <w:lang w:val="en-GB"/>
        </w:rPr>
        <w:t>Requirements specific to own-LGD estimates</w:t>
      </w:r>
    </w:p>
    <w:p w14:paraId="213F7CC5" w14:textId="6F846A5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When quantifying the risk parameters to be associated with grades or pools, banks shall apply the following specific requirements on own LGD estimates:</w:t>
      </w:r>
    </w:p>
    <w:p w14:paraId="3C703AF6" w14:textId="383EA999"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53" w:name="_Ref215296493"/>
      <w:r w:rsidRPr="00305E0F">
        <w:rPr>
          <w:color w:val="auto"/>
          <w:lang w:val="en-GB"/>
        </w:rPr>
        <w:t>Banks shall estimate LGDs per grade or pool of transactions based on the average effective LGDs per grade or pool of transactions, taking into account all observed defaults in the data sources (default weighted average);</w:t>
      </w:r>
      <w:bookmarkEnd w:id="153"/>
    </w:p>
    <w:p w14:paraId="670F46CA" w14:textId="05F6B421"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use LGD estimates that are appropriate for an economic downturn if they are more conservative than the long-term average. To the extent that a rating system is expected to provide effective LGD values at a constant level per grade or pool over time, banks should make adjustments to their estimates of risk parameters per grade or pool in order to limit the impact of an economic downturn on capital.</w:t>
      </w:r>
    </w:p>
    <w:p w14:paraId="6173D38C" w14:textId="73556D88"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54" w:name="_Ref215296535"/>
      <w:r w:rsidRPr="00305E0F">
        <w:rPr>
          <w:color w:val="auto"/>
          <w:lang w:val="en-GB"/>
        </w:rPr>
        <w:t>A bank shall take into account the degree of any dependence between, on the one hand, the risk of the borrower and, on the other hand, the risk of funded credit protection other than master netting agreements and on-balance sheet netting of loans and deposits, or the risk of the provider of that protection;</w:t>
      </w:r>
      <w:bookmarkEnd w:id="154"/>
    </w:p>
    <w:p w14:paraId="6F4A0969" w14:textId="575A8423"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Currency mismatches between the underlying obligation and funded credit protection other than master netting agreements and on-balance sheet netting of loans and deposits shall be treated with caution when estimating LGD by the bank;</w:t>
      </w:r>
    </w:p>
    <w:p w14:paraId="7DFDC59D" w14:textId="59A7D3DA"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55" w:name="_Ref215296576"/>
      <w:r w:rsidRPr="00305E0F">
        <w:rPr>
          <w:color w:val="auto"/>
          <w:lang w:val="en-GB"/>
        </w:rPr>
        <w:t>To the extent that LGD estimates take into account the existence of funded credit protection other than master netting agreements and on-balance sheet netting of loans and deposits, those estimates shall not be based solely on the estimated market value of the funded credit protection;</w:t>
      </w:r>
      <w:bookmarkEnd w:id="155"/>
    </w:p>
    <w:p w14:paraId="3490ABC6" w14:textId="4650809E"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To the extent that LGD estimates take into account the existence of funded credit protection other than master netting agreements and on-balance sheet netting of loans and deposits, banks shall establish internal requirements on management, legal certainty and risk management in relation to that funded credit protection and those requirements shall generally be consistent with those set out in Chapter VI of Regulation No</w:t>
      </w:r>
      <w:r w:rsidR="00B02A6D" w:rsidRPr="00305E0F">
        <w:rPr>
          <w:color w:val="auto"/>
          <w:lang w:val="en-GB"/>
        </w:rPr>
        <w:t xml:space="preserve"> </w:t>
      </w:r>
      <w:r w:rsidRPr="00305E0F">
        <w:rPr>
          <w:color w:val="auto"/>
          <w:lang w:val="en-GB"/>
        </w:rPr>
        <w:t>112/2018;</w:t>
      </w:r>
    </w:p>
    <w:p w14:paraId="3C447D08" w14:textId="5B7310D7"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To the extent that a bank recognises funded credit protection other than master netting agreements and on-balance sheet netting of loans and deposits, when determining the amount of counterparty credit risk exposure in accordance with the normative acts of the National Bank of Moldova related to the treatment of counterparty credit risk, the bank shall not take into account in LGD estimates any amount it expects to recover from that funded credit protection;</w:t>
      </w:r>
    </w:p>
    <w:p w14:paraId="3B46618C" w14:textId="14E67520"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56" w:name="_Ref232087683"/>
      <w:r w:rsidRPr="00305E0F">
        <w:rPr>
          <w:color w:val="auto"/>
          <w:lang w:val="en-GB"/>
        </w:rPr>
        <w:t>In the specific case of exposures already in default, the bank shall use the sum of its best estimates of expected loss for each exposure, taking into account current economic conditions and the exposure situation, as well as its estimates of the increase in the loss rate due to possible unexpected additional losses during the recovery period, i.e. between the date of default and the final liquidation of the exposure;</w:t>
      </w:r>
      <w:bookmarkEnd w:id="156"/>
    </w:p>
    <w:p w14:paraId="333926B5" w14:textId="2CE9226A"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57" w:name="_Ref215505438"/>
      <w:r w:rsidRPr="00305E0F">
        <w:rPr>
          <w:color w:val="auto"/>
          <w:lang w:val="en-GB"/>
        </w:rPr>
        <w:t>To the extent that the penalties for late payment, imposed on the debtor before default, have been recorded in the bank’s profit and loss account, they shall be added to the bank’s exposure and loss value;</w:t>
      </w:r>
      <w:bookmarkEnd w:id="157"/>
    </w:p>
    <w:p w14:paraId="4F9A354E" w14:textId="060CEEB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58" w:name="_Ref215506114"/>
      <w:r w:rsidRPr="00305E0F">
        <w:rPr>
          <w:color w:val="auto"/>
          <w:lang w:val="en-GB"/>
        </w:rPr>
        <w:t>For exposures to corporates, banks, central governments and central banks and regional governments, local authorities and public sector entities, LGD estimates shall be based on data covering at least five years, increasing by one year each year after application until a minimum period of seven years is reached for at least one data source; if the available observation period is longer for any of the sources and those data are relevant, that longer period shall be the one to be used.</w:t>
      </w:r>
      <w:bookmarkEnd w:id="158"/>
    </w:p>
    <w:p w14:paraId="03896937" w14:textId="0CA2C21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B72A25"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_Ref215296493 \r \h </w:instrText>
      </w:r>
      <w:r w:rsidRPr="00305E0F">
        <w:rPr>
          <w:color w:val="auto"/>
          <w:lang w:val="en-GB"/>
        </w:rPr>
      </w:r>
      <w:r w:rsidRPr="00305E0F">
        <w:rPr>
          <w:color w:val="auto"/>
          <w:lang w:val="en-GB"/>
        </w:rPr>
        <w:fldChar w:fldCharType="separate"/>
      </w:r>
      <w:r w:rsidR="00594C05" w:rsidRPr="00305E0F">
        <w:rPr>
          <w:color w:val="auto"/>
          <w:lang w:val="en-GB"/>
        </w:rPr>
        <w:t>202.1</w:t>
      </w:r>
      <w:r w:rsidRPr="00305E0F">
        <w:rPr>
          <w:color w:val="auto"/>
          <w:lang w:val="en-GB"/>
        </w:rPr>
        <w:fldChar w:fldCharType="end"/>
      </w:r>
      <w:r w:rsidRPr="00305E0F">
        <w:rPr>
          <w:color w:val="auto"/>
          <w:lang w:val="en-GB"/>
        </w:rPr>
        <w:t xml:space="preserve">, banks shall take due account of recoveries made during the relevant recovery processes from any type of funded credit protection as well as from unfunded credit protection that does not fall under the definition in </w:t>
      </w:r>
      <w:r w:rsidR="00B72A25"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_Ref215506589 \r \h </w:instrText>
      </w:r>
      <w:r w:rsidRPr="00305E0F">
        <w:rPr>
          <w:color w:val="auto"/>
          <w:lang w:val="en-GB"/>
        </w:rPr>
      </w:r>
      <w:r w:rsidRPr="00305E0F">
        <w:rPr>
          <w:color w:val="auto"/>
          <w:lang w:val="en-GB"/>
        </w:rPr>
        <w:fldChar w:fldCharType="separate"/>
      </w:r>
      <w:r w:rsidR="00594C05" w:rsidRPr="00305E0F">
        <w:rPr>
          <w:color w:val="auto"/>
          <w:lang w:val="en-GB"/>
        </w:rPr>
        <w:t>3.24</w:t>
      </w:r>
      <w:r w:rsidRPr="00305E0F">
        <w:rPr>
          <w:color w:val="auto"/>
          <w:lang w:val="en-GB"/>
        </w:rPr>
        <w:fldChar w:fldCharType="end"/>
      </w:r>
      <w:r w:rsidRPr="00305E0F">
        <w:rPr>
          <w:color w:val="auto"/>
          <w:lang w:val="en-GB"/>
        </w:rPr>
        <w:t>.</w:t>
      </w:r>
    </w:p>
    <w:p w14:paraId="1EBFEE7B" w14:textId="777D580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B72A25"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_Ref215296535 \r \h </w:instrText>
      </w:r>
      <w:r w:rsidRPr="00305E0F">
        <w:rPr>
          <w:color w:val="auto"/>
          <w:lang w:val="en-GB"/>
        </w:rPr>
      </w:r>
      <w:r w:rsidRPr="00305E0F">
        <w:rPr>
          <w:color w:val="auto"/>
          <w:lang w:val="en-GB"/>
        </w:rPr>
        <w:fldChar w:fldCharType="separate"/>
      </w:r>
      <w:r w:rsidR="00594C05" w:rsidRPr="00305E0F">
        <w:rPr>
          <w:color w:val="auto"/>
          <w:lang w:val="en-GB"/>
        </w:rPr>
        <w:t>202.3</w:t>
      </w:r>
      <w:r w:rsidRPr="00305E0F">
        <w:rPr>
          <w:color w:val="auto"/>
          <w:lang w:val="en-GB"/>
        </w:rPr>
        <w:fldChar w:fldCharType="end"/>
      </w:r>
      <w:r w:rsidRPr="00305E0F">
        <w:rPr>
          <w:color w:val="auto"/>
          <w:lang w:val="en-GB"/>
        </w:rPr>
        <w:t>, cases where there is a significant degree of dependency shall be treated prudently.</w:t>
      </w:r>
    </w:p>
    <w:p w14:paraId="7D719317" w14:textId="1C5717F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B72A25"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_Ref215296576 \r \h </w:instrText>
      </w:r>
      <w:r w:rsidRPr="00305E0F">
        <w:rPr>
          <w:color w:val="auto"/>
          <w:lang w:val="en-GB"/>
        </w:rPr>
      </w:r>
      <w:r w:rsidRPr="00305E0F">
        <w:rPr>
          <w:color w:val="auto"/>
          <w:lang w:val="en-GB"/>
        </w:rPr>
        <w:fldChar w:fldCharType="separate"/>
      </w:r>
      <w:r w:rsidR="00594C05" w:rsidRPr="00305E0F">
        <w:rPr>
          <w:color w:val="auto"/>
          <w:lang w:val="en-GB"/>
        </w:rPr>
        <w:t>202.5</w:t>
      </w:r>
      <w:r w:rsidRPr="00305E0F">
        <w:rPr>
          <w:color w:val="auto"/>
          <w:lang w:val="en-GB"/>
        </w:rPr>
        <w:fldChar w:fldCharType="end"/>
      </w:r>
      <w:r w:rsidRPr="00305E0F">
        <w:rPr>
          <w:color w:val="auto"/>
          <w:lang w:val="en-GB"/>
        </w:rPr>
        <w:t>, LGD estimates shall take into account the effect of the potential failure of banks to quickly gain control of the collateral and liquidate it.</w:t>
      </w:r>
    </w:p>
    <w:p w14:paraId="05D29D05" w14:textId="32B6006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59" w:name="_Ref215506133"/>
      <w:r w:rsidRPr="00305E0F">
        <w:rPr>
          <w:color w:val="auto"/>
          <w:lang w:val="en-GB"/>
        </w:rPr>
        <w:t>In the case of retail exposures, banks may:</w:t>
      </w:r>
      <w:bookmarkEnd w:id="159"/>
    </w:p>
    <w:p w14:paraId="734DE698" w14:textId="4EC1ACF3" w:rsidR="00EB0050" w:rsidRPr="00305E0F" w:rsidRDefault="00B72A25">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Derive LGD estimates from actual losses and appropriate estimates of PDs;</w:t>
      </w:r>
    </w:p>
    <w:p w14:paraId="7DDFCB6E" w14:textId="3D077908" w:rsidR="00EB0050" w:rsidRPr="00305E0F" w:rsidRDefault="00B72A25">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60" w:name="_Ref215296702"/>
      <w:r w:rsidRPr="00305E0F">
        <w:rPr>
          <w:color w:val="auto"/>
          <w:lang w:val="en-GB"/>
        </w:rPr>
        <w:t>Reflect future drawings either in their conversion factors or in their LGD estimates;</w:t>
      </w:r>
      <w:bookmarkEnd w:id="160"/>
    </w:p>
    <w:p w14:paraId="3B1214EF" w14:textId="44A60762" w:rsidR="00EB0050" w:rsidRPr="00305E0F" w:rsidRDefault="00B72A25">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For purchased retail receivables use external and internal reference data to estimate LGDs. </w:t>
      </w:r>
    </w:p>
    <w:p w14:paraId="1BAC75C5" w14:textId="0657EE33"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B72A25"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_Ref215296702 \r \h </w:instrText>
      </w:r>
      <w:r w:rsidRPr="00305E0F">
        <w:rPr>
          <w:color w:val="auto"/>
          <w:lang w:val="en-GB"/>
        </w:rPr>
      </w:r>
      <w:r w:rsidRPr="00305E0F">
        <w:rPr>
          <w:color w:val="auto"/>
          <w:lang w:val="en-GB"/>
        </w:rPr>
        <w:fldChar w:fldCharType="separate"/>
      </w:r>
      <w:r w:rsidR="00594C05" w:rsidRPr="00305E0F">
        <w:rPr>
          <w:color w:val="auto"/>
          <w:lang w:val="en-GB"/>
        </w:rPr>
        <w:t>206.2</w:t>
      </w:r>
      <w:r w:rsidRPr="00305E0F">
        <w:rPr>
          <w:color w:val="auto"/>
          <w:lang w:val="en-GB"/>
        </w:rPr>
        <w:fldChar w:fldCharType="end"/>
      </w:r>
      <w:r w:rsidRPr="00305E0F">
        <w:rPr>
          <w:color w:val="auto"/>
          <w:lang w:val="en-GB"/>
        </w:rPr>
        <w:t>, where banks include future additional draw</w:t>
      </w:r>
      <w:r w:rsidR="00B72A25" w:rsidRPr="00305E0F">
        <w:rPr>
          <w:color w:val="auto"/>
          <w:lang w:val="en-GB"/>
        </w:rPr>
        <w:t>ings</w:t>
      </w:r>
      <w:r w:rsidRPr="00305E0F">
        <w:rPr>
          <w:color w:val="auto"/>
          <w:lang w:val="en-GB"/>
        </w:rPr>
        <w:t xml:space="preserve"> in their conversion factors, they should be reflected in the LGD in both the numerator and the denominator. If banks do not include future additional draw</w:t>
      </w:r>
      <w:r w:rsidR="00B72A25" w:rsidRPr="00305E0F">
        <w:rPr>
          <w:color w:val="auto"/>
          <w:lang w:val="en-GB"/>
        </w:rPr>
        <w:t>ings</w:t>
      </w:r>
      <w:r w:rsidRPr="00305E0F">
        <w:rPr>
          <w:color w:val="auto"/>
          <w:lang w:val="en-GB"/>
        </w:rPr>
        <w:t xml:space="preserve"> in their conversion factors, they should be reflected in the LGD only in the numerator.</w:t>
      </w:r>
    </w:p>
    <w:p w14:paraId="03C2A4E6" w14:textId="4602DAB8"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61" w:name="_Ref215506139"/>
      <w:r w:rsidRPr="00305E0F">
        <w:rPr>
          <w:color w:val="auto"/>
          <w:lang w:val="en-GB"/>
        </w:rPr>
        <w:t>For retail exposures, LGD estimates shall be based on data covering at least five years. Subject to the approval of the National Bank of Moldova, when applying the IRB Approach, banks may use relevant data covering a period of two years. The period to be covered shall be increased by one year each year until the relevant data cover at least five years.</w:t>
      </w:r>
      <w:bookmarkEnd w:id="161"/>
    </w:p>
    <w:p w14:paraId="666AB9BB" w14:textId="712838A2"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4</w:t>
      </w:r>
    </w:p>
    <w:p w14:paraId="74907F26" w14:textId="06A6142F" w:rsidR="00EB0050" w:rsidRPr="00305E0F" w:rsidRDefault="00B72A25">
      <w:pPr>
        <w:pStyle w:val="P68B1DB1-ListParagraph15"/>
        <w:shd w:val="clear" w:color="auto" w:fill="FFFFFF"/>
        <w:tabs>
          <w:tab w:val="left" w:pos="0"/>
          <w:tab w:val="left" w:pos="567"/>
        </w:tabs>
        <w:spacing w:before="60" w:after="0" w:line="240" w:lineRule="auto"/>
        <w:ind w:left="0"/>
        <w:jc w:val="center"/>
        <w:rPr>
          <w:color w:val="auto"/>
          <w:lang w:val="en-GB"/>
        </w:rPr>
      </w:pPr>
      <w:r w:rsidRPr="00305E0F">
        <w:rPr>
          <w:bCs/>
          <w:color w:val="auto"/>
          <w:lang w:val="en-GB"/>
        </w:rPr>
        <w:t>Requirements specific to own-conversion factor estimates</w:t>
      </w:r>
    </w:p>
    <w:p w14:paraId="1F7AC2CD" w14:textId="627CAE9A"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When quantifying the risk parameters to be associated with </w:t>
      </w:r>
      <w:r w:rsidR="00B72A25" w:rsidRPr="00305E0F">
        <w:rPr>
          <w:color w:val="auto"/>
          <w:lang w:val="en-GB"/>
        </w:rPr>
        <w:t xml:space="preserve">rating </w:t>
      </w:r>
      <w:r w:rsidRPr="00305E0F">
        <w:rPr>
          <w:color w:val="auto"/>
          <w:lang w:val="en-GB"/>
        </w:rPr>
        <w:t>grades or pools, banks shall apply the following specific requirements on own</w:t>
      </w:r>
      <w:r w:rsidR="00B72A25" w:rsidRPr="00305E0F">
        <w:rPr>
          <w:color w:val="auto"/>
          <w:lang w:val="en-GB"/>
        </w:rPr>
        <w:t>-</w:t>
      </w:r>
      <w:r w:rsidRPr="00305E0F">
        <w:rPr>
          <w:color w:val="auto"/>
          <w:lang w:val="en-GB"/>
        </w:rPr>
        <w:t>conversion factor estimates:</w:t>
      </w:r>
    </w:p>
    <w:p w14:paraId="2B9BC31F" w14:textId="71703918"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62" w:name="_Ref215296989"/>
      <w:r w:rsidRPr="00305E0F">
        <w:rPr>
          <w:color w:val="auto"/>
          <w:lang w:val="en-GB"/>
        </w:rPr>
        <w:t xml:space="preserve">Banks </w:t>
      </w:r>
      <w:r w:rsidR="00B72A25" w:rsidRPr="00305E0F">
        <w:rPr>
          <w:color w:val="auto"/>
          <w:lang w:val="en-GB"/>
        </w:rPr>
        <w:t>shall estimate conversion factors by facility grade or pool on the basis of the average realised conversion factors by facility grade or pool using the default weighted average resulting from all observed defaults within the data sources</w:t>
      </w:r>
      <w:r w:rsidRPr="00305E0F">
        <w:rPr>
          <w:color w:val="auto"/>
          <w:lang w:val="en-GB"/>
        </w:rPr>
        <w:t>;</w:t>
      </w:r>
      <w:bookmarkEnd w:id="162"/>
    </w:p>
    <w:p w14:paraId="5AFCA8F3" w14:textId="03791F0C" w:rsidR="00EB0050" w:rsidRPr="00305E0F" w:rsidRDefault="00B72A25">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use conversion factor estimates that are appropriate for an economic downturn if those are more conservative than the long-run average. To the extent a rating system is expected to deliver realised conversion factors at a constant level by grade or pool over time, banks shall make adjustments to their estimates of risk parameters by grade or pool to limit the capital impact of an economic downturn;</w:t>
      </w:r>
    </w:p>
    <w:p w14:paraId="6D1B37A6" w14:textId="7C43E619"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63" w:name="_Ref215297023"/>
      <w:r w:rsidRPr="00305E0F">
        <w:rPr>
          <w:color w:val="auto"/>
          <w:lang w:val="en-GB"/>
        </w:rPr>
        <w:t>Banks’ IRB-CCF shall take into account the possibility for the obligor to make additional draw</w:t>
      </w:r>
      <w:r w:rsidR="00B72A25" w:rsidRPr="00305E0F">
        <w:rPr>
          <w:color w:val="auto"/>
          <w:lang w:val="en-GB"/>
        </w:rPr>
        <w:t>ings</w:t>
      </w:r>
      <w:r w:rsidRPr="00305E0F">
        <w:rPr>
          <w:color w:val="auto"/>
          <w:lang w:val="en-GB"/>
        </w:rPr>
        <w:t xml:space="preserve"> up to and after the date of a default event;</w:t>
      </w:r>
      <w:bookmarkEnd w:id="163"/>
    </w:p>
    <w:p w14:paraId="22E035E1" w14:textId="5A340059" w:rsidR="00EB0050" w:rsidRPr="00305E0F" w:rsidRDefault="00B72A25">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In arriving at estimates of conversion factors banks shall consider their specific policies and strategies adopted in respect of account monitoring and payment processing. Banks shall also consider their ability and willingness to prevent further drawings in circumstances short of payment default, such as covenant violations or other technical default events;</w:t>
      </w:r>
    </w:p>
    <w:p w14:paraId="08D9DEC3" w14:textId="627A0940" w:rsidR="00EB0050" w:rsidRPr="00305E0F" w:rsidRDefault="00B72A25">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have adequate systems and procedures in place to monitor facility amounts, current outstandings against committed lines and changes in outstandings per obligor and per grade. The bank shall be able to monitor outstanding balances on a daily basis;</w:t>
      </w:r>
    </w:p>
    <w:p w14:paraId="664DA071" w14:textId="53E068DB"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If banks use different estimates of conversion factors to those used for internal purposes for the calculation of risk-weighted exposure amounts, this shall be documented and reasonable;</w:t>
      </w:r>
    </w:p>
    <w:p w14:paraId="3BC4757B" w14:textId="6635C76D"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64" w:name="_Ref215297074"/>
      <w:r w:rsidRPr="00305E0F">
        <w:rPr>
          <w:color w:val="auto"/>
          <w:lang w:val="en-GB"/>
        </w:rPr>
        <w:t>IRB-CCF of banks shall be estimated using a fixed time horizon approach of 12 months;</w:t>
      </w:r>
      <w:bookmarkEnd w:id="164"/>
    </w:p>
    <w:p w14:paraId="66086A22" w14:textId="5F47A11C"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65" w:name="_Ref215297109"/>
      <w:r w:rsidRPr="00305E0F">
        <w:rPr>
          <w:color w:val="auto"/>
          <w:lang w:val="en-GB"/>
        </w:rPr>
        <w:t>Banks’ IRB-CCF shall be based on reference data reflecting the characteristics of the obligor, the facility and the bank management practice of the exposures to which the estimates apply.</w:t>
      </w:r>
      <w:bookmarkEnd w:id="165"/>
    </w:p>
    <w:p w14:paraId="2039466C" w14:textId="126375E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66" w:name="_Ref215297431"/>
      <w:r w:rsidRPr="00305E0F">
        <w:rPr>
          <w:color w:val="auto"/>
          <w:lang w:val="en-GB"/>
        </w:rPr>
        <w:t xml:space="preserve">For the purposes of </w:t>
      </w:r>
      <w:r w:rsidR="00B72A25"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_Ref215296989 \r \h </w:instrText>
      </w:r>
      <w:r w:rsidRPr="00305E0F">
        <w:rPr>
          <w:color w:val="auto"/>
          <w:lang w:val="en-GB"/>
        </w:rPr>
      </w:r>
      <w:r w:rsidRPr="00305E0F">
        <w:rPr>
          <w:color w:val="auto"/>
          <w:lang w:val="en-GB"/>
        </w:rPr>
        <w:fldChar w:fldCharType="separate"/>
      </w:r>
      <w:r w:rsidR="00594C05" w:rsidRPr="00305E0F">
        <w:rPr>
          <w:color w:val="auto"/>
          <w:lang w:val="en-GB"/>
        </w:rPr>
        <w:t>209.1</w:t>
      </w:r>
      <w:r w:rsidRPr="00305E0F">
        <w:rPr>
          <w:color w:val="auto"/>
          <w:lang w:val="en-GB"/>
        </w:rPr>
        <w:fldChar w:fldCharType="end"/>
      </w:r>
      <w:r w:rsidRPr="00305E0F">
        <w:rPr>
          <w:color w:val="auto"/>
          <w:lang w:val="en-GB"/>
        </w:rPr>
        <w:t>, where banks observe a negative effective conversion factor in their implicit observations, the effective conversion factor for those observations shall be zero for the purposes of quantifying their IRB-CCF. Banks may use the information on the actual negative conversion factor in the modelling process for the purpose of risk differentiation.</w:t>
      </w:r>
      <w:bookmarkEnd w:id="166"/>
    </w:p>
    <w:p w14:paraId="0EF1DB1E" w14:textId="49D6FB79"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B72A25"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_Ref215297023 \r \h </w:instrText>
      </w:r>
      <w:r w:rsidRPr="00305E0F">
        <w:rPr>
          <w:color w:val="auto"/>
          <w:lang w:val="en-GB"/>
        </w:rPr>
      </w:r>
      <w:r w:rsidRPr="00305E0F">
        <w:rPr>
          <w:color w:val="auto"/>
          <w:lang w:val="en-GB"/>
        </w:rPr>
        <w:fldChar w:fldCharType="separate"/>
      </w:r>
      <w:r w:rsidR="00594C05" w:rsidRPr="00305E0F">
        <w:rPr>
          <w:color w:val="auto"/>
          <w:lang w:val="en-GB"/>
        </w:rPr>
        <w:t>209.3</w:t>
      </w:r>
      <w:r w:rsidRPr="00305E0F">
        <w:rPr>
          <w:color w:val="auto"/>
          <w:lang w:val="en-GB"/>
        </w:rPr>
        <w:fldChar w:fldCharType="end"/>
      </w:r>
      <w:r w:rsidRPr="00305E0F">
        <w:rPr>
          <w:color w:val="auto"/>
          <w:lang w:val="en-GB"/>
        </w:rPr>
        <w:t xml:space="preserve">, the IRB-CCF </w:t>
      </w:r>
      <w:r w:rsidR="00B72A25" w:rsidRPr="00305E0F">
        <w:rPr>
          <w:color w:val="auto"/>
          <w:lang w:val="en-GB"/>
        </w:rPr>
        <w:t>shall incorporate a greater margin of conservatism where a stronger positive correlation can reasonably be expected between the default frequency and the magnitude of the conversion factor</w:t>
      </w:r>
      <w:r w:rsidRPr="00305E0F">
        <w:rPr>
          <w:color w:val="auto"/>
          <w:lang w:val="en-GB"/>
        </w:rPr>
        <w:t>.</w:t>
      </w:r>
    </w:p>
    <w:p w14:paraId="3000B307" w14:textId="2950B49B"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B72A25"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_Ref215297074 \r \h </w:instrText>
      </w:r>
      <w:r w:rsidRPr="00305E0F">
        <w:rPr>
          <w:color w:val="auto"/>
          <w:lang w:val="en-GB"/>
        </w:rPr>
      </w:r>
      <w:r w:rsidRPr="00305E0F">
        <w:rPr>
          <w:color w:val="auto"/>
          <w:lang w:val="en-GB"/>
        </w:rPr>
        <w:fldChar w:fldCharType="separate"/>
      </w:r>
      <w:r w:rsidR="00594C05" w:rsidRPr="00305E0F">
        <w:rPr>
          <w:color w:val="auto"/>
          <w:lang w:val="en-GB"/>
        </w:rPr>
        <w:t>209.7</w:t>
      </w:r>
      <w:r w:rsidRPr="00305E0F">
        <w:rPr>
          <w:color w:val="auto"/>
          <w:lang w:val="en-GB"/>
        </w:rPr>
        <w:fldChar w:fldCharType="end"/>
      </w:r>
      <w:r w:rsidRPr="00305E0F">
        <w:rPr>
          <w:color w:val="auto"/>
          <w:lang w:val="en-GB"/>
        </w:rPr>
        <w:t xml:space="preserve">, </w:t>
      </w:r>
      <w:r w:rsidR="00B72A25" w:rsidRPr="00305E0F">
        <w:rPr>
          <w:color w:val="auto"/>
          <w:lang w:val="en-GB"/>
        </w:rPr>
        <w:t>each default shall be linked to relevant obligor and facility characteristics at the fixed reference date defined as 12 months prior to the date of default</w:t>
      </w:r>
      <w:r w:rsidRPr="00305E0F">
        <w:rPr>
          <w:color w:val="auto"/>
          <w:lang w:val="en-GB"/>
        </w:rPr>
        <w:t>.</w:t>
      </w:r>
    </w:p>
    <w:p w14:paraId="2DF2C935" w14:textId="2F476AD3"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B72A25"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_Ref215297109 \r \h </w:instrText>
      </w:r>
      <w:r w:rsidRPr="00305E0F">
        <w:rPr>
          <w:color w:val="auto"/>
          <w:lang w:val="en-GB"/>
        </w:rPr>
      </w:r>
      <w:r w:rsidRPr="00305E0F">
        <w:rPr>
          <w:color w:val="auto"/>
          <w:lang w:val="en-GB"/>
        </w:rPr>
        <w:fldChar w:fldCharType="separate"/>
      </w:r>
      <w:r w:rsidR="00594C05" w:rsidRPr="00305E0F">
        <w:rPr>
          <w:color w:val="auto"/>
          <w:lang w:val="en-GB"/>
        </w:rPr>
        <w:t>209.8</w:t>
      </w:r>
      <w:r w:rsidRPr="00305E0F">
        <w:rPr>
          <w:color w:val="auto"/>
          <w:lang w:val="en-GB"/>
        </w:rPr>
        <w:fldChar w:fldCharType="end"/>
      </w:r>
      <w:r w:rsidRPr="00305E0F">
        <w:rPr>
          <w:color w:val="auto"/>
          <w:lang w:val="en-GB"/>
        </w:rPr>
        <w:t xml:space="preserve">, the IRB-CCF </w:t>
      </w:r>
      <w:r w:rsidR="00E256CD" w:rsidRPr="00305E0F">
        <w:rPr>
          <w:color w:val="auto"/>
          <w:lang w:val="en-GB"/>
        </w:rPr>
        <w:t>applied to particular exposures shall not be based on data that comingle the effects of disparate characteristics or data from exposures that exhibit materially different risk characteristics. IRB-CCF shall be based on appropriately homogenous segments. For that purpose, the following practices shall only be allowed on the basis of a detailed scrutiny and justification by a bank</w:t>
      </w:r>
      <w:r w:rsidRPr="00305E0F">
        <w:rPr>
          <w:color w:val="auto"/>
          <w:lang w:val="en-GB"/>
        </w:rPr>
        <w:t>:</w:t>
      </w:r>
    </w:p>
    <w:p w14:paraId="409936B9" w14:textId="0B772806" w:rsidR="00EB0050" w:rsidRPr="00305E0F" w:rsidRDefault="00E256C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SME/mid-market underlying data being applied to large corporate obligors;</w:t>
      </w:r>
    </w:p>
    <w:p w14:paraId="2A65DD30" w14:textId="627614E6" w:rsidR="00EB0050" w:rsidRPr="00305E0F" w:rsidRDefault="00E256C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Data from commitments with a small unused limit availability being applied to facilities with a large unused limit availability;</w:t>
      </w:r>
    </w:p>
    <w:p w14:paraId="203383F2" w14:textId="77C28C55" w:rsidR="00EB0050" w:rsidRPr="00305E0F" w:rsidRDefault="00E256C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Data from delinquent obligors or blocked for further drawdowns at the reference date being applied to obligors with no known delinquency or relevant restrictions;</w:t>
      </w:r>
    </w:p>
    <w:p w14:paraId="2066425B" w14:textId="7F060082" w:rsidR="00EB0050" w:rsidRPr="00305E0F" w:rsidRDefault="00E256C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67" w:name="_Ref215297246"/>
      <w:r w:rsidRPr="00305E0F">
        <w:rPr>
          <w:color w:val="auto"/>
          <w:lang w:val="en-GB"/>
        </w:rPr>
        <w:t>Data that have been affected by changes in the obligors’ mix of borrowing and other credit-related products over the observation period unless those data have been effectively adjusted by removing the effects of the changes in the product mix.</w:t>
      </w:r>
      <w:bookmarkEnd w:id="167"/>
    </w:p>
    <w:p w14:paraId="0C040C38" w14:textId="11B87D8D"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For the purposes of sub</w:t>
      </w:r>
      <w:r w:rsidR="00E256CD" w:rsidRPr="00305E0F">
        <w:rPr>
          <w:color w:val="auto"/>
          <w:lang w:val="en-GB"/>
        </w:rPr>
        <w:t>-</w:t>
      </w:r>
      <w:r w:rsidRPr="00305E0F">
        <w:rPr>
          <w:color w:val="auto"/>
          <w:lang w:val="en-GB"/>
        </w:rPr>
        <w:t>paragraph</w:t>
      </w:r>
      <w:r w:rsidR="00E256CD" w:rsidRPr="00305E0F">
        <w:rPr>
          <w:color w:val="auto"/>
          <w:lang w:val="en-GB"/>
        </w:rPr>
        <w:t xml:space="preserve"> </w:t>
      </w:r>
      <w:r w:rsidRPr="00305E0F">
        <w:rPr>
          <w:color w:val="auto"/>
          <w:lang w:val="en-GB"/>
        </w:rPr>
        <w:fldChar w:fldCharType="begin"/>
      </w:r>
      <w:r w:rsidRPr="00305E0F">
        <w:rPr>
          <w:color w:val="auto"/>
          <w:lang w:val="en-GB"/>
        </w:rPr>
        <w:instrText xml:space="preserve"> REF _Ref215297246 \r \h </w:instrText>
      </w:r>
      <w:r w:rsidRPr="00305E0F">
        <w:rPr>
          <w:color w:val="auto"/>
          <w:lang w:val="en-GB"/>
        </w:rPr>
      </w:r>
      <w:r w:rsidRPr="00305E0F">
        <w:rPr>
          <w:color w:val="auto"/>
          <w:lang w:val="en-GB"/>
        </w:rPr>
        <w:fldChar w:fldCharType="separate"/>
      </w:r>
      <w:r w:rsidR="00594C05" w:rsidRPr="00305E0F">
        <w:rPr>
          <w:color w:val="auto"/>
          <w:lang w:val="en-GB"/>
        </w:rPr>
        <w:t>213.4</w:t>
      </w:r>
      <w:r w:rsidRPr="00305E0F">
        <w:rPr>
          <w:color w:val="auto"/>
          <w:lang w:val="en-GB"/>
        </w:rPr>
        <w:fldChar w:fldCharType="end"/>
      </w:r>
      <w:r w:rsidRPr="00305E0F">
        <w:rPr>
          <w:color w:val="auto"/>
          <w:lang w:val="en-GB"/>
        </w:rPr>
        <w:t xml:space="preserve">, banks </w:t>
      </w:r>
      <w:r w:rsidR="00E256CD" w:rsidRPr="00305E0F">
        <w:rPr>
          <w:color w:val="auto"/>
          <w:lang w:val="en-GB"/>
        </w:rPr>
        <w:t>shall demonstrate to the competent authorities that they have a detailed understanding of the impact of changes in customer product mix on the exposures reference data sets and associated IRB-CCF, and that the impact is immaterial or has been effectively mitigated within their estimation process. In that regard, the following shall not be deemed appropriate</w:t>
      </w:r>
      <w:r w:rsidRPr="00305E0F">
        <w:rPr>
          <w:color w:val="auto"/>
          <w:lang w:val="en-GB"/>
        </w:rPr>
        <w:t>:</w:t>
      </w:r>
      <w:r w:rsidR="00E256CD" w:rsidRPr="00305E0F">
        <w:rPr>
          <w:color w:val="auto"/>
          <w:lang w:val="en-GB"/>
        </w:rPr>
        <w:t xml:space="preserve"> </w:t>
      </w:r>
    </w:p>
    <w:p w14:paraId="0533A971" w14:textId="1CCB8407"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Setting </w:t>
      </w:r>
      <w:r w:rsidR="00E256CD" w:rsidRPr="00305E0F">
        <w:rPr>
          <w:color w:val="auto"/>
          <w:lang w:val="en-GB"/>
        </w:rPr>
        <w:t>floors</w:t>
      </w:r>
      <w:r w:rsidRPr="00305E0F">
        <w:rPr>
          <w:color w:val="auto"/>
          <w:lang w:val="en-GB"/>
        </w:rPr>
        <w:t xml:space="preserve"> or caps for CCFs or observations on exposure values, excluding the actual zero conversion factor, in accordance with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_Ref215297431 \r \h </w:instrText>
      </w:r>
      <w:r w:rsidRPr="00305E0F">
        <w:rPr>
          <w:color w:val="auto"/>
          <w:lang w:val="en-GB"/>
        </w:rPr>
      </w:r>
      <w:r w:rsidRPr="00305E0F">
        <w:rPr>
          <w:color w:val="auto"/>
          <w:lang w:val="en-GB"/>
        </w:rPr>
        <w:fldChar w:fldCharType="separate"/>
      </w:r>
      <w:r w:rsidR="00594C05" w:rsidRPr="00305E0F">
        <w:rPr>
          <w:color w:val="auto"/>
          <w:lang w:val="en-GB"/>
        </w:rPr>
        <w:t>210</w:t>
      </w:r>
      <w:r w:rsidRPr="00305E0F">
        <w:rPr>
          <w:color w:val="auto"/>
          <w:lang w:val="en-GB"/>
        </w:rPr>
        <w:fldChar w:fldCharType="end"/>
      </w:r>
      <w:r w:rsidRPr="00305E0F">
        <w:rPr>
          <w:color w:val="auto"/>
          <w:lang w:val="en-GB"/>
        </w:rPr>
        <w:t>;</w:t>
      </w:r>
    </w:p>
    <w:p w14:paraId="6EA48685" w14:textId="040AD429"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Use of obligor-level estimates that do not fully cover the relevant product transformation options or improperly combine products with very different characteristics;</w:t>
      </w:r>
    </w:p>
    <w:p w14:paraId="4509C2A8" w14:textId="4250624D" w:rsidR="00EB0050" w:rsidRPr="00305E0F" w:rsidRDefault="00E256C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Adjusting only material observations affected by product transformation;</w:t>
      </w:r>
    </w:p>
    <w:p w14:paraId="02B05A10" w14:textId="72217BCB" w:rsidR="00EB0050" w:rsidRPr="00305E0F" w:rsidRDefault="00E256C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Excluding observations affected by product profile transformation.</w:t>
      </w:r>
    </w:p>
    <w:p w14:paraId="21EACACB" w14:textId="2CAC7CE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Banks shall ensure that the IRB-CCF is effectively protected from the potential effects of the region of instability caused by the fact that a facility is almost fully drawn at the reference date.</w:t>
      </w:r>
    </w:p>
    <w:p w14:paraId="47728BB6" w14:textId="618AA020"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reference dates shall not be capped at the principal amount of a facility or the available limit of the facility. Accrued interest, other payments due and drawdowns exceeding the limits of the facility shall be included in the reference dates.</w:t>
      </w:r>
    </w:p>
    <w:p w14:paraId="2C15261A" w14:textId="2CC0FF9F" w:rsidR="00EB0050" w:rsidRPr="00305E0F" w:rsidRDefault="00E256CD">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68" w:name="_Ref215506164"/>
      <w:r w:rsidRPr="00305E0F">
        <w:rPr>
          <w:color w:val="auto"/>
          <w:lang w:val="en-GB"/>
        </w:rPr>
        <w:t>For exposures to corporates, banks, central governments and central banks, and regional governments, local authorities and public sector entities, estimates of conversion factors shall be based on data over a minimum of five years, increasing by one year each year after implementation until a minimum of seven years is reached, for at least one data source. If the available observation period spans a longer period for any source, and the data are relevant, that longer period shall be used.</w:t>
      </w:r>
      <w:bookmarkEnd w:id="168"/>
    </w:p>
    <w:p w14:paraId="0CF60C70" w14:textId="7CCD8B29" w:rsidR="00EB0050" w:rsidRPr="00305E0F" w:rsidRDefault="00E256CD">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69" w:name="_Ref215506175"/>
      <w:r w:rsidRPr="00305E0F">
        <w:rPr>
          <w:color w:val="auto"/>
          <w:lang w:val="en-GB"/>
        </w:rPr>
        <w:t>For retail exposures, banks may reflect future drawings either in their conversion factors or in their LGD estimates.</w:t>
      </w:r>
      <w:bookmarkEnd w:id="169"/>
    </w:p>
    <w:p w14:paraId="74C7E4DD" w14:textId="0C260848"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70" w:name="_Ref215506180"/>
      <w:r w:rsidRPr="00305E0F">
        <w:rPr>
          <w:color w:val="auto"/>
          <w:lang w:val="en-GB"/>
        </w:rPr>
        <w:t>For retail exposures, estimates of conversion factors shall be based on data covering a minimum of five years. Subject to the approval of the National Bank of Moldova, when applying the IRB Approach, banks may use relevant data covering a period of two years. The period to be covered shall be increased by one year each year until the relevant data cover at least five years.</w:t>
      </w:r>
      <w:bookmarkEnd w:id="170"/>
    </w:p>
    <w:p w14:paraId="19FBE296" w14:textId="077EC1C5"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5</w:t>
      </w:r>
    </w:p>
    <w:p w14:paraId="29BAF0E4" w14:textId="7B0295CA" w:rsidR="00EB0050" w:rsidRPr="00305E0F" w:rsidRDefault="00E256CD">
      <w:pPr>
        <w:pStyle w:val="P68B1DB1-ListParagraph15"/>
        <w:shd w:val="clear" w:color="auto" w:fill="FFFFFF"/>
        <w:tabs>
          <w:tab w:val="left" w:pos="0"/>
          <w:tab w:val="left" w:pos="567"/>
        </w:tabs>
        <w:spacing w:after="120" w:line="240" w:lineRule="auto"/>
        <w:ind w:left="0"/>
        <w:contextualSpacing w:val="0"/>
        <w:jc w:val="center"/>
        <w:rPr>
          <w:color w:val="auto"/>
          <w:lang w:val="en-GB"/>
        </w:rPr>
      </w:pPr>
      <w:r w:rsidRPr="00305E0F">
        <w:rPr>
          <w:bCs/>
          <w:color w:val="auto"/>
          <w:lang w:val="en-GB"/>
        </w:rPr>
        <w:t>Requirements for assessing the effect of unfunded credit protection for exposures to central governments and central banks, exposures to regional governments, local authorities and public sector entities, and exposures to corporates, where own estimates of LGD are used and for retail exposures</w:t>
      </w:r>
    </w:p>
    <w:p w14:paraId="68B1C16A" w14:textId="0728959D"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71" w:name="_Ref215298820"/>
      <w:r w:rsidRPr="00305E0F">
        <w:rPr>
          <w:color w:val="auto"/>
          <w:lang w:val="en-GB"/>
        </w:rPr>
        <w:t>With regard to eligible guarant</w:t>
      </w:r>
      <w:r w:rsidR="00E256CD" w:rsidRPr="00305E0F">
        <w:rPr>
          <w:color w:val="auto"/>
          <w:lang w:val="en-GB"/>
        </w:rPr>
        <w:t>or</w:t>
      </w:r>
      <w:r w:rsidRPr="00305E0F">
        <w:rPr>
          <w:color w:val="auto"/>
          <w:lang w:val="en-GB"/>
        </w:rPr>
        <w:t>s (protection providers) and eligible guarantees, the following requirements shall apply:</w:t>
      </w:r>
      <w:bookmarkEnd w:id="171"/>
    </w:p>
    <w:p w14:paraId="28B363A8" w14:textId="1A9A9658" w:rsidR="00EB0050" w:rsidRPr="00305E0F" w:rsidRDefault="00E256C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have clearly specified criteria for the types of guarantors they recognise for the calculation of risk-weighted exposure amounts;</w:t>
      </w:r>
    </w:p>
    <w:p w14:paraId="7B65F623" w14:textId="10B4F323"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 xml:space="preserve">For recognised </w:t>
      </w:r>
      <w:r w:rsidR="00E256CD" w:rsidRPr="00305E0F">
        <w:rPr>
          <w:color w:val="auto"/>
          <w:lang w:val="en-GB"/>
        </w:rPr>
        <w:t>guarantors</w:t>
      </w:r>
      <w:r w:rsidRPr="00305E0F">
        <w:rPr>
          <w:color w:val="auto"/>
          <w:lang w:val="en-GB"/>
        </w:rPr>
        <w:t xml:space="preserve">, the same rules set out in paragraphs </w:t>
      </w:r>
      <w:r w:rsidRPr="00305E0F">
        <w:rPr>
          <w:color w:val="auto"/>
          <w:lang w:val="en-GB"/>
        </w:rPr>
        <w:fldChar w:fldCharType="begin"/>
      </w:r>
      <w:r w:rsidRPr="00305E0F">
        <w:rPr>
          <w:color w:val="auto"/>
          <w:lang w:val="en-GB"/>
        </w:rPr>
        <w:instrText xml:space="preserve"> REF _Ref215507795 \r \h </w:instrText>
      </w:r>
      <w:r w:rsidRPr="00305E0F">
        <w:rPr>
          <w:color w:val="auto"/>
          <w:lang w:val="en-GB"/>
        </w:rPr>
      </w:r>
      <w:r w:rsidRPr="00305E0F">
        <w:rPr>
          <w:color w:val="auto"/>
          <w:lang w:val="en-GB"/>
        </w:rPr>
        <w:fldChar w:fldCharType="separate"/>
      </w:r>
      <w:r w:rsidR="00594C05" w:rsidRPr="00305E0F">
        <w:rPr>
          <w:color w:val="auto"/>
          <w:lang w:val="en-GB"/>
        </w:rPr>
        <w:t>168</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_Ref215507803 \r \h </w:instrText>
      </w:r>
      <w:r w:rsidRPr="00305E0F">
        <w:rPr>
          <w:color w:val="auto"/>
          <w:lang w:val="en-GB"/>
        </w:rPr>
      </w:r>
      <w:r w:rsidRPr="00305E0F">
        <w:rPr>
          <w:color w:val="auto"/>
          <w:lang w:val="en-GB"/>
        </w:rPr>
        <w:fldChar w:fldCharType="separate"/>
      </w:r>
      <w:r w:rsidR="00594C05" w:rsidRPr="00305E0F">
        <w:rPr>
          <w:color w:val="auto"/>
          <w:lang w:val="en-GB"/>
        </w:rPr>
        <w:t>170</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_Ref215507814 \r \h </w:instrText>
      </w:r>
      <w:r w:rsidRPr="00305E0F">
        <w:rPr>
          <w:color w:val="auto"/>
          <w:lang w:val="en-GB"/>
        </w:rPr>
      </w:r>
      <w:r w:rsidRPr="00305E0F">
        <w:rPr>
          <w:color w:val="auto"/>
          <w:lang w:val="en-GB"/>
        </w:rPr>
        <w:fldChar w:fldCharType="separate"/>
      </w:r>
      <w:r w:rsidR="00594C05" w:rsidRPr="00305E0F">
        <w:rPr>
          <w:color w:val="auto"/>
          <w:lang w:val="en-GB"/>
        </w:rPr>
        <w:t>171</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_Ref215507822 \r \h </w:instrText>
      </w:r>
      <w:r w:rsidRPr="00305E0F">
        <w:rPr>
          <w:color w:val="auto"/>
          <w:lang w:val="en-GB"/>
        </w:rPr>
      </w:r>
      <w:r w:rsidRPr="00305E0F">
        <w:rPr>
          <w:color w:val="auto"/>
          <w:lang w:val="en-GB"/>
        </w:rPr>
        <w:fldChar w:fldCharType="separate"/>
      </w:r>
      <w:r w:rsidR="00594C05" w:rsidRPr="00305E0F">
        <w:rPr>
          <w:color w:val="auto"/>
          <w:lang w:val="en-GB"/>
        </w:rPr>
        <w:t>175</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_Ref215507833 \r \h </w:instrText>
      </w:r>
      <w:r w:rsidRPr="00305E0F">
        <w:rPr>
          <w:color w:val="auto"/>
          <w:lang w:val="en-GB"/>
        </w:rPr>
      </w:r>
      <w:r w:rsidRPr="00305E0F">
        <w:rPr>
          <w:color w:val="auto"/>
          <w:lang w:val="en-GB"/>
        </w:rPr>
        <w:fldChar w:fldCharType="separate"/>
      </w:r>
      <w:r w:rsidR="00594C05" w:rsidRPr="00305E0F">
        <w:rPr>
          <w:color w:val="auto"/>
          <w:lang w:val="en-GB"/>
        </w:rPr>
        <w:t>176</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_Ref215507839 \r \h </w:instrText>
      </w:r>
      <w:r w:rsidRPr="00305E0F">
        <w:rPr>
          <w:color w:val="auto"/>
          <w:lang w:val="en-GB"/>
        </w:rPr>
      </w:r>
      <w:r w:rsidRPr="00305E0F">
        <w:rPr>
          <w:color w:val="auto"/>
          <w:lang w:val="en-GB"/>
        </w:rPr>
        <w:fldChar w:fldCharType="separate"/>
      </w:r>
      <w:r w:rsidR="00594C05" w:rsidRPr="00305E0F">
        <w:rPr>
          <w:color w:val="auto"/>
          <w:lang w:val="en-GB"/>
        </w:rPr>
        <w:t>177</w:t>
      </w:r>
      <w:r w:rsidRPr="00305E0F">
        <w:rPr>
          <w:color w:val="auto"/>
          <w:lang w:val="en-GB"/>
        </w:rPr>
        <w:fldChar w:fldCharType="end"/>
      </w:r>
      <w:r w:rsidRPr="00305E0F">
        <w:rPr>
          <w:color w:val="auto"/>
          <w:lang w:val="en-GB"/>
        </w:rPr>
        <w:t xml:space="preserve"> apply as for </w:t>
      </w:r>
      <w:r w:rsidR="00E256CD" w:rsidRPr="00305E0F">
        <w:rPr>
          <w:color w:val="auto"/>
          <w:lang w:val="en-GB"/>
        </w:rPr>
        <w:t>obligors</w:t>
      </w:r>
      <w:r w:rsidRPr="00305E0F">
        <w:rPr>
          <w:color w:val="auto"/>
          <w:lang w:val="en-GB"/>
        </w:rPr>
        <w:t>;</w:t>
      </w:r>
    </w:p>
    <w:p w14:paraId="574ECED2" w14:textId="23E82C67" w:rsidR="00EB0050" w:rsidRPr="00305E0F" w:rsidRDefault="00E256CD">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guarantee shall be evidenced in writing, non-cancellable and non-changeable on the part of the guarantor, in force until the obligation is satisfied in full, to the extent of the amount and tenor of the guarantee, and legally enforceable against the guarantor in a jurisdiction where the guarantor has assets to attach and enforce a judgement;</w:t>
      </w:r>
    </w:p>
    <w:p w14:paraId="1B8753EE" w14:textId="5D6D3CD6"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bookmarkStart w:id="172" w:name="_Ref215298058"/>
      <w:r w:rsidRPr="00305E0F">
        <w:rPr>
          <w:color w:val="auto"/>
          <w:lang w:val="en-GB"/>
        </w:rPr>
        <w:t xml:space="preserve">The guarantee </w:t>
      </w:r>
      <w:r w:rsidR="00E256CD" w:rsidRPr="00305E0F">
        <w:rPr>
          <w:color w:val="auto"/>
          <w:lang w:val="en-GB"/>
        </w:rPr>
        <w:t>shall be</w:t>
      </w:r>
      <w:r w:rsidRPr="00305E0F">
        <w:rPr>
          <w:color w:val="auto"/>
          <w:lang w:val="en-GB"/>
        </w:rPr>
        <w:t xml:space="preserve"> unconditional.</w:t>
      </w:r>
      <w:bookmarkEnd w:id="172"/>
    </w:p>
    <w:p w14:paraId="28D6D515" w14:textId="046AAE1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For the purposes of </w:t>
      </w:r>
      <w:r w:rsidR="00E256CD"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_Ref215298058 \r \h </w:instrText>
      </w:r>
      <w:r w:rsidRPr="00305E0F">
        <w:rPr>
          <w:color w:val="auto"/>
          <w:lang w:val="en-GB"/>
        </w:rPr>
      </w:r>
      <w:r w:rsidRPr="00305E0F">
        <w:rPr>
          <w:color w:val="auto"/>
          <w:lang w:val="en-GB"/>
        </w:rPr>
        <w:fldChar w:fldCharType="separate"/>
      </w:r>
      <w:r w:rsidR="00594C05" w:rsidRPr="00305E0F">
        <w:rPr>
          <w:color w:val="auto"/>
          <w:lang w:val="en-GB"/>
        </w:rPr>
        <w:t>220.4</w:t>
      </w:r>
      <w:r w:rsidRPr="00305E0F">
        <w:rPr>
          <w:color w:val="auto"/>
          <w:lang w:val="en-GB"/>
        </w:rPr>
        <w:fldChar w:fldCharType="end"/>
      </w:r>
      <w:r w:rsidRPr="00305E0F">
        <w:rPr>
          <w:color w:val="auto"/>
          <w:lang w:val="en-GB"/>
        </w:rPr>
        <w:t>,</w:t>
      </w:r>
      <w:r w:rsidR="00E51881" w:rsidRPr="00305E0F">
        <w:rPr>
          <w:color w:val="auto"/>
          <w:lang w:val="en-GB"/>
        </w:rPr>
        <w:t xml:space="preserve"> an “unconditional guarantee” means a guarantee where the credit protection contract does not contain any clause the fulfilment of which is outside the direct control of the lending bank and that could prevent the guarantor from being obliged to pay out in a timely manner pursuant to the qualifying default of the obligor or to the non-payment by the original obligor. A clause in the credit protection contract providing that a flawed due diligence or fraud by the lending bank cancels or diminishes the extent of the guarantee offered by the guarantor shall not disqualify that guarantee from being considered unconditional</w:t>
      </w:r>
      <w:r w:rsidRPr="00305E0F">
        <w:rPr>
          <w:color w:val="auto"/>
          <w:lang w:val="en-GB"/>
        </w:rPr>
        <w:t>.</w:t>
      </w:r>
    </w:p>
    <w:p w14:paraId="63F0AD35" w14:textId="5B02517D" w:rsidR="00EB0050" w:rsidRPr="00305E0F" w:rsidRDefault="00E51881">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73" w:name="_Ref215298829"/>
      <w:r w:rsidRPr="00305E0F">
        <w:rPr>
          <w:color w:val="auto"/>
          <w:lang w:val="en-GB"/>
        </w:rPr>
        <w:t>Guarantees where the payment by the guarantor is subject to the lending bank first having to pursue the obligor and that only cover losses remaining after the bank has completed the workout process shall be considered unconditional.</w:t>
      </w:r>
      <w:bookmarkEnd w:id="173"/>
    </w:p>
    <w:p w14:paraId="1EB7D636" w14:textId="241F5366"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Banks may recognise unfunded credit protection using either the PD/LGD </w:t>
      </w:r>
      <w:r w:rsidR="00E51881" w:rsidRPr="00305E0F">
        <w:rPr>
          <w:color w:val="auto"/>
          <w:lang w:val="en-GB"/>
        </w:rPr>
        <w:t xml:space="preserve">modelling </w:t>
      </w:r>
      <w:r w:rsidRPr="00305E0F">
        <w:rPr>
          <w:color w:val="auto"/>
          <w:lang w:val="en-GB"/>
        </w:rPr>
        <w:t xml:space="preserve">adjustment approach in accordance with this Section and provided that the requirement set out in </w:t>
      </w:r>
      <w:r w:rsidR="00704220" w:rsidRPr="00305E0F">
        <w:rPr>
          <w:color w:val="auto"/>
          <w:lang w:val="en-GB"/>
        </w:rPr>
        <w:t>paragraph</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_Ref215507988 \r \h </w:instrText>
      </w:r>
      <w:r w:rsidRPr="00305E0F">
        <w:rPr>
          <w:color w:val="auto"/>
          <w:lang w:val="en-GB"/>
        </w:rPr>
      </w:r>
      <w:r w:rsidRPr="00305E0F">
        <w:rPr>
          <w:color w:val="auto"/>
          <w:lang w:val="en-GB"/>
        </w:rPr>
        <w:fldChar w:fldCharType="separate"/>
      </w:r>
      <w:r w:rsidR="00594C05" w:rsidRPr="00305E0F">
        <w:rPr>
          <w:color w:val="auto"/>
          <w:lang w:val="en-GB"/>
        </w:rPr>
        <w:t>229</w:t>
      </w:r>
      <w:r w:rsidRPr="00305E0F">
        <w:rPr>
          <w:color w:val="auto"/>
          <w:lang w:val="en-GB"/>
        </w:rPr>
        <w:fldChar w:fldCharType="end"/>
      </w:r>
      <w:r w:rsidR="00E51881" w:rsidRPr="00305E0F">
        <w:rPr>
          <w:color w:val="auto"/>
          <w:lang w:val="en-GB"/>
        </w:rPr>
        <w:t xml:space="preserve"> is met </w:t>
      </w:r>
      <w:r w:rsidRPr="00305E0F">
        <w:rPr>
          <w:color w:val="auto"/>
          <w:lang w:val="en-GB"/>
        </w:rPr>
        <w:t>or the substitution of risk parameters approach based on A-IRB in accordance with the calculation of risk-weighted exposure amounts and expected loss amounts in accordance with the substitution method when the guaranteed exposure is treated in accordance with the IRB approach using own estimates of LGD and a comparable direct exposure to the protection provider is treated in accordance with</w:t>
      </w:r>
      <w:r w:rsidRPr="00305E0F">
        <w:rPr>
          <w:i/>
          <w:color w:val="auto"/>
          <w:lang w:val="en-GB"/>
        </w:rPr>
        <w:t xml:space="preserve"> </w:t>
      </w:r>
      <w:r w:rsidRPr="00305E0F">
        <w:rPr>
          <w:color w:val="auto"/>
          <w:lang w:val="en-GB"/>
        </w:rPr>
        <w:t>the IRB approach</w:t>
      </w:r>
      <w:r w:rsidRPr="00305E0F">
        <w:rPr>
          <w:i/>
          <w:color w:val="auto"/>
          <w:lang w:val="en-GB"/>
        </w:rPr>
        <w:t xml:space="preserve"> </w:t>
      </w:r>
      <w:r w:rsidRPr="00305E0F">
        <w:rPr>
          <w:color w:val="auto"/>
          <w:lang w:val="en-GB"/>
        </w:rPr>
        <w:t xml:space="preserve">of Regulation No 112/2018 and provided that the eligibility requirements of Regulation No 112/2018 are met. Banks </w:t>
      </w:r>
      <w:r w:rsidR="00E51881" w:rsidRPr="00305E0F">
        <w:rPr>
          <w:color w:val="auto"/>
          <w:lang w:val="en-GB"/>
        </w:rPr>
        <w:t>shall</w:t>
      </w:r>
      <w:r w:rsidRPr="00305E0F">
        <w:rPr>
          <w:color w:val="auto"/>
          <w:lang w:val="en-GB"/>
        </w:rPr>
        <w:t xml:space="preserve"> have clear policies for assessing the effects of unfunded credit protection on risk parameters. Banks’ policies shall be consistent with their internal risk management practices and reflect the requirements of this Subsection. Those policies shall clearly specify which of the specific methods described in this paragraph are used for each rating system and banks shall apply those policies consistently over time.</w:t>
      </w:r>
    </w:p>
    <w:p w14:paraId="301BF7D5" w14:textId="36B8931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74" w:name="_Ref215298842"/>
      <w:r w:rsidRPr="00305E0F">
        <w:rPr>
          <w:color w:val="auto"/>
          <w:lang w:val="en-GB"/>
        </w:rPr>
        <w:t xml:space="preserve">A bank shall have clearly specified criteria for adjusting grades, pools or LGD estimates and, for retail and eligible purchased receivables, the process for assigning exposures to grades or pools to reflect the impact of </w:t>
      </w:r>
      <w:r w:rsidR="00E51881" w:rsidRPr="00305E0F">
        <w:rPr>
          <w:color w:val="auto"/>
          <w:lang w:val="en-GB"/>
        </w:rPr>
        <w:t>guarantees</w:t>
      </w:r>
      <w:r w:rsidRPr="00305E0F">
        <w:rPr>
          <w:color w:val="auto"/>
          <w:lang w:val="en-GB"/>
        </w:rPr>
        <w:t xml:space="preserve"> on the calculation of risk-weighted exposure amounts. These criteria shall comply with the requirements set out in </w:t>
      </w:r>
      <w:r w:rsidR="00704220" w:rsidRPr="00305E0F">
        <w:rPr>
          <w:color w:val="auto"/>
          <w:lang w:val="en-GB"/>
        </w:rPr>
        <w:t>paragraph</w:t>
      </w:r>
      <w:r w:rsidRPr="00305E0F">
        <w:rPr>
          <w:color w:val="auto"/>
          <w:lang w:val="en-GB"/>
        </w:rPr>
        <w:t xml:space="preserve">s </w:t>
      </w:r>
      <w:r w:rsidRPr="00305E0F">
        <w:rPr>
          <w:color w:val="auto"/>
          <w:lang w:val="en-GB"/>
        </w:rPr>
        <w:fldChar w:fldCharType="begin"/>
      </w:r>
      <w:r w:rsidRPr="00305E0F">
        <w:rPr>
          <w:color w:val="auto"/>
          <w:lang w:val="en-GB"/>
        </w:rPr>
        <w:instrText xml:space="preserve"> REF _Ref215507795 \r \h </w:instrText>
      </w:r>
      <w:r w:rsidRPr="00305E0F">
        <w:rPr>
          <w:color w:val="auto"/>
          <w:lang w:val="en-GB"/>
        </w:rPr>
      </w:r>
      <w:r w:rsidRPr="00305E0F">
        <w:rPr>
          <w:color w:val="auto"/>
          <w:lang w:val="en-GB"/>
        </w:rPr>
        <w:fldChar w:fldCharType="separate"/>
      </w:r>
      <w:r w:rsidR="00594C05" w:rsidRPr="00305E0F">
        <w:rPr>
          <w:color w:val="auto"/>
          <w:lang w:val="en-GB"/>
        </w:rPr>
        <w:t>168</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_Ref215507803 \r \h </w:instrText>
      </w:r>
      <w:r w:rsidRPr="00305E0F">
        <w:rPr>
          <w:color w:val="auto"/>
          <w:lang w:val="en-GB"/>
        </w:rPr>
      </w:r>
      <w:r w:rsidRPr="00305E0F">
        <w:rPr>
          <w:color w:val="auto"/>
          <w:lang w:val="en-GB"/>
        </w:rPr>
        <w:fldChar w:fldCharType="separate"/>
      </w:r>
      <w:r w:rsidR="00594C05" w:rsidRPr="00305E0F">
        <w:rPr>
          <w:color w:val="auto"/>
          <w:lang w:val="en-GB"/>
        </w:rPr>
        <w:t>170</w:t>
      </w:r>
      <w:r w:rsidRPr="00305E0F">
        <w:rPr>
          <w:color w:val="auto"/>
          <w:lang w:val="en-GB"/>
        </w:rPr>
        <w:fldChar w:fldCharType="end"/>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_Ref215507814 \r \h </w:instrText>
      </w:r>
      <w:r w:rsidRPr="00305E0F">
        <w:rPr>
          <w:color w:val="auto"/>
          <w:lang w:val="en-GB"/>
        </w:rPr>
      </w:r>
      <w:r w:rsidRPr="00305E0F">
        <w:rPr>
          <w:color w:val="auto"/>
          <w:lang w:val="en-GB"/>
        </w:rPr>
        <w:fldChar w:fldCharType="separate"/>
      </w:r>
      <w:r w:rsidR="00594C05" w:rsidRPr="00305E0F">
        <w:rPr>
          <w:color w:val="auto"/>
          <w:lang w:val="en-GB"/>
        </w:rPr>
        <w:t>171</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_Ref215507822 \r \h </w:instrText>
      </w:r>
      <w:r w:rsidRPr="00305E0F">
        <w:rPr>
          <w:color w:val="auto"/>
          <w:lang w:val="en-GB"/>
        </w:rPr>
      </w:r>
      <w:r w:rsidRPr="00305E0F">
        <w:rPr>
          <w:color w:val="auto"/>
          <w:lang w:val="en-GB"/>
        </w:rPr>
        <w:fldChar w:fldCharType="separate"/>
      </w:r>
      <w:r w:rsidR="00594C05" w:rsidRPr="00305E0F">
        <w:rPr>
          <w:color w:val="auto"/>
          <w:lang w:val="en-GB"/>
        </w:rPr>
        <w:t>175</w:t>
      </w:r>
      <w:r w:rsidRPr="00305E0F">
        <w:rPr>
          <w:color w:val="auto"/>
          <w:lang w:val="en-GB"/>
        </w:rPr>
        <w:fldChar w:fldCharType="end"/>
      </w:r>
      <w:r w:rsidRPr="00305E0F">
        <w:rPr>
          <w:color w:val="auto"/>
          <w:lang w:val="en-GB"/>
        </w:rPr>
        <w:t xml:space="preserve"> and </w:t>
      </w:r>
      <w:r w:rsidRPr="00305E0F">
        <w:rPr>
          <w:color w:val="auto"/>
          <w:lang w:val="en-GB"/>
        </w:rPr>
        <w:fldChar w:fldCharType="begin"/>
      </w:r>
      <w:r w:rsidRPr="00305E0F">
        <w:rPr>
          <w:color w:val="auto"/>
          <w:lang w:val="en-GB"/>
        </w:rPr>
        <w:instrText xml:space="preserve"> REF _Ref215507833 \r \h </w:instrText>
      </w:r>
      <w:r w:rsidRPr="00305E0F">
        <w:rPr>
          <w:color w:val="auto"/>
          <w:lang w:val="en-GB"/>
        </w:rPr>
      </w:r>
      <w:r w:rsidRPr="00305E0F">
        <w:rPr>
          <w:color w:val="auto"/>
          <w:lang w:val="en-GB"/>
        </w:rPr>
        <w:fldChar w:fldCharType="separate"/>
      </w:r>
      <w:r w:rsidR="00594C05" w:rsidRPr="00305E0F">
        <w:rPr>
          <w:color w:val="auto"/>
          <w:lang w:val="en-GB"/>
        </w:rPr>
        <w:t>176</w:t>
      </w:r>
      <w:r w:rsidRPr="00305E0F">
        <w:rPr>
          <w:color w:val="auto"/>
          <w:lang w:val="en-GB"/>
        </w:rPr>
        <w:fldChar w:fldCharType="end"/>
      </w:r>
      <w:r w:rsidRPr="00305E0F">
        <w:rPr>
          <w:color w:val="auto"/>
          <w:lang w:val="en-GB"/>
        </w:rPr>
        <w:t>-</w:t>
      </w:r>
      <w:r w:rsidRPr="00305E0F">
        <w:rPr>
          <w:color w:val="auto"/>
          <w:lang w:val="en-GB"/>
        </w:rPr>
        <w:fldChar w:fldCharType="begin"/>
      </w:r>
      <w:r w:rsidRPr="00305E0F">
        <w:rPr>
          <w:color w:val="auto"/>
          <w:lang w:val="en-GB"/>
        </w:rPr>
        <w:instrText xml:space="preserve"> REF _Ref215507839 \r \h </w:instrText>
      </w:r>
      <w:r w:rsidRPr="00305E0F">
        <w:rPr>
          <w:color w:val="auto"/>
          <w:lang w:val="en-GB"/>
        </w:rPr>
      </w:r>
      <w:r w:rsidRPr="00305E0F">
        <w:rPr>
          <w:color w:val="auto"/>
          <w:lang w:val="en-GB"/>
        </w:rPr>
        <w:fldChar w:fldCharType="separate"/>
      </w:r>
      <w:r w:rsidR="00594C05" w:rsidRPr="00305E0F">
        <w:rPr>
          <w:color w:val="auto"/>
          <w:lang w:val="en-GB"/>
        </w:rPr>
        <w:t>177</w:t>
      </w:r>
      <w:r w:rsidRPr="00305E0F">
        <w:rPr>
          <w:color w:val="auto"/>
          <w:lang w:val="en-GB"/>
        </w:rPr>
        <w:fldChar w:fldCharType="end"/>
      </w:r>
      <w:r w:rsidRPr="00305E0F">
        <w:rPr>
          <w:color w:val="auto"/>
          <w:lang w:val="en-GB"/>
        </w:rPr>
        <w:t>.</w:t>
      </w:r>
      <w:bookmarkEnd w:id="174"/>
    </w:p>
    <w:p w14:paraId="3BFF65D8" w14:textId="6F1A0DF2" w:rsidR="00EB0050" w:rsidRPr="00305E0F" w:rsidRDefault="00E51881">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75" w:name="_Ref215298850"/>
      <w:r w:rsidRPr="00305E0F">
        <w:rPr>
          <w:color w:val="auto"/>
          <w:lang w:val="en-GB"/>
        </w:rPr>
        <w:t>The criteria shall be plausible and intuitive. They shall address the guarantor's ability and willingness to perform under the guarantee, the likely timing of any payments from the guarantor, the degree to which the guarantor's ability to perform under the guarantee is correlated with the obligor's ability to repay, and the extent to which residual risk to the obligor remains.</w:t>
      </w:r>
      <w:bookmarkEnd w:id="175"/>
    </w:p>
    <w:p w14:paraId="340FF755" w14:textId="699648D8"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76" w:name="_Ref215298591"/>
      <w:r w:rsidRPr="00305E0F">
        <w:rPr>
          <w:color w:val="auto"/>
          <w:lang w:val="en-GB"/>
        </w:rPr>
        <w:t xml:space="preserve">The requirements set out in this Section for guarantees </w:t>
      </w:r>
      <w:r w:rsidR="00E51881" w:rsidRPr="00305E0F">
        <w:rPr>
          <w:color w:val="auto"/>
          <w:lang w:val="en-GB"/>
        </w:rPr>
        <w:t xml:space="preserve">shall apply also for single-name credit derivatives. In relation to a mismatch between the underlying obligation and the reference obligation of the credit derivative or the obligation used for determining whether a credit event has occurred, the requirements set out </w:t>
      </w:r>
      <w:r w:rsidRPr="00305E0F">
        <w:rPr>
          <w:color w:val="auto"/>
          <w:lang w:val="en-GB"/>
        </w:rPr>
        <w:t xml:space="preserve">in </w:t>
      </w:r>
      <w:r w:rsidR="00704220" w:rsidRPr="00305E0F">
        <w:rPr>
          <w:color w:val="auto"/>
          <w:lang w:val="en-GB"/>
        </w:rPr>
        <w:t xml:space="preserve">paragraph </w:t>
      </w:r>
      <w:r w:rsidRPr="00305E0F">
        <w:rPr>
          <w:color w:val="auto"/>
          <w:lang w:val="en-GB"/>
        </w:rPr>
        <w:t xml:space="preserve">64 of Regulation </w:t>
      </w:r>
      <w:r w:rsidR="00E51881" w:rsidRPr="00305E0F">
        <w:rPr>
          <w:color w:val="auto"/>
          <w:lang w:val="en-GB"/>
        </w:rPr>
        <w:t>No</w:t>
      </w:r>
      <w:r w:rsidRPr="00305E0F">
        <w:rPr>
          <w:color w:val="auto"/>
          <w:lang w:val="en-GB"/>
        </w:rPr>
        <w:t xml:space="preserve"> 112</w:t>
      </w:r>
      <w:r w:rsidR="00E51881" w:rsidRPr="00305E0F">
        <w:rPr>
          <w:color w:val="auto"/>
          <w:lang w:val="en-GB"/>
        </w:rPr>
        <w:t>/2018</w:t>
      </w:r>
      <w:r w:rsidRPr="00305E0F">
        <w:rPr>
          <w:color w:val="auto"/>
          <w:lang w:val="en-GB"/>
        </w:rPr>
        <w:t xml:space="preserve"> shall apply. For retail exposures and eligible purchased receivables, paragraphs </w:t>
      </w:r>
      <w:r w:rsidRPr="00305E0F">
        <w:rPr>
          <w:color w:val="auto"/>
          <w:lang w:val="en-GB"/>
        </w:rPr>
        <w:fldChar w:fldCharType="begin"/>
      </w:r>
      <w:r w:rsidRPr="00305E0F">
        <w:rPr>
          <w:color w:val="auto"/>
          <w:lang w:val="en-GB"/>
        </w:rPr>
        <w:instrText xml:space="preserve"> REF _Ref215298591 \r \h </w:instrText>
      </w:r>
      <w:r w:rsidRPr="00305E0F">
        <w:rPr>
          <w:color w:val="auto"/>
          <w:lang w:val="en-GB"/>
        </w:rPr>
      </w:r>
      <w:r w:rsidRPr="00305E0F">
        <w:rPr>
          <w:color w:val="auto"/>
          <w:lang w:val="en-GB"/>
        </w:rPr>
        <w:fldChar w:fldCharType="separate"/>
      </w:r>
      <w:r w:rsidR="00594C05" w:rsidRPr="00305E0F">
        <w:rPr>
          <w:color w:val="auto"/>
          <w:lang w:val="en-GB"/>
        </w:rPr>
        <w:t>226</w:t>
      </w:r>
      <w:r w:rsidRPr="00305E0F">
        <w:rPr>
          <w:color w:val="auto"/>
          <w:lang w:val="en-GB"/>
        </w:rPr>
        <w:fldChar w:fldCharType="end"/>
      </w:r>
      <w:r w:rsidR="00E51881" w:rsidRPr="00305E0F">
        <w:rPr>
          <w:color w:val="auto"/>
          <w:lang w:val="en-GB"/>
        </w:rPr>
        <w:t xml:space="preserve"> </w:t>
      </w:r>
      <w:r w:rsidRPr="00305E0F">
        <w:rPr>
          <w:color w:val="auto"/>
          <w:lang w:val="en-GB"/>
        </w:rPr>
        <w:t>to</w:t>
      </w:r>
      <w:r w:rsidR="00E51881" w:rsidRPr="00305E0F">
        <w:rPr>
          <w:color w:val="auto"/>
          <w:lang w:val="en-GB"/>
        </w:rPr>
        <w:t xml:space="preserve"> </w:t>
      </w:r>
      <w:r w:rsidRPr="00305E0F">
        <w:rPr>
          <w:color w:val="auto"/>
          <w:lang w:val="en-GB"/>
        </w:rPr>
        <w:fldChar w:fldCharType="begin"/>
      </w:r>
      <w:r w:rsidRPr="00305E0F">
        <w:rPr>
          <w:color w:val="auto"/>
          <w:lang w:val="en-GB"/>
        </w:rPr>
        <w:instrText xml:space="preserve"> REF _Ref215298605 \r \h </w:instrText>
      </w:r>
      <w:r w:rsidRPr="00305E0F">
        <w:rPr>
          <w:color w:val="auto"/>
          <w:lang w:val="en-GB"/>
        </w:rPr>
      </w:r>
      <w:r w:rsidRPr="00305E0F">
        <w:rPr>
          <w:color w:val="auto"/>
          <w:lang w:val="en-GB"/>
        </w:rPr>
        <w:fldChar w:fldCharType="separate"/>
      </w:r>
      <w:r w:rsidR="00594C05" w:rsidRPr="00305E0F">
        <w:rPr>
          <w:color w:val="auto"/>
          <w:lang w:val="en-GB"/>
        </w:rPr>
        <w:t>228</w:t>
      </w:r>
      <w:r w:rsidRPr="00305E0F">
        <w:rPr>
          <w:color w:val="auto"/>
          <w:lang w:val="en-GB"/>
        </w:rPr>
        <w:fldChar w:fldCharType="end"/>
      </w:r>
      <w:r w:rsidRPr="00305E0F">
        <w:rPr>
          <w:color w:val="auto"/>
          <w:lang w:val="en-GB"/>
        </w:rPr>
        <w:t xml:space="preserve"> shall apply to the assignment of exposures to grades or pools.</w:t>
      </w:r>
      <w:bookmarkEnd w:id="176"/>
    </w:p>
    <w:p w14:paraId="761CEA55" w14:textId="4E481E2E" w:rsidR="00EB0050" w:rsidRPr="00305E0F" w:rsidRDefault="00E51881">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criteria shall address the payout structure of the credit derivative and conservatively assess the impact this has on the level and timing of recoveries. The bank shall consider the extent to which other forms of residual risk remain.</w:t>
      </w:r>
    </w:p>
    <w:p w14:paraId="7CE93510" w14:textId="259E2ABF" w:rsidR="00EB0050" w:rsidRPr="00305E0F" w:rsidRDefault="00E51881">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77" w:name="_Ref215298605"/>
      <w:r w:rsidRPr="00305E0F">
        <w:rPr>
          <w:color w:val="auto"/>
          <w:lang w:val="en-GB"/>
        </w:rPr>
        <w:t>First-to-default credit derivatives may be recognised as eligible unfunded credit protection. However, second-to-default and all other nth-to-default credit derivatives shall not be recognised as eligible unfunded credit protection.</w:t>
      </w:r>
      <w:bookmarkEnd w:id="177"/>
      <w:r w:rsidRPr="00305E0F">
        <w:rPr>
          <w:color w:val="auto"/>
          <w:lang w:val="en-GB"/>
        </w:rPr>
        <w:t xml:space="preserve"> </w:t>
      </w:r>
    </w:p>
    <w:p w14:paraId="3B428959" w14:textId="52768361"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78" w:name="_Ref215507988"/>
      <w:r w:rsidRPr="00305E0F">
        <w:rPr>
          <w:color w:val="auto"/>
          <w:lang w:val="en-GB"/>
        </w:rPr>
        <w:t xml:space="preserve">Where banks recognise unfunded credit protection through the PD/LGD modelling adjustment approach, the covered part of the underlying exposure shall not be assigned a risk weight that would be lower than the risk weight </w:t>
      </w:r>
      <w:r w:rsidR="00E51881" w:rsidRPr="00305E0F">
        <w:rPr>
          <w:color w:val="auto"/>
          <w:lang w:val="en-GB"/>
        </w:rPr>
        <w:t>floor</w:t>
      </w:r>
      <w:r w:rsidRPr="00305E0F">
        <w:rPr>
          <w:color w:val="auto"/>
          <w:lang w:val="en-GB"/>
        </w:rPr>
        <w:t xml:space="preserve"> for the protection provider. For that purpose, the risk weight </w:t>
      </w:r>
      <w:r w:rsidR="00E51881" w:rsidRPr="00305E0F">
        <w:rPr>
          <w:color w:val="auto"/>
          <w:lang w:val="en-GB"/>
        </w:rPr>
        <w:t>floor</w:t>
      </w:r>
      <w:r w:rsidRPr="00305E0F">
        <w:rPr>
          <w:color w:val="auto"/>
          <w:lang w:val="en-GB"/>
        </w:rPr>
        <w:t xml:space="preserve"> for the protection provider shall be calculated using the same PD, LGD and risk weight function as those applicable to comparable direct exposure to the protection provider as referred to in the provisions for the calculation of risk-weighted exposure amounts and expected loss amounts under the substitution method where the guaranteed exposure is treated under the IRB approach using own estimates of LGD and a comparable direct exposure to the protection provider is treated under the IRB approach of Regulation No 112/2018.</w:t>
      </w:r>
      <w:bookmarkEnd w:id="178"/>
    </w:p>
    <w:p w14:paraId="076BA03C" w14:textId="3D11295C"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79" w:name="_Ref215504514"/>
      <w:r w:rsidRPr="00305E0F">
        <w:rPr>
          <w:color w:val="auto"/>
          <w:lang w:val="en-GB"/>
        </w:rPr>
        <w:t xml:space="preserve">In the case of retail guarantees, the requirements set out in </w:t>
      </w:r>
      <w:r w:rsidR="00704220" w:rsidRPr="00305E0F">
        <w:rPr>
          <w:color w:val="auto"/>
          <w:lang w:val="en-GB"/>
        </w:rPr>
        <w:t>paragraph</w:t>
      </w:r>
      <w:r w:rsidRPr="00305E0F">
        <w:rPr>
          <w:color w:val="auto"/>
          <w:lang w:val="en-GB"/>
        </w:rPr>
        <w:t xml:space="preserve">s </w:t>
      </w:r>
      <w:r w:rsidRPr="00305E0F">
        <w:rPr>
          <w:color w:val="auto"/>
          <w:lang w:val="en-GB"/>
        </w:rPr>
        <w:fldChar w:fldCharType="begin"/>
      </w:r>
      <w:r w:rsidRPr="00305E0F">
        <w:rPr>
          <w:color w:val="auto"/>
          <w:lang w:val="en-GB"/>
        </w:rPr>
        <w:instrText xml:space="preserve"> REF _Ref215298820 \r \h </w:instrText>
      </w:r>
      <w:r w:rsidRPr="00305E0F">
        <w:rPr>
          <w:color w:val="auto"/>
          <w:lang w:val="en-GB"/>
        </w:rPr>
      </w:r>
      <w:r w:rsidRPr="00305E0F">
        <w:rPr>
          <w:color w:val="auto"/>
          <w:lang w:val="en-GB"/>
        </w:rPr>
        <w:fldChar w:fldCharType="separate"/>
      </w:r>
      <w:r w:rsidR="00594C05" w:rsidRPr="00305E0F">
        <w:rPr>
          <w:color w:val="auto"/>
          <w:lang w:val="en-GB"/>
        </w:rPr>
        <w:t>220</w:t>
      </w:r>
      <w:r w:rsidRPr="00305E0F">
        <w:rPr>
          <w:color w:val="auto"/>
          <w:lang w:val="en-GB"/>
        </w:rPr>
        <w:fldChar w:fldCharType="end"/>
      </w:r>
      <w:r w:rsidR="00E51881" w:rsidRPr="00305E0F">
        <w:rPr>
          <w:color w:val="auto"/>
          <w:lang w:val="en-GB"/>
        </w:rPr>
        <w:t>-</w:t>
      </w:r>
      <w:r w:rsidRPr="00305E0F">
        <w:rPr>
          <w:color w:val="auto"/>
          <w:lang w:val="en-GB"/>
        </w:rPr>
        <w:fldChar w:fldCharType="begin"/>
      </w:r>
      <w:r w:rsidRPr="00305E0F">
        <w:rPr>
          <w:color w:val="auto"/>
          <w:lang w:val="en-GB"/>
        </w:rPr>
        <w:instrText xml:space="preserve"> REF _Ref215298829 \r \h </w:instrText>
      </w:r>
      <w:r w:rsidRPr="00305E0F">
        <w:rPr>
          <w:color w:val="auto"/>
          <w:lang w:val="en-GB"/>
        </w:rPr>
      </w:r>
      <w:r w:rsidRPr="00305E0F">
        <w:rPr>
          <w:color w:val="auto"/>
          <w:lang w:val="en-GB"/>
        </w:rPr>
        <w:fldChar w:fldCharType="separate"/>
      </w:r>
      <w:r w:rsidR="00594C05" w:rsidRPr="00305E0F">
        <w:rPr>
          <w:color w:val="auto"/>
          <w:lang w:val="en-GB"/>
        </w:rPr>
        <w:t>222</w:t>
      </w:r>
      <w:r w:rsidRPr="00305E0F">
        <w:rPr>
          <w:color w:val="auto"/>
          <w:lang w:val="en-GB"/>
        </w:rPr>
        <w:fldChar w:fldCharType="end"/>
      </w:r>
      <w:r w:rsidR="00E51881" w:rsidRPr="00305E0F">
        <w:rPr>
          <w:color w:val="auto"/>
          <w:lang w:val="en-GB"/>
        </w:rPr>
        <w:t>,</w:t>
      </w:r>
      <w:r w:rsidRPr="00305E0F">
        <w:rPr>
          <w:color w:val="auto"/>
          <w:lang w:val="en-GB"/>
        </w:rPr>
        <w:t xml:space="preserve"> </w:t>
      </w:r>
      <w:r w:rsidRPr="00305E0F">
        <w:rPr>
          <w:color w:val="auto"/>
          <w:lang w:val="en-GB"/>
        </w:rPr>
        <w:fldChar w:fldCharType="begin"/>
      </w:r>
      <w:r w:rsidRPr="00305E0F">
        <w:rPr>
          <w:color w:val="auto"/>
          <w:lang w:val="en-GB"/>
        </w:rPr>
        <w:instrText xml:space="preserve"> REF _Ref215298842 \r \h </w:instrText>
      </w:r>
      <w:r w:rsidRPr="00305E0F">
        <w:rPr>
          <w:color w:val="auto"/>
          <w:lang w:val="en-GB"/>
        </w:rPr>
      </w:r>
      <w:r w:rsidRPr="00305E0F">
        <w:rPr>
          <w:color w:val="auto"/>
          <w:lang w:val="en-GB"/>
        </w:rPr>
        <w:fldChar w:fldCharType="separate"/>
      </w:r>
      <w:r w:rsidR="00594C05" w:rsidRPr="00305E0F">
        <w:rPr>
          <w:color w:val="auto"/>
          <w:lang w:val="en-GB"/>
        </w:rPr>
        <w:t>224</w:t>
      </w:r>
      <w:r w:rsidRPr="00305E0F">
        <w:rPr>
          <w:color w:val="auto"/>
          <w:lang w:val="en-GB"/>
        </w:rPr>
        <w:fldChar w:fldCharType="end"/>
      </w:r>
      <w:r w:rsidR="00E51881" w:rsidRPr="00305E0F">
        <w:rPr>
          <w:color w:val="auto"/>
          <w:lang w:val="en-GB"/>
        </w:rPr>
        <w:t xml:space="preserve"> </w:t>
      </w:r>
      <w:r w:rsidRPr="00305E0F">
        <w:rPr>
          <w:color w:val="auto"/>
          <w:lang w:val="en-GB"/>
        </w:rPr>
        <w:t xml:space="preserve">to </w:t>
      </w:r>
      <w:r w:rsidR="00E51881" w:rsidRPr="00305E0F">
        <w:rPr>
          <w:color w:val="auto"/>
          <w:lang w:val="en-GB"/>
        </w:rPr>
        <w:t xml:space="preserve"> </w:t>
      </w:r>
      <w:r w:rsidR="00E51881" w:rsidRPr="00305E0F">
        <w:rPr>
          <w:color w:val="auto"/>
          <w:lang w:val="en-GB"/>
        </w:rPr>
        <w:fldChar w:fldCharType="begin"/>
      </w:r>
      <w:r w:rsidR="00E51881" w:rsidRPr="00305E0F">
        <w:rPr>
          <w:color w:val="auto"/>
          <w:lang w:val="en-GB"/>
        </w:rPr>
        <w:instrText xml:space="preserve"> REF _Ref215298850 \r \h </w:instrText>
      </w:r>
      <w:r w:rsidR="00E51881" w:rsidRPr="00305E0F">
        <w:rPr>
          <w:color w:val="auto"/>
          <w:lang w:val="en-GB"/>
        </w:rPr>
      </w:r>
      <w:r w:rsidR="00E51881" w:rsidRPr="00305E0F">
        <w:rPr>
          <w:color w:val="auto"/>
          <w:lang w:val="en-GB"/>
        </w:rPr>
        <w:fldChar w:fldCharType="separate"/>
      </w:r>
      <w:r w:rsidR="00E51881" w:rsidRPr="00305E0F">
        <w:rPr>
          <w:color w:val="auto"/>
          <w:lang w:val="en-GB"/>
        </w:rPr>
        <w:t>225</w:t>
      </w:r>
      <w:r w:rsidR="00E51881" w:rsidRPr="00305E0F">
        <w:rPr>
          <w:color w:val="auto"/>
          <w:lang w:val="en-GB"/>
        </w:rPr>
        <w:fldChar w:fldCharType="end"/>
      </w:r>
      <w:r w:rsidR="00E51881" w:rsidRPr="00305E0F">
        <w:rPr>
          <w:color w:val="auto"/>
          <w:lang w:val="en-GB"/>
        </w:rPr>
        <w:t xml:space="preserve">, </w:t>
      </w:r>
      <w:r w:rsidRPr="00305E0F">
        <w:rPr>
          <w:color w:val="auto"/>
          <w:lang w:val="en-GB"/>
        </w:rPr>
        <w:t xml:space="preserve">and to </w:t>
      </w:r>
      <w:r w:rsidRPr="00305E0F">
        <w:rPr>
          <w:color w:val="auto"/>
          <w:lang w:val="en-GB"/>
        </w:rPr>
        <w:fldChar w:fldCharType="begin"/>
      </w:r>
      <w:r w:rsidRPr="00305E0F">
        <w:rPr>
          <w:color w:val="auto"/>
          <w:lang w:val="en-GB"/>
        </w:rPr>
        <w:instrText xml:space="preserve"> REF _Ref215298591 \r \h </w:instrText>
      </w:r>
      <w:r w:rsidRPr="00305E0F">
        <w:rPr>
          <w:color w:val="auto"/>
          <w:lang w:val="en-GB"/>
        </w:rPr>
      </w:r>
      <w:r w:rsidRPr="00305E0F">
        <w:rPr>
          <w:color w:val="auto"/>
          <w:lang w:val="en-GB"/>
        </w:rPr>
        <w:fldChar w:fldCharType="separate"/>
      </w:r>
      <w:r w:rsidR="00594C05" w:rsidRPr="00305E0F">
        <w:rPr>
          <w:color w:val="auto"/>
          <w:lang w:val="en-GB"/>
        </w:rPr>
        <w:t>226</w:t>
      </w:r>
      <w:r w:rsidRPr="00305E0F">
        <w:rPr>
          <w:color w:val="auto"/>
          <w:lang w:val="en-GB"/>
        </w:rPr>
        <w:fldChar w:fldCharType="end"/>
      </w:r>
      <w:r w:rsidR="00E51881" w:rsidRPr="00305E0F">
        <w:rPr>
          <w:color w:val="auto"/>
          <w:lang w:val="en-GB"/>
        </w:rPr>
        <w:t>-</w:t>
      </w:r>
      <w:r w:rsidRPr="00305E0F">
        <w:rPr>
          <w:color w:val="auto"/>
          <w:lang w:val="en-GB"/>
        </w:rPr>
        <w:fldChar w:fldCharType="begin"/>
      </w:r>
      <w:r w:rsidRPr="00305E0F">
        <w:rPr>
          <w:color w:val="auto"/>
          <w:lang w:val="en-GB"/>
        </w:rPr>
        <w:instrText xml:space="preserve"> REF _Ref215298605 \r \h </w:instrText>
      </w:r>
      <w:r w:rsidRPr="00305E0F">
        <w:rPr>
          <w:color w:val="auto"/>
          <w:lang w:val="en-GB"/>
        </w:rPr>
      </w:r>
      <w:r w:rsidRPr="00305E0F">
        <w:rPr>
          <w:color w:val="auto"/>
          <w:lang w:val="en-GB"/>
        </w:rPr>
        <w:fldChar w:fldCharType="separate"/>
      </w:r>
      <w:r w:rsidR="00594C05" w:rsidRPr="00305E0F">
        <w:rPr>
          <w:color w:val="auto"/>
          <w:lang w:val="en-GB"/>
        </w:rPr>
        <w:t>228</w:t>
      </w:r>
      <w:r w:rsidRPr="00305E0F">
        <w:rPr>
          <w:color w:val="auto"/>
          <w:lang w:val="en-GB"/>
        </w:rPr>
        <w:fldChar w:fldCharType="end"/>
      </w:r>
      <w:r w:rsidRPr="00305E0F">
        <w:rPr>
          <w:color w:val="auto"/>
          <w:lang w:val="en-GB"/>
        </w:rPr>
        <w:t xml:space="preserve"> shall also apply to the assignment of exposures to grades or pools and the estimation of PD.</w:t>
      </w:r>
      <w:bookmarkEnd w:id="179"/>
    </w:p>
    <w:p w14:paraId="079EC2EB" w14:textId="56737E38"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6</w:t>
      </w:r>
    </w:p>
    <w:p w14:paraId="60751B22" w14:textId="77350537" w:rsidR="00EB0050" w:rsidRPr="00305E0F" w:rsidRDefault="00B02122">
      <w:pPr>
        <w:pStyle w:val="P68B1DB1-ListParagraph15"/>
        <w:shd w:val="clear" w:color="auto" w:fill="FFFFFF"/>
        <w:tabs>
          <w:tab w:val="left" w:pos="0"/>
          <w:tab w:val="left" w:pos="567"/>
        </w:tabs>
        <w:spacing w:after="120" w:line="240" w:lineRule="auto"/>
        <w:ind w:left="0"/>
        <w:contextualSpacing w:val="0"/>
        <w:jc w:val="center"/>
        <w:rPr>
          <w:color w:val="auto"/>
          <w:lang w:val="en-GB"/>
        </w:rPr>
      </w:pPr>
      <w:r w:rsidRPr="00305E0F">
        <w:rPr>
          <w:color w:val="auto"/>
          <w:lang w:val="en-GB"/>
        </w:rPr>
        <w:t>Requirements for purchased receivables</w:t>
      </w:r>
    </w:p>
    <w:p w14:paraId="53CE2741" w14:textId="1B2D28F0" w:rsidR="00EB0050" w:rsidRPr="00305E0F" w:rsidRDefault="007D3C3B">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80" w:name="_Ref215506927"/>
      <w:r w:rsidRPr="00305E0F">
        <w:rPr>
          <w:color w:val="auto"/>
          <w:lang w:val="en-GB"/>
        </w:rPr>
        <w:t xml:space="preserve">In quantifying the risk parameters to be associated with rating grades or pools for purchased receivables, banks shall ensure the conditions laid down in paragraphs </w:t>
      </w:r>
      <w:r w:rsidRPr="00305E0F">
        <w:rPr>
          <w:color w:val="auto"/>
          <w:lang w:val="en-GB"/>
        </w:rPr>
        <w:fldChar w:fldCharType="begin"/>
      </w:r>
      <w:r w:rsidRPr="00305E0F">
        <w:rPr>
          <w:color w:val="auto"/>
          <w:lang w:val="en-GB"/>
        </w:rPr>
        <w:instrText xml:space="preserve"> REF _Ref215474092 \r \h </w:instrText>
      </w:r>
      <w:r w:rsidRPr="00305E0F">
        <w:rPr>
          <w:color w:val="auto"/>
          <w:lang w:val="en-GB"/>
        </w:rPr>
      </w:r>
      <w:r w:rsidRPr="00305E0F">
        <w:rPr>
          <w:color w:val="auto"/>
          <w:lang w:val="en-GB"/>
        </w:rPr>
        <w:fldChar w:fldCharType="separate"/>
      </w:r>
      <w:r w:rsidR="00594C05" w:rsidRPr="00305E0F">
        <w:rPr>
          <w:color w:val="auto"/>
          <w:lang w:val="en-GB"/>
        </w:rPr>
        <w:t>232</w:t>
      </w:r>
      <w:r w:rsidRPr="00305E0F">
        <w:rPr>
          <w:color w:val="auto"/>
          <w:lang w:val="en-GB"/>
        </w:rPr>
        <w:fldChar w:fldCharType="end"/>
      </w:r>
      <w:r w:rsidRPr="00305E0F">
        <w:rPr>
          <w:color w:val="auto"/>
          <w:lang w:val="en-GB"/>
        </w:rPr>
        <w:t xml:space="preserve"> to </w:t>
      </w:r>
      <w:r w:rsidRPr="00305E0F">
        <w:rPr>
          <w:color w:val="auto"/>
          <w:lang w:val="en-GB"/>
        </w:rPr>
        <w:fldChar w:fldCharType="begin"/>
      </w:r>
      <w:r w:rsidRPr="00305E0F">
        <w:rPr>
          <w:color w:val="auto"/>
          <w:lang w:val="en-GB"/>
        </w:rPr>
        <w:instrText xml:space="preserve"> REF _Ref215474208 \r \h </w:instrText>
      </w:r>
      <w:r w:rsidRPr="00305E0F">
        <w:rPr>
          <w:color w:val="auto"/>
          <w:lang w:val="en-GB"/>
        </w:rPr>
      </w:r>
      <w:r w:rsidRPr="00305E0F">
        <w:rPr>
          <w:color w:val="auto"/>
          <w:lang w:val="en-GB"/>
        </w:rPr>
        <w:fldChar w:fldCharType="separate"/>
      </w:r>
      <w:r w:rsidR="00594C05" w:rsidRPr="00305E0F">
        <w:rPr>
          <w:color w:val="auto"/>
          <w:lang w:val="en-GB"/>
        </w:rPr>
        <w:t>236</w:t>
      </w:r>
      <w:r w:rsidRPr="00305E0F">
        <w:rPr>
          <w:color w:val="auto"/>
          <w:lang w:val="en-GB"/>
        </w:rPr>
        <w:fldChar w:fldCharType="end"/>
      </w:r>
      <w:r w:rsidRPr="00305E0F">
        <w:rPr>
          <w:color w:val="auto"/>
          <w:lang w:val="en-GB"/>
        </w:rPr>
        <w:t xml:space="preserve"> are met.</w:t>
      </w:r>
      <w:bookmarkEnd w:id="180"/>
    </w:p>
    <w:p w14:paraId="26C4D4D0" w14:textId="780E2A93" w:rsidR="00EB0050" w:rsidRPr="00305E0F" w:rsidRDefault="007D3C3B">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81" w:name="_Ref215474092"/>
      <w:r w:rsidRPr="00305E0F">
        <w:rPr>
          <w:color w:val="auto"/>
          <w:lang w:val="en-GB"/>
        </w:rPr>
        <w:t>The structure of the facility shall ensure that under all foreseeable circumstances the bank has effective ownership and control of all cash remittances from the receivables. When the obligor makes payments directly to a seller or servicer, the bank shall verify regularly that payments are forwarded completely and within the contractually agreed terms. Banks shall have procedures to ensure that ownership over the receivables and cash receipts is protected against bankruptcy stays or legal challenges that could materially delay the lender's ability to liquidate or assign the receivables or retain control over cash receipts.</w:t>
      </w:r>
      <w:bookmarkEnd w:id="181"/>
    </w:p>
    <w:p w14:paraId="6824EE20" w14:textId="29DD8DCE" w:rsidR="00EB0050" w:rsidRPr="00305E0F" w:rsidRDefault="007D3C3B">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bank shall monitor both the quality of the purchased receivables and the financial condition of the seller and servicer. The following shall apply:</w:t>
      </w:r>
    </w:p>
    <w:p w14:paraId="74BB7D78" w14:textId="3B742A71" w:rsidR="00EB0050" w:rsidRPr="00305E0F" w:rsidRDefault="007D3C3B">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shall assess the correlation among the quality of the purchased receivables and the financial condition of both the seller and servicer, and have in place internal policies and procedures that provide adequate safeguards to protect against any contingencies, including the assignment of an internal risk rating for each seller and servicer;</w:t>
      </w:r>
    </w:p>
    <w:p w14:paraId="26C72165" w14:textId="1673BB8F" w:rsidR="00EB0050" w:rsidRPr="00305E0F" w:rsidRDefault="007D3C3B">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shall have clear and effective policies and procedures for determining seller and servicer eligibility. The bank or its agent shall conduct periodic reviews of sellers and servicers in order to verify the accuracy of reports from the seller or servicer, detect fraud or operational weaknesses, and verify the quality of the seller's credit policies and servicer's collection policies and procedures. The findings of these reviews shall be documented;</w:t>
      </w:r>
    </w:p>
    <w:p w14:paraId="5F27EBCC" w14:textId="7764FAC0" w:rsidR="00EB0050" w:rsidRPr="00305E0F" w:rsidRDefault="007D3C3B">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shall assess the characteristics of the purchased receivables pools, including over-advances; history of the seller's arrears, bad debts, and bad debt allowances; payment terms, and potential contra accounts;</w:t>
      </w:r>
    </w:p>
    <w:p w14:paraId="4999E1B8" w14:textId="43DC36FD" w:rsidR="00EB0050" w:rsidRPr="00305E0F" w:rsidRDefault="007D3C3B">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shall have effective policies and procedures for monitoring on an aggregate basis single-obligor concentrations both within and across purchased receivables pools;</w:t>
      </w:r>
    </w:p>
    <w:p w14:paraId="3C5F21E1" w14:textId="467C1BF5" w:rsidR="00EB0050" w:rsidRPr="00305E0F" w:rsidRDefault="007D3C3B">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bank shall ensure that it receives from the servicer timely and sufficiently detailed reports of receivables ageings and dilutions to ensure compliance with the bank’s eligibility criteria and advancing policies governing purchased receivables, and provide an effective means with which to monitor and confirm the seller's terms of sale and dilution.</w:t>
      </w:r>
    </w:p>
    <w:p w14:paraId="263CCE75" w14:textId="2086C602" w:rsidR="00EB0050" w:rsidRPr="00305E0F" w:rsidRDefault="007D3C3B">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bank shall have systems and procedures for detecting deteriorations in the seller's financial condition and purchased receivables quality at an early stage, and for addressing emerging problems pro-actively. In particular, the bank shall have clear and effective policies, procedures, and information systems to monitor covenant violations, and clear and effective policies and procedures for initiating legal actions and dealing with problem purchased receivables.</w:t>
      </w:r>
    </w:p>
    <w:p w14:paraId="05C9192D" w14:textId="7C6140F0" w:rsidR="00EB0050" w:rsidRPr="00305E0F" w:rsidRDefault="007D3C3B">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bank shall have clear and effective policies and procedures governing the control of purchased receivables, credit, and cash. In particular, written internal policies shall specify all material elements of the receivables purchase programme, including the advancing rates, eligible collateral, necessary documentation, concentration limits, and the way cash receipts are to be handled. These elements shall take appropriate account of all relevant and material factors, including the seller and servicer's financial condition, risk concentrations, and trends in the quality of the purchased receivables and the seller's customer base, and internal systems shall ensure that funds are advanced only against specified supporting collateral and documentation.</w:t>
      </w:r>
    </w:p>
    <w:p w14:paraId="1313421E" w14:textId="64FE82E5" w:rsidR="00EB0050" w:rsidRPr="00305E0F" w:rsidRDefault="007D3C3B">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82" w:name="_Ref215474208"/>
      <w:r w:rsidRPr="00305E0F">
        <w:rPr>
          <w:color w:val="auto"/>
          <w:lang w:val="en-GB"/>
        </w:rPr>
        <w:t>The bank shall have an effective internal process for assessing compliance with all internal policies and procedures. The process shall include regular audits of all critical phases of the bank’s receivables purchase programme, verification of the separation of duties between firstly the assessment of the seller and servicer and the assessment of the obligor and secondly between the assessment of the seller and servicer and the field audit of the seller and servicer, and evaluations of back office operations, with particular focus on qualifications, experience, staffing levels, and supporting automation systems.</w:t>
      </w:r>
      <w:bookmarkEnd w:id="182"/>
    </w:p>
    <w:p w14:paraId="4308DCD7" w14:textId="01C96D9C" w:rsidR="00EB0050" w:rsidRPr="00305E0F" w:rsidRDefault="00B02122">
      <w:pPr>
        <w:pStyle w:val="P68B1DB1-ListParagraph15"/>
        <w:shd w:val="clear" w:color="auto" w:fill="FFFFFF"/>
        <w:tabs>
          <w:tab w:val="left" w:pos="0"/>
        </w:tabs>
        <w:spacing w:before="120" w:after="0" w:line="240" w:lineRule="auto"/>
        <w:ind w:left="0"/>
        <w:contextualSpacing w:val="0"/>
        <w:jc w:val="center"/>
        <w:rPr>
          <w:bCs/>
          <w:iCs/>
          <w:color w:val="auto"/>
          <w:lang w:val="en-GB"/>
        </w:rPr>
      </w:pPr>
      <w:r w:rsidRPr="00305E0F">
        <w:rPr>
          <w:color w:val="auto"/>
          <w:lang w:val="en-GB"/>
        </w:rPr>
        <w:t>Subsection 7</w:t>
      </w:r>
    </w:p>
    <w:p w14:paraId="74C5D6A1" w14:textId="77777777" w:rsidR="00EB0050" w:rsidRPr="00305E0F" w:rsidRDefault="00B02122">
      <w:pPr>
        <w:pStyle w:val="P68B1DB1-ListParagraph15"/>
        <w:shd w:val="clear" w:color="auto" w:fill="FFFFFF"/>
        <w:tabs>
          <w:tab w:val="left" w:pos="0"/>
          <w:tab w:val="left" w:pos="567"/>
        </w:tabs>
        <w:spacing w:before="60" w:after="0" w:line="240" w:lineRule="auto"/>
        <w:ind w:left="0"/>
        <w:jc w:val="center"/>
        <w:rPr>
          <w:bCs/>
          <w:iCs/>
          <w:color w:val="auto"/>
          <w:lang w:val="en-GB"/>
        </w:rPr>
      </w:pPr>
      <w:r w:rsidRPr="00305E0F">
        <w:rPr>
          <w:color w:val="auto"/>
          <w:lang w:val="en-GB"/>
        </w:rPr>
        <w:t xml:space="preserve">Validation of internal estimates, </w:t>
      </w:r>
    </w:p>
    <w:p w14:paraId="706787B3" w14:textId="0B6B2863" w:rsidR="00EB0050" w:rsidRPr="00305E0F" w:rsidRDefault="00D84155">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sz w:val="18"/>
          <w:szCs w:val="18"/>
          <w:lang w:val="en-GB"/>
        </w:rPr>
      </w:pPr>
      <w:r w:rsidRPr="00305E0F">
        <w:rPr>
          <w:rFonts w:ascii="Times New Roman" w:hAnsi="Times New Roman" w:cs="Times New Roman"/>
          <w:b/>
          <w:i/>
          <w:sz w:val="24"/>
          <w:szCs w:val="24"/>
          <w:lang w:val="en-GB"/>
        </w:rPr>
        <w:t>corporate governance, credit risk control</w:t>
      </w:r>
      <w:r w:rsidRPr="00305E0F">
        <w:rPr>
          <w:lang w:val="en-GB"/>
        </w:rPr>
        <w:t xml:space="preserve"> </w:t>
      </w:r>
      <w:r w:rsidRPr="00305E0F">
        <w:rPr>
          <w:rFonts w:ascii="Times New Roman" w:hAnsi="Times New Roman" w:cs="Times New Roman"/>
          <w:b/>
          <w:i/>
          <w:sz w:val="24"/>
          <w:szCs w:val="24"/>
          <w:lang w:val="en-GB"/>
        </w:rPr>
        <w:t>and internal audit</w:t>
      </w:r>
    </w:p>
    <w:p w14:paraId="11ADA8A5" w14:textId="6B39ED93"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Banks shall validate their internal estimates by complying with the following requirements:</w:t>
      </w:r>
    </w:p>
    <w:p w14:paraId="5375DA85" w14:textId="56F403E4" w:rsidR="00EB0050" w:rsidRPr="00305E0F" w:rsidRDefault="00D84155">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have robust systems in place to validate the accuracy and consistency of rating systems, processes, and the estimation of all relevant risk parameters. The internal validation process shall enable the institution to assess the performance of internal rating and risk estimation systems consistently and meaningfully;</w:t>
      </w:r>
    </w:p>
    <w:p w14:paraId="27235256" w14:textId="14D61D0F" w:rsidR="00EB0050" w:rsidRPr="00305E0F" w:rsidRDefault="00D84155">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regularly compare realised default rates with estimated PDs for each grade and, where realised default rates are outside the expected range for that grade, banks shall specifically analyse the reasons for the deviation. Banks using own estimates of LGDs and conversion factors shall also perform analogous analysis for these estimates. Such comparisons shall make use of historical data that cover as long a period as possible. The bank shall document the methods and data used in such comparisons. This analysis and documentation shall be updated at least annually;</w:t>
      </w:r>
    </w:p>
    <w:p w14:paraId="25096CEE" w14:textId="714A8554" w:rsidR="00EB0050" w:rsidRPr="00305E0F" w:rsidRDefault="00D84155">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Banks shall also use other quantitative validation tools and comparisons with relevant external data sources. The analysis shall be based on data that are appropriate to the portfolio, are updated regularly, and cover a relevant observation period. Banks’ internal assessments of the performance of their rating systems shall be based on as long a period as possible;</w:t>
      </w:r>
    </w:p>
    <w:p w14:paraId="054669E9" w14:textId="3ECCC0A7"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 methods and data used for quantitative validation shall be consistent through time. Changes in estimation and validation methods and data (both data sources and periods covered) shall be documented;</w:t>
      </w:r>
    </w:p>
    <w:p w14:paraId="63014A6A" w14:textId="0E157A45" w:rsidR="00EB0050" w:rsidRPr="00305E0F" w:rsidRDefault="003301F2">
      <w:pPr>
        <w:pStyle w:val="P68B1DB1-ListParagraph11"/>
        <w:numPr>
          <w:ilvl w:val="1"/>
          <w:numId w:val="2"/>
        </w:numPr>
        <w:shd w:val="clear" w:color="auto" w:fill="FFFFFF"/>
        <w:tabs>
          <w:tab w:val="left" w:pos="0"/>
          <w:tab w:val="left" w:pos="567"/>
        </w:tabs>
        <w:spacing w:before="60" w:after="0" w:line="240" w:lineRule="auto"/>
        <w:jc w:val="both"/>
        <w:rPr>
          <w:color w:val="auto"/>
          <w:sz w:val="24"/>
          <w:szCs w:val="24"/>
          <w:lang w:val="en-GB"/>
        </w:rPr>
      </w:pPr>
      <w:r w:rsidRPr="00305E0F">
        <w:rPr>
          <w:color w:val="auto"/>
          <w:sz w:val="24"/>
          <w:szCs w:val="24"/>
          <w:lang w:val="en-GB"/>
        </w:rPr>
        <w:t>Banks shall have sound internal standards for situations where deviations in realised PDs, LGDs, conversion factors and total losses, where EL is used, from expectations, become significant enough to call the validity of the estimates into question. These standards shall take account of business cycles and similar systematic variability in default experience. Where realised values continue to be higher than expected values, banks shall revise estimates upward to reflect their default and loss experience.</w:t>
      </w:r>
      <w:r w:rsidRPr="00305E0F">
        <w:rPr>
          <w:color w:val="auto"/>
          <w:sz w:val="18"/>
          <w:szCs w:val="18"/>
          <w:highlight w:val="lightGray"/>
          <w:lang w:val="en-GB"/>
        </w:rPr>
        <w:t xml:space="preserve"> </w:t>
      </w:r>
    </w:p>
    <w:p w14:paraId="21AAA8EC" w14:textId="13552B52" w:rsidR="00EB0050" w:rsidRPr="00305E0F" w:rsidRDefault="003301F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All material aspects of the rating and estimation processes shall be approved by the bank’s management body or a designated committee thereof and senior management. These parties shall possess a general understanding of the rating systems of the bank and detailed comprehension of its associated management reports.</w:t>
      </w:r>
    </w:p>
    <w:p w14:paraId="2B1F37A2" w14:textId="11C3DBFE"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Senior management shall meet the following requirements:</w:t>
      </w:r>
    </w:p>
    <w:p w14:paraId="67D225E1" w14:textId="4BC72CBA"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They shall provide notice to the management body or a designated committee thereof of material changes or exceptions from established policies that will materially impact the operations of the bank’s rating systems;</w:t>
      </w:r>
    </w:p>
    <w:p w14:paraId="4A8C1003" w14:textId="781A2BA0"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They shall have a good understanding of the rating systems designs and operations;</w:t>
      </w:r>
    </w:p>
    <w:p w14:paraId="3AF9A174" w14:textId="66CE9CA8"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They shall ensure, on an ongoing basis that the rating systems are operating properly.</w:t>
      </w:r>
    </w:p>
    <w:p w14:paraId="2B5EE043" w14:textId="75666D93" w:rsidR="00EB0050" w:rsidRPr="00305E0F" w:rsidRDefault="003301F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Senior management shall be regularly informed by the credit risk control units about the performance of the rating process, areas needing improvement, and the status of efforts to improve previously identified deficiencies.</w:t>
      </w:r>
    </w:p>
    <w:p w14:paraId="07E4D9B4" w14:textId="1D4E0391" w:rsidR="00EB0050" w:rsidRPr="00305E0F" w:rsidRDefault="003301F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Internal ratings-based analysis of the bank’s credit risk profile shall be an essential part of the management reporting to these parties. Reporting shall include at least risk profile by grade, migration across grades, estimation of the relevant parameters per grade, and comparison of realised default rates, and to the extent that own estimates are used of realised LGDs and realised conversion factors against expectations and stress-test results. Reporting frequencies shall depend on the significance and type of information and the level of the recipient.</w:t>
      </w:r>
    </w:p>
    <w:p w14:paraId="4203A00C" w14:textId="6C0B71A8" w:rsidR="00EB0050" w:rsidRPr="00305E0F" w:rsidRDefault="003301F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The credit risk control unit shall be independent from the personnel and management functions responsible for originating or renewing exposures and report directly to senior management. The unit shall be responsible for the design or selection, implementation, oversight and performance of the rating systems. It shall regularly produce and analyse reports on the output of the rating systems. </w:t>
      </w:r>
    </w:p>
    <w:p w14:paraId="201FBFD6" w14:textId="37D12112"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The responsibilities of the credit risk control unit(s) shall be:</w:t>
      </w:r>
    </w:p>
    <w:p w14:paraId="45644DB7" w14:textId="458C8A0F" w:rsidR="00EB0050" w:rsidRPr="00305E0F" w:rsidRDefault="00B0212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Testing and monitoring of grades and pools;</w:t>
      </w:r>
    </w:p>
    <w:p w14:paraId="662322BB" w14:textId="55F3A533"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Production and analysis of summary reports of the bank’s rating systems;</w:t>
      </w:r>
    </w:p>
    <w:p w14:paraId="712BBCB1" w14:textId="31B70588"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Implementing procedures to verify that grade and pool definitions are consistently applied across departments and geographic areas;</w:t>
      </w:r>
    </w:p>
    <w:p w14:paraId="31A55470" w14:textId="38E35D42"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Reviewing and documenting any changes to the rating process, including the reasons for the changes;</w:t>
      </w:r>
    </w:p>
    <w:p w14:paraId="0E25381B" w14:textId="2D8BEF12"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Reviewing the rating criteria to evaluate if they remain predictive of risk. Changes to the rating process, criteria or individual rating parameters shall be documented and retained;</w:t>
      </w:r>
    </w:p>
    <w:p w14:paraId="48248A46" w14:textId="5CD4B01F"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Active participation in the design or selection, implementation and validation of models used in the rating process;</w:t>
      </w:r>
    </w:p>
    <w:p w14:paraId="2CB03DB1" w14:textId="7FC28BE1"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Oversight and supervision of models used in the rating process;</w:t>
      </w:r>
    </w:p>
    <w:p w14:paraId="53A4A3A9" w14:textId="5A919A3C"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Ongoing review and alterations to models used in the rating process.</w:t>
      </w:r>
    </w:p>
    <w:p w14:paraId="7A622AC4" w14:textId="6C6060CD"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bookmarkStart w:id="183" w:name="_Ref215474451"/>
      <w:r w:rsidRPr="00305E0F">
        <w:rPr>
          <w:color w:val="auto"/>
          <w:lang w:val="en-GB"/>
        </w:rPr>
        <w:t xml:space="preserve">Banks using pooled data from more than one bank in accordance with paragraph </w:t>
      </w:r>
      <w:r w:rsidRPr="00305E0F">
        <w:rPr>
          <w:color w:val="auto"/>
          <w:lang w:val="en-GB"/>
        </w:rPr>
        <w:fldChar w:fldCharType="begin"/>
      </w:r>
      <w:r w:rsidRPr="00305E0F">
        <w:rPr>
          <w:color w:val="auto"/>
          <w:lang w:val="en-GB"/>
        </w:rPr>
        <w:instrText xml:space="preserve"> REF _Ref215508059 \r \h </w:instrText>
      </w:r>
      <w:r w:rsidRPr="00305E0F">
        <w:rPr>
          <w:color w:val="auto"/>
          <w:lang w:val="en-GB"/>
        </w:rPr>
      </w:r>
      <w:r w:rsidRPr="00305E0F">
        <w:rPr>
          <w:color w:val="auto"/>
          <w:lang w:val="en-GB"/>
        </w:rPr>
        <w:fldChar w:fldCharType="separate"/>
      </w:r>
      <w:r w:rsidR="00594C05" w:rsidRPr="00305E0F">
        <w:rPr>
          <w:color w:val="auto"/>
          <w:lang w:val="en-GB"/>
        </w:rPr>
        <w:t>197</w:t>
      </w:r>
      <w:r w:rsidRPr="00305E0F">
        <w:rPr>
          <w:color w:val="auto"/>
          <w:lang w:val="en-GB"/>
        </w:rPr>
        <w:fldChar w:fldCharType="end"/>
      </w:r>
      <w:r w:rsidRPr="00305E0F">
        <w:rPr>
          <w:color w:val="auto"/>
          <w:lang w:val="en-GB"/>
        </w:rPr>
        <w:t xml:space="preserve"> may outsource the following activities:</w:t>
      </w:r>
      <w:bookmarkEnd w:id="183"/>
    </w:p>
    <w:p w14:paraId="26A7C773" w14:textId="504AC1B9" w:rsidR="00EB0050" w:rsidRPr="00305E0F" w:rsidRDefault="003301F2">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Production of information relevant to testing and monitoring grades and pools;</w:t>
      </w:r>
    </w:p>
    <w:p w14:paraId="611681E4" w14:textId="2BE286AE" w:rsidR="00EB0050" w:rsidRPr="00305E0F" w:rsidRDefault="00860EF7">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Production of summary reports of the bank’s rating systems;</w:t>
      </w:r>
    </w:p>
    <w:p w14:paraId="7D178060" w14:textId="7835D6AE" w:rsidR="00EB0050" w:rsidRPr="00305E0F" w:rsidRDefault="00860EF7">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Production of information relevant to a review of the rating criteria to evaluate if they remain predictive of risk;</w:t>
      </w:r>
    </w:p>
    <w:p w14:paraId="1A1DE9D8" w14:textId="19B2172E" w:rsidR="00EB0050" w:rsidRPr="00305E0F" w:rsidRDefault="00860EF7">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Documentation of changes to the rating process, criteria or individual rating parameters;</w:t>
      </w:r>
    </w:p>
    <w:p w14:paraId="498C1661" w14:textId="746DD5AC" w:rsidR="00EB0050" w:rsidRPr="00305E0F" w:rsidRDefault="00860EF7">
      <w:pPr>
        <w:pStyle w:val="P68B1DB1-ListParagraph8"/>
        <w:numPr>
          <w:ilvl w:val="1"/>
          <w:numId w:val="2"/>
        </w:numPr>
        <w:shd w:val="clear" w:color="auto" w:fill="FFFFFF"/>
        <w:tabs>
          <w:tab w:val="left" w:pos="0"/>
          <w:tab w:val="left" w:pos="567"/>
        </w:tabs>
        <w:spacing w:before="60" w:after="0" w:line="240" w:lineRule="auto"/>
        <w:jc w:val="both"/>
        <w:rPr>
          <w:color w:val="auto"/>
          <w:lang w:val="en-GB"/>
        </w:rPr>
      </w:pPr>
      <w:r w:rsidRPr="00305E0F">
        <w:rPr>
          <w:color w:val="auto"/>
          <w:lang w:val="en-GB"/>
        </w:rPr>
        <w:t>Production of information relevant to ongoing review and alterations to models used in the rating process.</w:t>
      </w:r>
    </w:p>
    <w:p w14:paraId="013129D0" w14:textId="563D12A9" w:rsidR="00EB0050" w:rsidRPr="00305E0F" w:rsidRDefault="00B02122">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 xml:space="preserve">The banks applying paragraph </w:t>
      </w:r>
      <w:r w:rsidRPr="00305E0F">
        <w:rPr>
          <w:color w:val="auto"/>
          <w:lang w:val="en-GB"/>
        </w:rPr>
        <w:fldChar w:fldCharType="begin"/>
      </w:r>
      <w:r w:rsidRPr="00305E0F">
        <w:rPr>
          <w:color w:val="auto"/>
          <w:lang w:val="en-GB"/>
        </w:rPr>
        <w:instrText xml:space="preserve"> REF _Ref215474451 \r \h </w:instrText>
      </w:r>
      <w:r w:rsidRPr="00305E0F">
        <w:rPr>
          <w:color w:val="auto"/>
          <w:lang w:val="en-GB"/>
        </w:rPr>
      </w:r>
      <w:r w:rsidRPr="00305E0F">
        <w:rPr>
          <w:color w:val="auto"/>
          <w:lang w:val="en-GB"/>
        </w:rPr>
        <w:fldChar w:fldCharType="separate"/>
      </w:r>
      <w:r w:rsidR="00594C05" w:rsidRPr="00305E0F">
        <w:rPr>
          <w:color w:val="auto"/>
          <w:lang w:val="en-GB"/>
        </w:rPr>
        <w:t>244</w:t>
      </w:r>
      <w:r w:rsidRPr="00305E0F">
        <w:rPr>
          <w:color w:val="auto"/>
          <w:lang w:val="en-GB"/>
        </w:rPr>
        <w:fldChar w:fldCharType="end"/>
      </w:r>
      <w:r w:rsidRPr="00305E0F">
        <w:rPr>
          <w:color w:val="auto"/>
          <w:lang w:val="en-GB"/>
        </w:rPr>
        <w:t xml:space="preserve"> shall ensure that the National Bank of Moldova has access to all relevant information from third parties, which is necessary for the examination of the fulfilment of the requirements, and that they can carry out on-site inspections to the same extent as they can carry out on-site inspections of the bank.</w:t>
      </w:r>
    </w:p>
    <w:p w14:paraId="6259CD66" w14:textId="2E144656" w:rsidR="00EB0050" w:rsidRPr="00305E0F" w:rsidRDefault="00860EF7">
      <w:pPr>
        <w:pStyle w:val="P68B1DB1-ListParagraph8"/>
        <w:numPr>
          <w:ilvl w:val="0"/>
          <w:numId w:val="2"/>
        </w:numPr>
        <w:shd w:val="clear" w:color="auto" w:fill="FFFFFF"/>
        <w:tabs>
          <w:tab w:val="left" w:pos="0"/>
          <w:tab w:val="left" w:pos="567"/>
        </w:tabs>
        <w:spacing w:before="60" w:after="0" w:line="240" w:lineRule="auto"/>
        <w:ind w:firstLine="567"/>
        <w:jc w:val="both"/>
        <w:rPr>
          <w:color w:val="auto"/>
          <w:lang w:val="en-GB"/>
        </w:rPr>
      </w:pPr>
      <w:r w:rsidRPr="00305E0F">
        <w:rPr>
          <w:color w:val="auto"/>
          <w:lang w:val="en-GB"/>
        </w:rPr>
        <w:t>Internal audit or another comparable independent auditing unit shall review at least annually the bank’s rating systems and its operations, including the operations of the credit function and the estimation of PDs, LGDs, ELs and conversion factors. Areas of review shall include adherence to all applicable requirements.</w:t>
      </w:r>
    </w:p>
    <w:p w14:paraId="370569CC" w14:textId="1B3B1562" w:rsidR="00EB0050" w:rsidRPr="00305E0F" w:rsidRDefault="00B02122">
      <w:pPr>
        <w:pStyle w:val="P68B1DB1-Normal7"/>
        <w:rPr>
          <w:b/>
          <w:bCs/>
          <w:color w:val="auto"/>
          <w:lang w:val="en-GB"/>
        </w:rPr>
      </w:pPr>
      <w:r w:rsidRPr="00305E0F">
        <w:rPr>
          <w:color w:val="auto"/>
          <w:lang w:val="en-GB"/>
        </w:rPr>
        <w:br w:type="page"/>
      </w:r>
    </w:p>
    <w:p w14:paraId="1D61A2E3" w14:textId="77777777" w:rsidR="00EB0050" w:rsidRPr="00305E0F" w:rsidRDefault="00B02122">
      <w:pPr>
        <w:pStyle w:val="ListParagraph"/>
        <w:shd w:val="clear" w:color="auto" w:fill="FFFFFF"/>
        <w:tabs>
          <w:tab w:val="left" w:pos="0"/>
          <w:tab w:val="left" w:pos="567"/>
        </w:tabs>
        <w:spacing w:before="60" w:after="0" w:line="240" w:lineRule="auto"/>
        <w:ind w:left="360"/>
        <w:jc w:val="right"/>
        <w:rPr>
          <w:lang w:val="en-GB"/>
        </w:rPr>
      </w:pPr>
      <w:r w:rsidRPr="00305E0F">
        <w:rPr>
          <w:rFonts w:ascii="Times New Roman" w:hAnsi="Times New Roman" w:cs="Times New Roman"/>
          <w:b/>
          <w:sz w:val="24"/>
          <w:szCs w:val="24"/>
          <w:lang w:val="en-GB"/>
        </w:rPr>
        <w:t>Annex</w:t>
      </w:r>
      <w:r w:rsidRPr="00305E0F">
        <w:rPr>
          <w:lang w:val="en-GB"/>
        </w:rPr>
        <w:t xml:space="preserve"> </w:t>
      </w:r>
    </w:p>
    <w:p w14:paraId="73221C25" w14:textId="50BB388C" w:rsidR="00EB0050" w:rsidRPr="00305E0F" w:rsidRDefault="00B02122">
      <w:pPr>
        <w:pStyle w:val="P68B1DB1-ListParagraph13"/>
        <w:shd w:val="clear" w:color="auto" w:fill="FFFFFF"/>
        <w:tabs>
          <w:tab w:val="left" w:pos="0"/>
          <w:tab w:val="left" w:pos="567"/>
        </w:tabs>
        <w:spacing w:before="60" w:after="0" w:line="240" w:lineRule="auto"/>
        <w:ind w:left="360"/>
        <w:jc w:val="right"/>
        <w:rPr>
          <w:bCs/>
          <w:color w:val="auto"/>
          <w:lang w:val="en-GB"/>
        </w:rPr>
      </w:pPr>
      <w:r w:rsidRPr="00305E0F">
        <w:rPr>
          <w:color w:val="auto"/>
          <w:lang w:val="en-GB"/>
        </w:rPr>
        <w:t xml:space="preserve">the Regulation on the treatment of credit risk </w:t>
      </w:r>
    </w:p>
    <w:p w14:paraId="44B00820" w14:textId="7089D7A1" w:rsidR="00EB0050" w:rsidRPr="00305E0F" w:rsidRDefault="00B02122">
      <w:pPr>
        <w:pStyle w:val="P68B1DB1-ListParagraph13"/>
        <w:shd w:val="clear" w:color="auto" w:fill="FFFFFF"/>
        <w:tabs>
          <w:tab w:val="left" w:pos="0"/>
          <w:tab w:val="left" w:pos="567"/>
        </w:tabs>
        <w:spacing w:before="60" w:after="0" w:line="240" w:lineRule="auto"/>
        <w:ind w:left="360"/>
        <w:jc w:val="right"/>
        <w:rPr>
          <w:bCs/>
          <w:color w:val="auto"/>
          <w:lang w:val="en-GB"/>
        </w:rPr>
      </w:pPr>
      <w:r w:rsidRPr="00305E0F">
        <w:rPr>
          <w:color w:val="auto"/>
          <w:lang w:val="en-GB"/>
        </w:rPr>
        <w:t>under the Internal Ratings Based Approach</w:t>
      </w:r>
    </w:p>
    <w:p w14:paraId="696ACF8E" w14:textId="77777777" w:rsidR="00EB0050" w:rsidRPr="00305E0F" w:rsidRDefault="00EB0050">
      <w:pPr>
        <w:pStyle w:val="ListParagraph"/>
        <w:shd w:val="clear" w:color="auto" w:fill="FFFFFF"/>
        <w:tabs>
          <w:tab w:val="left" w:pos="0"/>
          <w:tab w:val="left" w:pos="567"/>
        </w:tabs>
        <w:spacing w:before="60" w:after="0" w:line="240" w:lineRule="auto"/>
        <w:ind w:left="360"/>
        <w:jc w:val="both"/>
        <w:rPr>
          <w:rFonts w:ascii="Times New Roman" w:hAnsi="Times New Roman" w:cs="Times New Roman"/>
          <w:b/>
          <w:bCs/>
          <w:sz w:val="24"/>
          <w:szCs w:val="24"/>
          <w:lang w:val="en-GB"/>
        </w:rPr>
      </w:pPr>
    </w:p>
    <w:p w14:paraId="414A5FC7" w14:textId="2088DDC0" w:rsidR="00EB0050" w:rsidRPr="00305E0F" w:rsidRDefault="00FB10E8">
      <w:pPr>
        <w:pStyle w:val="P68B1DB1-ListParagraph13"/>
        <w:shd w:val="clear" w:color="auto" w:fill="FFFFFF"/>
        <w:tabs>
          <w:tab w:val="left" w:pos="0"/>
          <w:tab w:val="left" w:pos="567"/>
        </w:tabs>
        <w:spacing w:before="60" w:after="0" w:line="240" w:lineRule="auto"/>
        <w:ind w:left="360"/>
        <w:jc w:val="center"/>
        <w:rPr>
          <w:bCs/>
          <w:color w:val="auto"/>
          <w:lang w:val="en-GB"/>
        </w:rPr>
      </w:pPr>
      <w:r w:rsidRPr="00305E0F">
        <w:rPr>
          <w:color w:val="auto"/>
          <w:lang w:val="en-GB"/>
        </w:rPr>
        <w:t>Specification of the method used to take into account the factors for assigning risk weights to specialised lending exposures, as provided for in paragraph 76</w:t>
      </w:r>
    </w:p>
    <w:p w14:paraId="0A6D2F26" w14:textId="77777777" w:rsidR="00EB0050" w:rsidRPr="00305E0F" w:rsidRDefault="00B02122">
      <w:pPr>
        <w:pStyle w:val="P68B1DB1-ListParagraph13"/>
        <w:shd w:val="clear" w:color="auto" w:fill="FFFFFF"/>
        <w:tabs>
          <w:tab w:val="left" w:pos="0"/>
          <w:tab w:val="left" w:pos="567"/>
        </w:tabs>
        <w:spacing w:before="120" w:after="0" w:line="240" w:lineRule="auto"/>
        <w:ind w:left="357"/>
        <w:contextualSpacing w:val="0"/>
        <w:jc w:val="center"/>
        <w:rPr>
          <w:bCs/>
          <w:color w:val="auto"/>
          <w:lang w:val="en-GB"/>
        </w:rPr>
      </w:pPr>
      <w:r w:rsidRPr="00305E0F">
        <w:rPr>
          <w:color w:val="auto"/>
          <w:lang w:val="en-GB"/>
        </w:rPr>
        <w:t>Section 1</w:t>
      </w:r>
    </w:p>
    <w:p w14:paraId="75169781" w14:textId="2BCD9F83" w:rsidR="00EB0050" w:rsidRPr="00305E0F" w:rsidRDefault="00B02122">
      <w:pPr>
        <w:pStyle w:val="P68B1DB1-ListParagraph13"/>
        <w:shd w:val="clear" w:color="auto" w:fill="FFFFFF"/>
        <w:tabs>
          <w:tab w:val="left" w:pos="0"/>
        </w:tabs>
        <w:spacing w:after="120" w:line="240" w:lineRule="auto"/>
        <w:ind w:left="0"/>
        <w:contextualSpacing w:val="0"/>
        <w:jc w:val="center"/>
        <w:rPr>
          <w:bCs/>
          <w:color w:val="auto"/>
          <w:lang w:val="en-GB"/>
        </w:rPr>
      </w:pPr>
      <w:r w:rsidRPr="00305E0F">
        <w:rPr>
          <w:color w:val="auto"/>
          <w:lang w:val="en-GB"/>
        </w:rPr>
        <w:t>Default status of an obligor</w:t>
      </w:r>
    </w:p>
    <w:p w14:paraId="3F6E991D" w14:textId="3F7B46F1"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 xml:space="preserve">Where the obligor is in default within the meaning of Regulation </w:t>
      </w:r>
      <w:r w:rsidR="00FB10E8" w:rsidRPr="00305E0F">
        <w:rPr>
          <w:color w:val="auto"/>
          <w:lang w:val="en-GB"/>
        </w:rPr>
        <w:t>No</w:t>
      </w:r>
      <w:r w:rsidRPr="00305E0F">
        <w:rPr>
          <w:color w:val="auto"/>
          <w:lang w:val="en-GB"/>
        </w:rPr>
        <w:t xml:space="preserve"> 111</w:t>
      </w:r>
      <w:r w:rsidR="00FB10E8" w:rsidRPr="00305E0F">
        <w:rPr>
          <w:color w:val="auto"/>
          <w:lang w:val="en-GB"/>
        </w:rPr>
        <w:t>/2018</w:t>
      </w:r>
      <w:r w:rsidRPr="00305E0F">
        <w:rPr>
          <w:color w:val="auto"/>
          <w:lang w:val="en-GB"/>
        </w:rPr>
        <w:t>, the bank shall assign to that specialised lending exposure a risk weight of category 5 as set out in Table 1 in paragraph 75.</w:t>
      </w:r>
    </w:p>
    <w:p w14:paraId="6753A32A" w14:textId="5A1A14E4" w:rsidR="00EB0050" w:rsidRPr="00305E0F" w:rsidRDefault="00B02122">
      <w:pPr>
        <w:pStyle w:val="P68B1DB1-ListParagraph13"/>
        <w:shd w:val="clear" w:color="auto" w:fill="FFFFFF"/>
        <w:tabs>
          <w:tab w:val="left" w:pos="0"/>
        </w:tabs>
        <w:spacing w:before="120" w:after="0" w:line="240" w:lineRule="auto"/>
        <w:ind w:left="0"/>
        <w:contextualSpacing w:val="0"/>
        <w:jc w:val="center"/>
        <w:rPr>
          <w:bCs/>
          <w:color w:val="auto"/>
          <w:lang w:val="en-GB"/>
        </w:rPr>
      </w:pPr>
      <w:r w:rsidRPr="00305E0F">
        <w:rPr>
          <w:color w:val="auto"/>
          <w:lang w:val="en-GB"/>
        </w:rPr>
        <w:t>Section 2</w:t>
      </w:r>
    </w:p>
    <w:p w14:paraId="3C53CA1B" w14:textId="0A678174" w:rsidR="00EB0050" w:rsidRPr="00305E0F" w:rsidRDefault="00B02122">
      <w:pPr>
        <w:pStyle w:val="P68B1DB1-ListParagraph13"/>
        <w:shd w:val="clear" w:color="auto" w:fill="FFFFFF"/>
        <w:tabs>
          <w:tab w:val="left" w:pos="0"/>
        </w:tabs>
        <w:spacing w:after="120" w:line="240" w:lineRule="auto"/>
        <w:ind w:left="0"/>
        <w:contextualSpacing w:val="0"/>
        <w:jc w:val="center"/>
        <w:rPr>
          <w:color w:val="auto"/>
          <w:lang w:val="en-GB"/>
        </w:rPr>
      </w:pPr>
      <w:r w:rsidRPr="00305E0F">
        <w:rPr>
          <w:color w:val="auto"/>
          <w:lang w:val="en-GB"/>
        </w:rPr>
        <w:t>Applicable assessment criteria for different specialised lending exposure classes</w:t>
      </w:r>
    </w:p>
    <w:p w14:paraId="63888D96" w14:textId="61BFE313"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Where the purpose of a specialised lending exposure is to finance the development or acquisition of large, complex and costly installations, including in particular power plants, chemical processing plants, mines, transport infrastructures, environmental and telecommunications infrastructures, and the revenues to be generated by the assets are money from contracts for the production of the installation obtained from several parties not under the management control of the sponsor (</w:t>
      </w:r>
      <w:r w:rsidR="001C6197" w:rsidRPr="00305E0F">
        <w:rPr>
          <w:color w:val="auto"/>
          <w:lang w:val="en-GB"/>
        </w:rPr>
        <w:t>“</w:t>
      </w:r>
      <w:r w:rsidRPr="00305E0F">
        <w:rPr>
          <w:color w:val="auto"/>
          <w:lang w:val="en-GB"/>
        </w:rPr>
        <w:t>project finance exposures</w:t>
      </w:r>
      <w:r w:rsidR="001C6197" w:rsidRPr="00305E0F">
        <w:rPr>
          <w:color w:val="auto"/>
          <w:lang w:val="en-GB"/>
        </w:rPr>
        <w:t>”</w:t>
      </w:r>
      <w:r w:rsidRPr="00305E0F">
        <w:rPr>
          <w:color w:val="auto"/>
          <w:lang w:val="en-GB"/>
        </w:rPr>
        <w:t>), banks shall apply the assessment criteria set out in Table 1 of this Annex to this exposure class when assigning risk weights.</w:t>
      </w:r>
    </w:p>
    <w:p w14:paraId="5FE779D7" w14:textId="1B624AEB"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Where the purpose of a specialised lending exposure is to finance the development or acquisition of real estate, including in particular office buildings for rent, commercial premises, multi-family residential buildings, industrial or storage premises, hotels and land, and the income to be generated from real estate is lease payments, rents or income from the sale of real estate from one or more third parties (</w:t>
      </w:r>
      <w:r w:rsidR="001C6197" w:rsidRPr="00305E0F">
        <w:rPr>
          <w:color w:val="auto"/>
          <w:lang w:val="en-GB"/>
        </w:rPr>
        <w:t>“</w:t>
      </w:r>
      <w:r w:rsidRPr="00305E0F">
        <w:rPr>
          <w:color w:val="auto"/>
          <w:lang w:val="en-GB"/>
        </w:rPr>
        <w:t>real estate exposures</w:t>
      </w:r>
      <w:r w:rsidR="001C6197" w:rsidRPr="00305E0F">
        <w:rPr>
          <w:color w:val="auto"/>
          <w:lang w:val="en-GB"/>
        </w:rPr>
        <w:t>”</w:t>
      </w:r>
      <w:r w:rsidRPr="00305E0F">
        <w:rPr>
          <w:color w:val="auto"/>
          <w:lang w:val="en-GB"/>
        </w:rPr>
        <w:t>), banks shall apply the valuation criteria set out in Table 2 of this Annex to this exposure class when assigning risk weights.</w:t>
      </w:r>
    </w:p>
    <w:p w14:paraId="269E9BC1" w14:textId="4167C041"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Where the purpose of a specialised lending exposure is to finance the acquisition of tangible assets, including in particular vessels, aircraft, satellites, railcars and fleets, and the revenues to be generated by those assets consist of lease payments or rents from one or more third parties (</w:t>
      </w:r>
      <w:r w:rsidR="001C6197" w:rsidRPr="00305E0F">
        <w:rPr>
          <w:color w:val="auto"/>
          <w:lang w:val="en-GB"/>
        </w:rPr>
        <w:t>“</w:t>
      </w:r>
      <w:r w:rsidRPr="00305E0F">
        <w:rPr>
          <w:color w:val="auto"/>
          <w:lang w:val="en-GB"/>
        </w:rPr>
        <w:t>object finance exposures</w:t>
      </w:r>
      <w:r w:rsidR="001C6197" w:rsidRPr="00305E0F">
        <w:rPr>
          <w:color w:val="auto"/>
          <w:lang w:val="en-GB"/>
        </w:rPr>
        <w:t>”</w:t>
      </w:r>
      <w:r w:rsidRPr="00305E0F">
        <w:rPr>
          <w:color w:val="auto"/>
          <w:lang w:val="en-GB"/>
        </w:rPr>
        <w:t>), banks shall apply the assessment criteria set out in Table 3 of this Annex to this exposure class when assigning risk weights.</w:t>
      </w:r>
    </w:p>
    <w:p w14:paraId="3C02ECC8" w14:textId="7F048C0E" w:rsidR="00EB0050" w:rsidRPr="00305E0F" w:rsidRDefault="00B02122">
      <w:pPr>
        <w:pStyle w:val="P68B1DB1-ListParagraph11"/>
        <w:numPr>
          <w:ilvl w:val="0"/>
          <w:numId w:val="3"/>
        </w:numPr>
        <w:shd w:val="clear" w:color="auto" w:fill="FFFFFF"/>
        <w:tabs>
          <w:tab w:val="left" w:pos="0"/>
        </w:tabs>
        <w:spacing w:before="60" w:after="0" w:line="240" w:lineRule="auto"/>
        <w:ind w:firstLine="567"/>
        <w:jc w:val="both"/>
        <w:rPr>
          <w:color w:val="auto"/>
          <w:sz w:val="24"/>
          <w:szCs w:val="24"/>
          <w:lang w:val="en-GB"/>
        </w:rPr>
      </w:pPr>
      <w:r w:rsidRPr="00305E0F">
        <w:rPr>
          <w:color w:val="auto"/>
          <w:sz w:val="24"/>
          <w:szCs w:val="24"/>
          <w:lang w:val="en-GB"/>
        </w:rPr>
        <w:t>Where the purpose of a specialised lending exposure is to finance reserves, stocks or receivables related to exchange traded commodities, including in particular crude oil, metals or crops, and the revenues to be generated by those reserves, stocks or receivables are to be the proceeds from the sale of the commodities (</w:t>
      </w:r>
      <w:r w:rsidR="001C6197" w:rsidRPr="00305E0F">
        <w:rPr>
          <w:color w:val="auto"/>
          <w:sz w:val="24"/>
          <w:szCs w:val="24"/>
          <w:lang w:val="en-GB"/>
        </w:rPr>
        <w:t>“</w:t>
      </w:r>
      <w:r w:rsidRPr="00305E0F">
        <w:rPr>
          <w:color w:val="auto"/>
          <w:sz w:val="24"/>
          <w:szCs w:val="24"/>
          <w:lang w:val="en-GB"/>
        </w:rPr>
        <w:t>commodity finance exposures</w:t>
      </w:r>
      <w:r w:rsidR="001C6197" w:rsidRPr="00305E0F">
        <w:rPr>
          <w:color w:val="auto"/>
          <w:sz w:val="24"/>
          <w:szCs w:val="24"/>
          <w:lang w:val="en-GB"/>
        </w:rPr>
        <w:t>”</w:t>
      </w:r>
      <w:r w:rsidRPr="00305E0F">
        <w:rPr>
          <w:color w:val="auto"/>
          <w:sz w:val="24"/>
          <w:szCs w:val="24"/>
          <w:lang w:val="en-GB"/>
        </w:rPr>
        <w:t>), banks shall apply the assessment criteria set out in Table 4 of this Annex to this exposure class when assigning risk weights.</w:t>
      </w:r>
      <w:r w:rsidRPr="00305E0F">
        <w:rPr>
          <w:color w:val="auto"/>
          <w:sz w:val="18"/>
          <w:szCs w:val="18"/>
          <w:highlight w:val="lightGray"/>
          <w:lang w:val="en-GB"/>
        </w:rPr>
        <w:t xml:space="preserve"> </w:t>
      </w:r>
    </w:p>
    <w:p w14:paraId="120E23B6" w14:textId="12071A1A" w:rsidR="00EB0050" w:rsidRPr="00305E0F" w:rsidRDefault="00B02122">
      <w:pPr>
        <w:pStyle w:val="P68B1DB1-ListParagraph13"/>
        <w:shd w:val="clear" w:color="auto" w:fill="FFFFFF"/>
        <w:tabs>
          <w:tab w:val="left" w:pos="0"/>
        </w:tabs>
        <w:spacing w:before="120" w:after="0" w:line="240" w:lineRule="auto"/>
        <w:ind w:left="0"/>
        <w:contextualSpacing w:val="0"/>
        <w:jc w:val="center"/>
        <w:rPr>
          <w:bCs/>
          <w:color w:val="auto"/>
          <w:lang w:val="en-GB"/>
        </w:rPr>
      </w:pPr>
      <w:r w:rsidRPr="00305E0F">
        <w:rPr>
          <w:color w:val="auto"/>
          <w:lang w:val="en-GB"/>
        </w:rPr>
        <w:t>Section 3</w:t>
      </w:r>
    </w:p>
    <w:p w14:paraId="36B37993" w14:textId="7E8FEE1F" w:rsidR="00EB0050" w:rsidRPr="00305E0F" w:rsidRDefault="00B02122">
      <w:pPr>
        <w:pStyle w:val="P68B1DB1-ListParagraph13"/>
        <w:shd w:val="clear" w:color="auto" w:fill="FFFFFF"/>
        <w:tabs>
          <w:tab w:val="left" w:pos="0"/>
        </w:tabs>
        <w:spacing w:after="120" w:line="240" w:lineRule="auto"/>
        <w:ind w:left="0"/>
        <w:contextualSpacing w:val="0"/>
        <w:jc w:val="center"/>
        <w:rPr>
          <w:color w:val="auto"/>
          <w:lang w:val="en-GB"/>
        </w:rPr>
      </w:pPr>
      <w:r w:rsidRPr="00305E0F">
        <w:rPr>
          <w:color w:val="auto"/>
          <w:lang w:val="en-GB"/>
        </w:rPr>
        <w:t>Factor assessment and assignment of risk weights</w:t>
      </w:r>
    </w:p>
    <w:p w14:paraId="5CEB6B44" w14:textId="33CB6ACF"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 xml:space="preserve">On the basis of an overall assessment, banks shall assign to a category each factor set out in the Annex that is applicable to the specialised lending exposure class in accordance with Section 2 of this Annex. For each specialised lending exposure, the bank shall do so taking into account the categories to which each applicable sub-factor is assigned in accordance with Sections 3 and 4 of this Annex and the relative importance of each sub-factor for the type of specialised lending exposures as defined in </w:t>
      </w:r>
      <w:r w:rsidR="001C6197" w:rsidRPr="00305E0F">
        <w:rPr>
          <w:color w:val="auto"/>
          <w:lang w:val="en-GB"/>
        </w:rPr>
        <w:t>sub-</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_Ref215506677 \r \h </w:instrText>
      </w:r>
      <w:r w:rsidRPr="00305E0F">
        <w:rPr>
          <w:color w:val="auto"/>
          <w:lang w:val="en-GB"/>
        </w:rPr>
      </w:r>
      <w:r w:rsidRPr="00305E0F">
        <w:rPr>
          <w:color w:val="auto"/>
          <w:lang w:val="en-GB"/>
        </w:rPr>
        <w:fldChar w:fldCharType="separate"/>
      </w:r>
      <w:r w:rsidR="00594C05" w:rsidRPr="00305E0F">
        <w:rPr>
          <w:color w:val="auto"/>
          <w:lang w:val="en-GB"/>
        </w:rPr>
        <w:t>3.27</w:t>
      </w:r>
      <w:r w:rsidRPr="00305E0F">
        <w:rPr>
          <w:color w:val="auto"/>
          <w:lang w:val="en-GB"/>
        </w:rPr>
        <w:fldChar w:fldCharType="end"/>
      </w:r>
      <w:r w:rsidRPr="00305E0F">
        <w:rPr>
          <w:color w:val="auto"/>
          <w:lang w:val="en-GB"/>
        </w:rPr>
        <w:t>.</w:t>
      </w:r>
    </w:p>
    <w:p w14:paraId="76C9800B" w14:textId="32C0A750"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The bank shall assign to each factor a weighting expressed in percentages which shall not be less than 5% and not more than 60%, depending on the relative importance of the type of specialised lending exposures.</w:t>
      </w:r>
    </w:p>
    <w:p w14:paraId="225054D4" w14:textId="0C865D4C"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 xml:space="preserve">The bank shall calculate the weighted average of the categories to which the factors have been assigned in accordance with </w:t>
      </w:r>
      <w:r w:rsidR="001C6197" w:rsidRPr="00305E0F">
        <w:rPr>
          <w:color w:val="auto"/>
          <w:lang w:val="en-GB"/>
        </w:rPr>
        <w:t>paragraph 6</w:t>
      </w:r>
      <w:r w:rsidRPr="00305E0F">
        <w:rPr>
          <w:color w:val="auto"/>
          <w:lang w:val="en-GB"/>
        </w:rPr>
        <w:t xml:space="preserve"> of this Annex, applying the weights assigned in accordance with </w:t>
      </w:r>
      <w:r w:rsidR="00704220" w:rsidRPr="00305E0F">
        <w:rPr>
          <w:color w:val="auto"/>
          <w:lang w:val="en-GB"/>
        </w:rPr>
        <w:t xml:space="preserve">paragraph </w:t>
      </w:r>
      <w:r w:rsidRPr="00305E0F">
        <w:rPr>
          <w:color w:val="auto"/>
          <w:lang w:val="en-GB"/>
        </w:rPr>
        <w:t>7 of this Annex. If the weighted average is a decimal number, the banks shall round that number to the nearest cardinal number.</w:t>
      </w:r>
    </w:p>
    <w:p w14:paraId="06816B12" w14:textId="7117C106"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 xml:space="preserve">The bank shall assign the specialised lending exposure to the category set out in Table 1 in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_Ref215086557 \r \h </w:instrText>
      </w:r>
      <w:r w:rsidRPr="00305E0F">
        <w:rPr>
          <w:color w:val="auto"/>
          <w:lang w:val="en-GB"/>
        </w:rPr>
      </w:r>
      <w:r w:rsidRPr="00305E0F">
        <w:rPr>
          <w:color w:val="auto"/>
          <w:lang w:val="en-GB"/>
        </w:rPr>
        <w:fldChar w:fldCharType="separate"/>
      </w:r>
      <w:r w:rsidR="00594C05" w:rsidRPr="00305E0F">
        <w:rPr>
          <w:color w:val="auto"/>
          <w:lang w:val="en-GB"/>
        </w:rPr>
        <w:t>75</w:t>
      </w:r>
      <w:r w:rsidRPr="00305E0F">
        <w:rPr>
          <w:color w:val="auto"/>
          <w:lang w:val="en-GB"/>
        </w:rPr>
        <w:fldChar w:fldCharType="end"/>
      </w:r>
      <w:r w:rsidRPr="00305E0F">
        <w:rPr>
          <w:color w:val="auto"/>
          <w:lang w:val="en-GB"/>
        </w:rPr>
        <w:t xml:space="preserve"> whose number corresponds to the weighted average calculated in accordance with </w:t>
      </w:r>
      <w:r w:rsidR="00704220" w:rsidRPr="00305E0F">
        <w:rPr>
          <w:color w:val="auto"/>
          <w:lang w:val="en-GB"/>
        </w:rPr>
        <w:t xml:space="preserve">paragraph </w:t>
      </w:r>
      <w:r w:rsidRPr="00305E0F">
        <w:rPr>
          <w:color w:val="auto"/>
          <w:lang w:val="en-GB"/>
        </w:rPr>
        <w:t>8 of this Annex.</w:t>
      </w:r>
    </w:p>
    <w:p w14:paraId="06A71DA1" w14:textId="470CC2FB" w:rsidR="00EB0050" w:rsidRPr="00305E0F" w:rsidRDefault="00B02122">
      <w:pPr>
        <w:pStyle w:val="P68B1DB1-ListParagraph13"/>
        <w:shd w:val="clear" w:color="auto" w:fill="FFFFFF"/>
        <w:tabs>
          <w:tab w:val="left" w:pos="0"/>
        </w:tabs>
        <w:spacing w:before="120" w:after="0" w:line="240" w:lineRule="auto"/>
        <w:ind w:left="0"/>
        <w:contextualSpacing w:val="0"/>
        <w:jc w:val="center"/>
        <w:rPr>
          <w:bCs/>
          <w:color w:val="auto"/>
          <w:lang w:val="en-GB"/>
        </w:rPr>
      </w:pPr>
      <w:r w:rsidRPr="00305E0F">
        <w:rPr>
          <w:color w:val="auto"/>
          <w:lang w:val="en-GB"/>
        </w:rPr>
        <w:t>Section 4</w:t>
      </w:r>
    </w:p>
    <w:p w14:paraId="0B31A6CB" w14:textId="7B8AC0BC" w:rsidR="00EB0050" w:rsidRPr="00305E0F" w:rsidRDefault="00B02122">
      <w:pPr>
        <w:pStyle w:val="P68B1DB1-ListParagraph13"/>
        <w:shd w:val="clear" w:color="auto" w:fill="FFFFFF"/>
        <w:tabs>
          <w:tab w:val="left" w:pos="0"/>
        </w:tabs>
        <w:spacing w:after="120" w:line="240" w:lineRule="auto"/>
        <w:ind w:left="0"/>
        <w:contextualSpacing w:val="0"/>
        <w:jc w:val="center"/>
        <w:rPr>
          <w:bCs/>
          <w:color w:val="auto"/>
          <w:lang w:val="en-GB"/>
        </w:rPr>
      </w:pPr>
      <w:r w:rsidRPr="00305E0F">
        <w:rPr>
          <w:color w:val="auto"/>
          <w:lang w:val="en-GB"/>
        </w:rPr>
        <w:t>Sub-factor assessment</w:t>
      </w:r>
    </w:p>
    <w:p w14:paraId="2C672F6E" w14:textId="779B45C5"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If a sub-factor of a specific factor listed in Tables 1, 2, 3 or 4 of this Annex is not further broken down into components of the sub-factor, the bank shall assign the sub-factor to a category on the basis of the assessment criteria laid down for that sub-factor.</w:t>
      </w:r>
    </w:p>
    <w:p w14:paraId="6B6D4F0A" w14:textId="51CD4842"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Where a sub-factor of a specific factor listed in Tables 1, 2, 3 or 4 is also broken down into components of the sub-factor, the bank shall:</w:t>
      </w:r>
    </w:p>
    <w:p w14:paraId="2FFD3670" w14:textId="3A3D4736" w:rsidR="00EB0050" w:rsidRPr="00305E0F" w:rsidRDefault="00B02122">
      <w:pPr>
        <w:pStyle w:val="P68B1DB1-ListParagraph8"/>
        <w:numPr>
          <w:ilvl w:val="1"/>
          <w:numId w:val="3"/>
        </w:numPr>
        <w:shd w:val="clear" w:color="auto" w:fill="FFFFFF"/>
        <w:tabs>
          <w:tab w:val="left" w:pos="0"/>
        </w:tabs>
        <w:spacing w:before="60" w:after="0" w:line="240" w:lineRule="auto"/>
        <w:ind w:left="0"/>
        <w:jc w:val="both"/>
        <w:rPr>
          <w:color w:val="auto"/>
          <w:lang w:val="en-GB"/>
        </w:rPr>
      </w:pPr>
      <w:r w:rsidRPr="00305E0F">
        <w:rPr>
          <w:color w:val="auto"/>
          <w:lang w:val="en-GB"/>
        </w:rPr>
        <w:t>assigns each component of the sub-factor to a category on the basis of the assessment criteria laid down for that component of the sub-factor;</w:t>
      </w:r>
    </w:p>
    <w:p w14:paraId="6C912456" w14:textId="0A6788F2" w:rsidR="00EB0050" w:rsidRPr="00305E0F" w:rsidRDefault="00B02122">
      <w:pPr>
        <w:pStyle w:val="P68B1DB1-ListParagraph8"/>
        <w:numPr>
          <w:ilvl w:val="1"/>
          <w:numId w:val="3"/>
        </w:numPr>
        <w:shd w:val="clear" w:color="auto" w:fill="FFFFFF"/>
        <w:tabs>
          <w:tab w:val="left" w:pos="0"/>
        </w:tabs>
        <w:spacing w:before="60" w:after="0" w:line="240" w:lineRule="auto"/>
        <w:ind w:left="0"/>
        <w:jc w:val="both"/>
        <w:rPr>
          <w:color w:val="auto"/>
          <w:lang w:val="en-GB"/>
        </w:rPr>
      </w:pPr>
      <w:r w:rsidRPr="00305E0F">
        <w:rPr>
          <w:color w:val="auto"/>
          <w:lang w:val="en-GB"/>
        </w:rPr>
        <w:t xml:space="preserve">assign the sub-factor to a category on the basis of an overall assessment made taking into account the categories assigned in accordance with </w:t>
      </w:r>
      <w:r w:rsidR="00301120" w:rsidRPr="00305E0F">
        <w:rPr>
          <w:color w:val="auto"/>
          <w:lang w:val="en-GB"/>
        </w:rPr>
        <w:t>sub-paragraph 11.1</w:t>
      </w:r>
      <w:r w:rsidRPr="00305E0F">
        <w:rPr>
          <w:color w:val="auto"/>
          <w:lang w:val="en-GB"/>
        </w:rPr>
        <w:t xml:space="preserve"> of this Annex and the relative importance of each component of the sub-factor for the specific type of specialised lending exposure.</w:t>
      </w:r>
    </w:p>
    <w:p w14:paraId="09AFE58C" w14:textId="58D4586C"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 xml:space="preserve">If the bank also takes into account other relevant information (an </w:t>
      </w:r>
      <w:r w:rsidR="00301120" w:rsidRPr="00305E0F">
        <w:rPr>
          <w:color w:val="auto"/>
          <w:lang w:val="en-GB"/>
        </w:rPr>
        <w:t>“</w:t>
      </w:r>
      <w:r w:rsidRPr="00305E0F">
        <w:rPr>
          <w:color w:val="auto"/>
          <w:lang w:val="en-GB"/>
        </w:rPr>
        <w:t>additional risk driver</w:t>
      </w:r>
      <w:r w:rsidR="00301120" w:rsidRPr="00305E0F">
        <w:rPr>
          <w:color w:val="auto"/>
          <w:lang w:val="en-GB"/>
        </w:rPr>
        <w:t>”</w:t>
      </w:r>
      <w:r w:rsidRPr="00305E0F">
        <w:rPr>
          <w:color w:val="auto"/>
          <w:lang w:val="en-GB"/>
        </w:rPr>
        <w:t xml:space="preserve">) in accordance with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_Ref215563124 \r \h </w:instrText>
      </w:r>
      <w:r w:rsidRPr="00305E0F">
        <w:rPr>
          <w:color w:val="auto"/>
          <w:lang w:val="en-GB"/>
        </w:rPr>
      </w:r>
      <w:r w:rsidRPr="00305E0F">
        <w:rPr>
          <w:color w:val="auto"/>
          <w:lang w:val="en-GB"/>
        </w:rPr>
        <w:fldChar w:fldCharType="separate"/>
      </w:r>
      <w:r w:rsidR="00594C05" w:rsidRPr="00305E0F">
        <w:rPr>
          <w:color w:val="auto"/>
          <w:lang w:val="en-GB"/>
        </w:rPr>
        <w:t>169</w:t>
      </w:r>
      <w:r w:rsidRPr="00305E0F">
        <w:rPr>
          <w:color w:val="auto"/>
          <w:lang w:val="en-GB"/>
        </w:rPr>
        <w:fldChar w:fldCharType="end"/>
      </w:r>
      <w:r w:rsidRPr="00305E0F">
        <w:rPr>
          <w:color w:val="auto"/>
          <w:lang w:val="en-GB"/>
        </w:rPr>
        <w:t xml:space="preserve"> for a specific type of specialised lending exposures, it shall consider it together with the sub-factor that best matches that additional risk driver.</w:t>
      </w:r>
    </w:p>
    <w:p w14:paraId="59A3E8BC" w14:textId="0A0AECEF" w:rsidR="00EB0050" w:rsidRPr="00305E0F" w:rsidRDefault="00B02122">
      <w:pPr>
        <w:pStyle w:val="P68B1DB1-ListParagraph11"/>
        <w:numPr>
          <w:ilvl w:val="0"/>
          <w:numId w:val="3"/>
        </w:numPr>
        <w:shd w:val="clear" w:color="auto" w:fill="FFFFFF"/>
        <w:tabs>
          <w:tab w:val="left" w:pos="0"/>
        </w:tabs>
        <w:spacing w:before="60" w:after="0" w:line="240" w:lineRule="auto"/>
        <w:ind w:firstLine="567"/>
        <w:jc w:val="both"/>
        <w:rPr>
          <w:color w:val="auto"/>
          <w:sz w:val="24"/>
          <w:szCs w:val="24"/>
          <w:lang w:val="en-GB"/>
        </w:rPr>
      </w:pPr>
      <w:r w:rsidRPr="00305E0F">
        <w:rPr>
          <w:color w:val="auto"/>
          <w:sz w:val="24"/>
          <w:szCs w:val="24"/>
          <w:lang w:val="en-GB"/>
        </w:rPr>
        <w:t>Where, exceptionally, a sub-factor or sub-factor component is not relevant for all specialised lending exposures of a particular type of specialised lending exposures, the bank may decide not to apply that sub-factor or sub-factor component to any specialised lending exposures of that type.</w:t>
      </w:r>
      <w:r w:rsidRPr="00305E0F">
        <w:rPr>
          <w:color w:val="auto"/>
          <w:sz w:val="18"/>
          <w:szCs w:val="18"/>
          <w:highlight w:val="lightGray"/>
          <w:lang w:val="en-GB"/>
        </w:rPr>
        <w:t xml:space="preserve"> </w:t>
      </w:r>
    </w:p>
    <w:p w14:paraId="1797ACA9" w14:textId="287D043A" w:rsidR="00EB0050" w:rsidRPr="00305E0F" w:rsidRDefault="00B02122">
      <w:pPr>
        <w:pStyle w:val="P68B1DB1-ListParagraph13"/>
        <w:shd w:val="clear" w:color="auto" w:fill="FFFFFF"/>
        <w:tabs>
          <w:tab w:val="left" w:pos="0"/>
        </w:tabs>
        <w:spacing w:before="120" w:after="0" w:line="240" w:lineRule="auto"/>
        <w:ind w:left="0" w:firstLine="567"/>
        <w:contextualSpacing w:val="0"/>
        <w:jc w:val="center"/>
        <w:rPr>
          <w:bCs/>
          <w:color w:val="auto"/>
          <w:lang w:val="en-GB"/>
        </w:rPr>
      </w:pPr>
      <w:r w:rsidRPr="00305E0F">
        <w:rPr>
          <w:color w:val="auto"/>
          <w:lang w:val="en-GB"/>
        </w:rPr>
        <w:t>Section 5</w:t>
      </w:r>
    </w:p>
    <w:p w14:paraId="3759C00F" w14:textId="15A9AB3E" w:rsidR="00EB0050" w:rsidRPr="00305E0F" w:rsidRDefault="00301120">
      <w:pPr>
        <w:pStyle w:val="P68B1DB1-ListParagraph13"/>
        <w:shd w:val="clear" w:color="auto" w:fill="FFFFFF"/>
        <w:tabs>
          <w:tab w:val="left" w:pos="0"/>
        </w:tabs>
        <w:spacing w:after="120" w:line="240" w:lineRule="auto"/>
        <w:ind w:left="0"/>
        <w:contextualSpacing w:val="0"/>
        <w:jc w:val="center"/>
        <w:rPr>
          <w:color w:val="auto"/>
          <w:lang w:val="en-GB"/>
        </w:rPr>
      </w:pPr>
      <w:r w:rsidRPr="00305E0F">
        <w:rPr>
          <w:color w:val="auto"/>
          <w:lang w:val="en-GB"/>
        </w:rPr>
        <w:t>Overlapping criteria at sub-factor and sub-factor component level</w:t>
      </w:r>
    </w:p>
    <w:p w14:paraId="263C9526" w14:textId="6569B8D0"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Where a sub-factor or component of a sub-factor has identical assessment criteria in two or more categories (</w:t>
      </w:r>
      <w:r w:rsidR="00301120" w:rsidRPr="00305E0F">
        <w:rPr>
          <w:color w:val="auto"/>
          <w:lang w:val="en-GB"/>
        </w:rPr>
        <w:t>“</w:t>
      </w:r>
      <w:r w:rsidRPr="00305E0F">
        <w:rPr>
          <w:color w:val="auto"/>
          <w:lang w:val="en-GB"/>
        </w:rPr>
        <w:t>overlapping criteria</w:t>
      </w:r>
      <w:r w:rsidR="00301120" w:rsidRPr="00305E0F">
        <w:rPr>
          <w:color w:val="auto"/>
          <w:lang w:val="en-GB"/>
        </w:rPr>
        <w:t>”</w:t>
      </w:r>
      <w:r w:rsidRPr="00305E0F">
        <w:rPr>
          <w:color w:val="auto"/>
          <w:lang w:val="en-GB"/>
        </w:rPr>
        <w:t>) and the specialised lending exposure meets those overlapping criteria, banks shall assign the sub-factor or component of a sub-factor to a category as follows:</w:t>
      </w:r>
    </w:p>
    <w:p w14:paraId="05B40CC7" w14:textId="1AF45D06" w:rsidR="00EB0050" w:rsidRPr="00305E0F" w:rsidRDefault="00B02122">
      <w:pPr>
        <w:pStyle w:val="P68B1DB1-ListParagraph8"/>
        <w:numPr>
          <w:ilvl w:val="1"/>
          <w:numId w:val="3"/>
        </w:numPr>
        <w:shd w:val="clear" w:color="auto" w:fill="FFFFFF"/>
        <w:tabs>
          <w:tab w:val="left" w:pos="0"/>
        </w:tabs>
        <w:spacing w:before="60" w:after="0" w:line="240" w:lineRule="auto"/>
        <w:ind w:left="0"/>
        <w:jc w:val="both"/>
        <w:rPr>
          <w:color w:val="auto"/>
          <w:lang w:val="en-GB"/>
        </w:rPr>
      </w:pPr>
      <w:r w:rsidRPr="00305E0F">
        <w:rPr>
          <w:color w:val="auto"/>
          <w:lang w:val="en-GB"/>
        </w:rPr>
        <w:t xml:space="preserve">Where the overlapping criteria </w:t>
      </w:r>
      <w:r w:rsidR="00301120" w:rsidRPr="00305E0F">
        <w:rPr>
          <w:color w:val="auto"/>
          <w:lang w:val="en-GB"/>
        </w:rPr>
        <w:t>occur</w:t>
      </w:r>
      <w:r w:rsidRPr="00305E0F">
        <w:rPr>
          <w:color w:val="auto"/>
          <w:lang w:val="en-GB"/>
        </w:rPr>
        <w:t xml:space="preserve"> in two categories, banks shall rank in the highest category;</w:t>
      </w:r>
    </w:p>
    <w:p w14:paraId="2E294210" w14:textId="6B270475" w:rsidR="00EB0050" w:rsidRPr="00305E0F" w:rsidRDefault="00B02122">
      <w:pPr>
        <w:pStyle w:val="P68B1DB1-ListParagraph11"/>
        <w:numPr>
          <w:ilvl w:val="1"/>
          <w:numId w:val="3"/>
        </w:numPr>
        <w:shd w:val="clear" w:color="auto" w:fill="FFFFFF"/>
        <w:tabs>
          <w:tab w:val="left" w:pos="0"/>
        </w:tabs>
        <w:spacing w:before="60" w:after="0" w:line="240" w:lineRule="auto"/>
        <w:ind w:left="0"/>
        <w:jc w:val="both"/>
        <w:rPr>
          <w:color w:val="auto"/>
          <w:sz w:val="24"/>
          <w:szCs w:val="24"/>
          <w:lang w:val="en-GB"/>
        </w:rPr>
      </w:pPr>
      <w:r w:rsidRPr="00305E0F">
        <w:rPr>
          <w:color w:val="auto"/>
          <w:sz w:val="24"/>
          <w:szCs w:val="24"/>
          <w:lang w:val="en-GB"/>
        </w:rPr>
        <w:t xml:space="preserve">Where the overlapping criteria </w:t>
      </w:r>
      <w:r w:rsidR="00301120" w:rsidRPr="00305E0F">
        <w:rPr>
          <w:color w:val="auto"/>
          <w:sz w:val="24"/>
          <w:szCs w:val="24"/>
          <w:lang w:val="en-GB"/>
        </w:rPr>
        <w:t>occur</w:t>
      </w:r>
      <w:r w:rsidRPr="00305E0F">
        <w:rPr>
          <w:color w:val="auto"/>
          <w:sz w:val="24"/>
          <w:szCs w:val="24"/>
          <w:lang w:val="en-GB"/>
        </w:rPr>
        <w:t xml:space="preserve"> in three categories, banks shall rank between the highest and the lowest category.</w:t>
      </w:r>
      <w:r w:rsidRPr="00305E0F">
        <w:rPr>
          <w:color w:val="auto"/>
          <w:sz w:val="18"/>
          <w:szCs w:val="18"/>
          <w:highlight w:val="lightGray"/>
          <w:lang w:val="en-GB"/>
        </w:rPr>
        <w:t xml:space="preserve"> </w:t>
      </w:r>
    </w:p>
    <w:p w14:paraId="2D6ED1DA" w14:textId="0D01661C" w:rsidR="00EB0050" w:rsidRPr="00305E0F" w:rsidRDefault="00B02122">
      <w:pPr>
        <w:pStyle w:val="P68B1DB1-ListParagraph13"/>
        <w:shd w:val="clear" w:color="auto" w:fill="FFFFFF"/>
        <w:tabs>
          <w:tab w:val="left" w:pos="0"/>
        </w:tabs>
        <w:spacing w:before="120" w:after="0" w:line="240" w:lineRule="auto"/>
        <w:ind w:left="0"/>
        <w:contextualSpacing w:val="0"/>
        <w:jc w:val="center"/>
        <w:rPr>
          <w:bCs/>
          <w:color w:val="auto"/>
          <w:lang w:val="en-GB"/>
        </w:rPr>
      </w:pPr>
      <w:r w:rsidRPr="00305E0F">
        <w:rPr>
          <w:color w:val="auto"/>
          <w:lang w:val="en-GB"/>
        </w:rPr>
        <w:t>Section 6</w:t>
      </w:r>
    </w:p>
    <w:p w14:paraId="26A2C0F1" w14:textId="403BF50C" w:rsidR="00EB0050" w:rsidRPr="00305E0F" w:rsidRDefault="00B02122">
      <w:pPr>
        <w:pStyle w:val="P68B1DB1-ListParagraph13"/>
        <w:shd w:val="clear" w:color="auto" w:fill="FFFFFF"/>
        <w:tabs>
          <w:tab w:val="left" w:pos="0"/>
        </w:tabs>
        <w:spacing w:before="60" w:after="0" w:line="240" w:lineRule="auto"/>
        <w:ind w:left="0"/>
        <w:jc w:val="center"/>
        <w:rPr>
          <w:color w:val="auto"/>
          <w:lang w:val="en-GB"/>
        </w:rPr>
      </w:pPr>
      <w:r w:rsidRPr="00305E0F">
        <w:rPr>
          <w:color w:val="auto"/>
          <w:lang w:val="en-GB"/>
        </w:rPr>
        <w:t>Documentation</w:t>
      </w:r>
    </w:p>
    <w:p w14:paraId="7C0D2089" w14:textId="254A854E"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Banks shall document the following information for each type of specialised lending exposures for which they assign risk weights in accordance with this Annex:</w:t>
      </w:r>
    </w:p>
    <w:p w14:paraId="40CE0580" w14:textId="7F4793BE" w:rsidR="00EB0050" w:rsidRPr="00305E0F" w:rsidRDefault="00B02122">
      <w:pPr>
        <w:pStyle w:val="P68B1DB1-ListParagraph8"/>
        <w:numPr>
          <w:ilvl w:val="1"/>
          <w:numId w:val="3"/>
        </w:numPr>
        <w:shd w:val="clear" w:color="auto" w:fill="FFFFFF"/>
        <w:tabs>
          <w:tab w:val="left" w:pos="0"/>
        </w:tabs>
        <w:spacing w:before="60" w:after="0" w:line="240" w:lineRule="auto"/>
        <w:ind w:left="0"/>
        <w:jc w:val="both"/>
        <w:rPr>
          <w:color w:val="auto"/>
          <w:lang w:val="en-GB"/>
        </w:rPr>
      </w:pPr>
      <w:r w:rsidRPr="00305E0F">
        <w:rPr>
          <w:color w:val="auto"/>
          <w:lang w:val="en-GB"/>
        </w:rPr>
        <w:t xml:space="preserve">The risk weights assigned to each factor in accordance with </w:t>
      </w:r>
      <w:r w:rsidR="00301120" w:rsidRPr="00305E0F">
        <w:rPr>
          <w:color w:val="auto"/>
          <w:lang w:val="en-GB"/>
        </w:rPr>
        <w:t>paragraph 7</w:t>
      </w:r>
      <w:r w:rsidRPr="00305E0F">
        <w:rPr>
          <w:color w:val="auto"/>
          <w:lang w:val="en-GB"/>
        </w:rPr>
        <w:t xml:space="preserve"> of this Annex and their justification;</w:t>
      </w:r>
    </w:p>
    <w:p w14:paraId="4A08A249" w14:textId="6C491DD1" w:rsidR="00EB0050" w:rsidRPr="00305E0F" w:rsidRDefault="00B02122">
      <w:pPr>
        <w:pStyle w:val="P68B1DB1-ListParagraph8"/>
        <w:numPr>
          <w:ilvl w:val="1"/>
          <w:numId w:val="3"/>
        </w:numPr>
        <w:shd w:val="clear" w:color="auto" w:fill="FFFFFF"/>
        <w:tabs>
          <w:tab w:val="left" w:pos="0"/>
        </w:tabs>
        <w:spacing w:before="60" w:after="0" w:line="240" w:lineRule="auto"/>
        <w:ind w:left="0"/>
        <w:jc w:val="both"/>
        <w:rPr>
          <w:color w:val="auto"/>
          <w:lang w:val="en-GB"/>
        </w:rPr>
      </w:pPr>
      <w:r w:rsidRPr="00305E0F">
        <w:rPr>
          <w:color w:val="auto"/>
          <w:lang w:val="en-GB"/>
        </w:rPr>
        <w:t xml:space="preserve">A description of the additional risk drivers and </w:t>
      </w:r>
      <w:r w:rsidR="00301120" w:rsidRPr="00305E0F">
        <w:rPr>
          <w:color w:val="auto"/>
          <w:lang w:val="en-GB"/>
        </w:rPr>
        <w:t xml:space="preserve">a justification for taking them </w:t>
      </w:r>
      <w:r w:rsidRPr="00305E0F">
        <w:rPr>
          <w:color w:val="auto"/>
          <w:lang w:val="en-GB"/>
        </w:rPr>
        <w:t xml:space="preserve">into account in accordance with </w:t>
      </w:r>
      <w:r w:rsidR="00301120" w:rsidRPr="00305E0F">
        <w:rPr>
          <w:color w:val="auto"/>
          <w:lang w:val="en-GB"/>
        </w:rPr>
        <w:t>paragraph 12</w:t>
      </w:r>
      <w:r w:rsidRPr="00305E0F">
        <w:rPr>
          <w:color w:val="auto"/>
          <w:lang w:val="en-GB"/>
        </w:rPr>
        <w:t xml:space="preserve"> of this Annex, where applicable;</w:t>
      </w:r>
    </w:p>
    <w:p w14:paraId="794B9634" w14:textId="6F4F0B80" w:rsidR="00EB0050" w:rsidRPr="00305E0F" w:rsidRDefault="00B02122">
      <w:pPr>
        <w:pStyle w:val="P68B1DB1-ListParagraph8"/>
        <w:numPr>
          <w:ilvl w:val="1"/>
          <w:numId w:val="3"/>
        </w:numPr>
        <w:shd w:val="clear" w:color="auto" w:fill="FFFFFF"/>
        <w:tabs>
          <w:tab w:val="left" w:pos="0"/>
        </w:tabs>
        <w:spacing w:before="60" w:after="0" w:line="240" w:lineRule="auto"/>
        <w:ind w:left="0"/>
        <w:jc w:val="both"/>
        <w:rPr>
          <w:color w:val="auto"/>
          <w:lang w:val="en-GB"/>
        </w:rPr>
      </w:pPr>
      <w:r w:rsidRPr="00305E0F">
        <w:rPr>
          <w:color w:val="auto"/>
          <w:lang w:val="en-GB"/>
        </w:rPr>
        <w:t xml:space="preserve">Reasons for deciding not to apply a specific sub-factor or component of a sub-factor in accordance with </w:t>
      </w:r>
      <w:r w:rsidR="00301120" w:rsidRPr="00305E0F">
        <w:rPr>
          <w:color w:val="auto"/>
          <w:lang w:val="en-GB"/>
        </w:rPr>
        <w:t>paragraph 13</w:t>
      </w:r>
      <w:r w:rsidRPr="00305E0F">
        <w:rPr>
          <w:color w:val="auto"/>
          <w:lang w:val="en-GB"/>
        </w:rPr>
        <w:t xml:space="preserve"> of this Annex, as applicable.</w:t>
      </w:r>
    </w:p>
    <w:p w14:paraId="7CE80340" w14:textId="3A0BB91C" w:rsidR="00EB0050" w:rsidRPr="00305E0F" w:rsidRDefault="00B02122">
      <w:pPr>
        <w:pStyle w:val="P68B1DB1-ListParagraph8"/>
        <w:numPr>
          <w:ilvl w:val="0"/>
          <w:numId w:val="3"/>
        </w:numPr>
        <w:shd w:val="clear" w:color="auto" w:fill="FFFFFF"/>
        <w:tabs>
          <w:tab w:val="left" w:pos="0"/>
        </w:tabs>
        <w:spacing w:before="60" w:after="0" w:line="240" w:lineRule="auto"/>
        <w:ind w:firstLine="567"/>
        <w:jc w:val="both"/>
        <w:rPr>
          <w:color w:val="auto"/>
          <w:lang w:val="en-GB"/>
        </w:rPr>
      </w:pPr>
      <w:r w:rsidRPr="00305E0F">
        <w:rPr>
          <w:color w:val="auto"/>
          <w:lang w:val="en-GB"/>
        </w:rPr>
        <w:t>Banks shall document the following information for each specialised lending exposure for which they assign risk weights in accordance with this Regulation:</w:t>
      </w:r>
    </w:p>
    <w:p w14:paraId="4F1776BA" w14:textId="4679333F" w:rsidR="00EB0050" w:rsidRPr="00305E0F" w:rsidRDefault="00B02122">
      <w:pPr>
        <w:pStyle w:val="P68B1DB1-ListParagraph8"/>
        <w:numPr>
          <w:ilvl w:val="1"/>
          <w:numId w:val="3"/>
        </w:numPr>
        <w:shd w:val="clear" w:color="auto" w:fill="FFFFFF"/>
        <w:tabs>
          <w:tab w:val="left" w:pos="0"/>
        </w:tabs>
        <w:spacing w:before="60" w:after="0" w:line="240" w:lineRule="auto"/>
        <w:ind w:left="0"/>
        <w:jc w:val="both"/>
        <w:rPr>
          <w:color w:val="auto"/>
          <w:lang w:val="en-GB"/>
        </w:rPr>
      </w:pPr>
      <w:r w:rsidRPr="00305E0F">
        <w:rPr>
          <w:color w:val="auto"/>
          <w:lang w:val="en-GB"/>
        </w:rPr>
        <w:t xml:space="preserve">Specialised lending exposure class as set out in </w:t>
      </w:r>
      <w:r w:rsidR="00704220" w:rsidRPr="00305E0F">
        <w:rPr>
          <w:color w:val="auto"/>
          <w:lang w:val="en-GB"/>
        </w:rPr>
        <w:t>paragraph</w:t>
      </w:r>
      <w:r w:rsidRPr="00305E0F">
        <w:rPr>
          <w:color w:val="auto"/>
          <w:lang w:val="en-GB"/>
        </w:rPr>
        <w:t>s 2 to 5 of this Annex;</w:t>
      </w:r>
    </w:p>
    <w:p w14:paraId="7120B571" w14:textId="32AFDA92" w:rsidR="00EB0050" w:rsidRPr="00305E0F" w:rsidRDefault="00B02122">
      <w:pPr>
        <w:pStyle w:val="P68B1DB1-ListParagraph8"/>
        <w:numPr>
          <w:ilvl w:val="1"/>
          <w:numId w:val="3"/>
        </w:numPr>
        <w:shd w:val="clear" w:color="auto" w:fill="FFFFFF"/>
        <w:tabs>
          <w:tab w:val="left" w:pos="0"/>
        </w:tabs>
        <w:spacing w:before="60" w:after="0" w:line="240" w:lineRule="auto"/>
        <w:ind w:left="0"/>
        <w:jc w:val="both"/>
        <w:rPr>
          <w:color w:val="auto"/>
          <w:lang w:val="en-GB"/>
        </w:rPr>
      </w:pPr>
      <w:r w:rsidRPr="00305E0F">
        <w:rPr>
          <w:color w:val="auto"/>
          <w:lang w:val="en-GB"/>
        </w:rPr>
        <w:t xml:space="preserve">The category in Table 1 at the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_Ref215086557 \r \h </w:instrText>
      </w:r>
      <w:r w:rsidRPr="00305E0F">
        <w:rPr>
          <w:color w:val="auto"/>
          <w:lang w:val="en-GB"/>
        </w:rPr>
      </w:r>
      <w:r w:rsidRPr="00305E0F">
        <w:rPr>
          <w:color w:val="auto"/>
          <w:lang w:val="en-GB"/>
        </w:rPr>
        <w:fldChar w:fldCharType="separate"/>
      </w:r>
      <w:r w:rsidR="00594C05" w:rsidRPr="00305E0F">
        <w:rPr>
          <w:color w:val="auto"/>
          <w:lang w:val="en-GB"/>
        </w:rPr>
        <w:t>75</w:t>
      </w:r>
      <w:r w:rsidRPr="00305E0F">
        <w:rPr>
          <w:color w:val="auto"/>
          <w:lang w:val="en-GB"/>
        </w:rPr>
        <w:fldChar w:fldCharType="end"/>
      </w:r>
      <w:r w:rsidRPr="00305E0F">
        <w:rPr>
          <w:color w:val="auto"/>
          <w:lang w:val="en-GB"/>
        </w:rPr>
        <w:t xml:space="preserve"> where the specialised lending exposure was assigned;</w:t>
      </w:r>
    </w:p>
    <w:p w14:paraId="3A4B3F55" w14:textId="58FF4F51" w:rsidR="00EB0050" w:rsidRPr="00305E0F" w:rsidRDefault="00301120">
      <w:pPr>
        <w:pStyle w:val="P68B1DB1-ListParagraph8"/>
        <w:numPr>
          <w:ilvl w:val="1"/>
          <w:numId w:val="3"/>
        </w:numPr>
        <w:shd w:val="clear" w:color="auto" w:fill="FFFFFF"/>
        <w:tabs>
          <w:tab w:val="left" w:pos="0"/>
        </w:tabs>
        <w:spacing w:before="60" w:after="0" w:line="240" w:lineRule="auto"/>
        <w:ind w:left="0"/>
        <w:jc w:val="both"/>
        <w:rPr>
          <w:color w:val="auto"/>
          <w:lang w:val="en-GB"/>
        </w:rPr>
      </w:pPr>
      <w:r w:rsidRPr="00305E0F">
        <w:rPr>
          <w:color w:val="auto"/>
          <w:lang w:val="en-GB"/>
        </w:rPr>
        <w:t xml:space="preserve">The remaining maturity referred to in Table 1 of </w:t>
      </w:r>
      <w:r w:rsidR="00704220" w:rsidRPr="00305E0F">
        <w:rPr>
          <w:color w:val="auto"/>
          <w:lang w:val="en-GB"/>
        </w:rPr>
        <w:t xml:space="preserve">paragraph </w:t>
      </w:r>
      <w:r w:rsidRPr="00305E0F">
        <w:rPr>
          <w:color w:val="auto"/>
          <w:lang w:val="en-GB"/>
        </w:rPr>
        <w:fldChar w:fldCharType="begin"/>
      </w:r>
      <w:r w:rsidRPr="00305E0F">
        <w:rPr>
          <w:color w:val="auto"/>
          <w:lang w:val="en-GB"/>
        </w:rPr>
        <w:instrText xml:space="preserve"> REF _Ref215086557 \r \h </w:instrText>
      </w:r>
      <w:r w:rsidRPr="00305E0F">
        <w:rPr>
          <w:color w:val="auto"/>
          <w:lang w:val="en-GB"/>
        </w:rPr>
      </w:r>
      <w:r w:rsidRPr="00305E0F">
        <w:rPr>
          <w:color w:val="auto"/>
          <w:lang w:val="en-GB"/>
        </w:rPr>
        <w:fldChar w:fldCharType="separate"/>
      </w:r>
      <w:r w:rsidR="00594C05" w:rsidRPr="00305E0F">
        <w:rPr>
          <w:color w:val="auto"/>
          <w:lang w:val="en-GB"/>
        </w:rPr>
        <w:t>75</w:t>
      </w:r>
      <w:r w:rsidRPr="00305E0F">
        <w:rPr>
          <w:color w:val="auto"/>
          <w:lang w:val="en-GB"/>
        </w:rPr>
        <w:fldChar w:fldCharType="end"/>
      </w:r>
      <w:r w:rsidRPr="00305E0F">
        <w:rPr>
          <w:color w:val="auto"/>
          <w:lang w:val="en-GB"/>
        </w:rPr>
        <w:t>;</w:t>
      </w:r>
    </w:p>
    <w:p w14:paraId="47890B22" w14:textId="2D434EBF" w:rsidR="00EB0050" w:rsidRPr="00305E0F" w:rsidRDefault="00B02122">
      <w:pPr>
        <w:pStyle w:val="P68B1DB1-ListParagraph11"/>
        <w:numPr>
          <w:ilvl w:val="1"/>
          <w:numId w:val="3"/>
        </w:numPr>
        <w:shd w:val="clear" w:color="auto" w:fill="FFFFFF"/>
        <w:tabs>
          <w:tab w:val="left" w:pos="0"/>
        </w:tabs>
        <w:spacing w:before="60" w:after="0" w:line="240" w:lineRule="auto"/>
        <w:ind w:left="0"/>
        <w:jc w:val="both"/>
        <w:rPr>
          <w:color w:val="auto"/>
          <w:sz w:val="24"/>
          <w:szCs w:val="24"/>
          <w:lang w:val="en-GB"/>
        </w:rPr>
      </w:pPr>
      <w:r w:rsidRPr="00305E0F">
        <w:rPr>
          <w:color w:val="auto"/>
          <w:sz w:val="24"/>
          <w:szCs w:val="24"/>
          <w:lang w:val="en-GB"/>
        </w:rPr>
        <w:t xml:space="preserve">The assessment of the specialised lending exposure, at each </w:t>
      </w:r>
      <w:r w:rsidR="00301120" w:rsidRPr="00305E0F">
        <w:rPr>
          <w:color w:val="auto"/>
          <w:sz w:val="24"/>
          <w:szCs w:val="24"/>
          <w:lang w:val="en-GB"/>
        </w:rPr>
        <w:t>step</w:t>
      </w:r>
      <w:r w:rsidRPr="00305E0F">
        <w:rPr>
          <w:color w:val="auto"/>
          <w:sz w:val="24"/>
          <w:szCs w:val="24"/>
          <w:lang w:val="en-GB"/>
        </w:rPr>
        <w:t xml:space="preserve"> of the process </w:t>
      </w:r>
      <w:r w:rsidR="00301120" w:rsidRPr="00305E0F">
        <w:rPr>
          <w:color w:val="auto"/>
          <w:sz w:val="24"/>
          <w:szCs w:val="24"/>
          <w:lang w:val="en-GB"/>
        </w:rPr>
        <w:t>laid down</w:t>
      </w:r>
      <w:r w:rsidRPr="00305E0F">
        <w:rPr>
          <w:color w:val="auto"/>
          <w:sz w:val="24"/>
          <w:szCs w:val="24"/>
          <w:lang w:val="en-GB"/>
        </w:rPr>
        <w:t xml:space="preserve"> in </w:t>
      </w:r>
      <w:r w:rsidR="00704220" w:rsidRPr="00305E0F">
        <w:rPr>
          <w:color w:val="auto"/>
          <w:sz w:val="24"/>
          <w:szCs w:val="24"/>
          <w:lang w:val="en-GB"/>
        </w:rPr>
        <w:t>paragraph</w:t>
      </w:r>
      <w:r w:rsidRPr="00305E0F">
        <w:rPr>
          <w:color w:val="auto"/>
          <w:sz w:val="24"/>
          <w:szCs w:val="24"/>
          <w:lang w:val="en-GB"/>
        </w:rPr>
        <w:t>s 1, 6 to 14 of this Annex, which has resulted in assigning the risk weight to that exposure.</w:t>
      </w:r>
      <w:r w:rsidRPr="00305E0F">
        <w:rPr>
          <w:color w:val="auto"/>
          <w:sz w:val="18"/>
          <w:szCs w:val="18"/>
          <w:highlight w:val="lightGray"/>
          <w:lang w:val="en-GB"/>
        </w:rPr>
        <w:t xml:space="preserve"> </w:t>
      </w:r>
    </w:p>
    <w:p w14:paraId="36F752F8" w14:textId="1BA4211C" w:rsidR="00EB0050" w:rsidRPr="00305E0F" w:rsidRDefault="00B02122">
      <w:pPr>
        <w:pStyle w:val="P68B1DB1-Normal25"/>
        <w:shd w:val="clear" w:color="auto" w:fill="FFFFFF"/>
        <w:spacing w:before="240" w:after="120" w:line="240" w:lineRule="auto"/>
        <w:jc w:val="right"/>
        <w:rPr>
          <w:bCs/>
          <w:iCs/>
          <w:color w:val="auto"/>
          <w:lang w:val="en-GB"/>
        </w:rPr>
      </w:pPr>
      <w:r w:rsidRPr="00305E0F">
        <w:rPr>
          <w:color w:val="auto"/>
          <w:lang w:val="en-GB"/>
        </w:rPr>
        <w:t>Table 1</w:t>
      </w:r>
    </w:p>
    <w:p w14:paraId="4936D547" w14:textId="77777777" w:rsidR="00EB0050" w:rsidRPr="00305E0F" w:rsidRDefault="00B02122">
      <w:pPr>
        <w:pStyle w:val="P68B1DB1-Normal10"/>
        <w:shd w:val="clear" w:color="auto" w:fill="FFFFFF"/>
        <w:spacing w:before="240" w:after="120" w:line="240" w:lineRule="auto"/>
        <w:jc w:val="center"/>
        <w:rPr>
          <w:bCs/>
          <w:color w:val="auto"/>
          <w:lang w:val="en-GB"/>
        </w:rPr>
      </w:pPr>
      <w:r w:rsidRPr="00305E0F">
        <w:rPr>
          <w:color w:val="auto"/>
          <w:lang w:val="en-GB"/>
        </w:rPr>
        <w:t>Assessment criteria for project finance exposures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17"/>
        <w:gridCol w:w="1815"/>
        <w:gridCol w:w="1793"/>
        <w:gridCol w:w="1678"/>
        <w:gridCol w:w="1635"/>
      </w:tblGrid>
      <w:tr w:rsidR="00305E0F" w:rsidRPr="00305E0F" w14:paraId="689BE3B8" w14:textId="77777777">
        <w:tc>
          <w:tcPr>
            <w:tcW w:w="0" w:type="auto"/>
            <w:tcBorders>
              <w:top w:val="single" w:sz="6" w:space="0" w:color="000000"/>
              <w:left w:val="single" w:sz="6" w:space="0" w:color="000000"/>
              <w:bottom w:val="single" w:sz="6" w:space="0" w:color="000000"/>
              <w:right w:val="single" w:sz="6" w:space="0" w:color="000000"/>
            </w:tcBorders>
            <w:hideMark/>
          </w:tcPr>
          <w:p w14:paraId="57A0CED2"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4F2B39D0" w14:textId="77777777" w:rsidR="00EB0050" w:rsidRPr="00305E0F" w:rsidRDefault="00B02122">
            <w:pPr>
              <w:pStyle w:val="P68B1DB1-Normal26"/>
              <w:spacing w:before="60" w:after="60" w:line="240" w:lineRule="auto"/>
              <w:ind w:right="195"/>
              <w:jc w:val="center"/>
              <w:rPr>
                <w:bCs/>
                <w:lang w:val="en-GB"/>
              </w:rPr>
            </w:pPr>
            <w:r w:rsidRPr="00305E0F">
              <w:rPr>
                <w:lang w:val="en-GB"/>
              </w:rPr>
              <w:t>Category 1</w:t>
            </w:r>
          </w:p>
        </w:tc>
        <w:tc>
          <w:tcPr>
            <w:tcW w:w="0" w:type="auto"/>
            <w:tcBorders>
              <w:top w:val="single" w:sz="6" w:space="0" w:color="000000"/>
              <w:left w:val="single" w:sz="6" w:space="0" w:color="000000"/>
              <w:bottom w:val="single" w:sz="6" w:space="0" w:color="000000"/>
              <w:right w:val="single" w:sz="6" w:space="0" w:color="000000"/>
            </w:tcBorders>
            <w:hideMark/>
          </w:tcPr>
          <w:p w14:paraId="4855AD24" w14:textId="77777777" w:rsidR="00EB0050" w:rsidRPr="00305E0F" w:rsidRDefault="00B02122">
            <w:pPr>
              <w:pStyle w:val="P68B1DB1-Normal26"/>
              <w:spacing w:before="60" w:after="60" w:line="240" w:lineRule="auto"/>
              <w:ind w:right="195"/>
              <w:jc w:val="center"/>
              <w:rPr>
                <w:bCs/>
                <w:lang w:val="en-GB"/>
              </w:rPr>
            </w:pPr>
            <w:r w:rsidRPr="00305E0F">
              <w:rPr>
                <w:lang w:val="en-GB"/>
              </w:rPr>
              <w:t>Category 2</w:t>
            </w:r>
          </w:p>
        </w:tc>
        <w:tc>
          <w:tcPr>
            <w:tcW w:w="0" w:type="auto"/>
            <w:tcBorders>
              <w:top w:val="single" w:sz="6" w:space="0" w:color="000000"/>
              <w:left w:val="single" w:sz="6" w:space="0" w:color="000000"/>
              <w:bottom w:val="single" w:sz="6" w:space="0" w:color="000000"/>
              <w:right w:val="single" w:sz="6" w:space="0" w:color="000000"/>
            </w:tcBorders>
            <w:hideMark/>
          </w:tcPr>
          <w:p w14:paraId="19E009FC" w14:textId="77777777" w:rsidR="00EB0050" w:rsidRPr="00305E0F" w:rsidRDefault="00B02122">
            <w:pPr>
              <w:pStyle w:val="P68B1DB1-Normal26"/>
              <w:spacing w:before="60" w:after="60" w:line="240" w:lineRule="auto"/>
              <w:ind w:right="195"/>
              <w:jc w:val="center"/>
              <w:rPr>
                <w:bCs/>
                <w:lang w:val="en-GB"/>
              </w:rPr>
            </w:pPr>
            <w:r w:rsidRPr="00305E0F">
              <w:rPr>
                <w:lang w:val="en-GB"/>
              </w:rPr>
              <w:t>Category 3</w:t>
            </w:r>
          </w:p>
        </w:tc>
        <w:tc>
          <w:tcPr>
            <w:tcW w:w="0" w:type="auto"/>
            <w:tcBorders>
              <w:top w:val="single" w:sz="6" w:space="0" w:color="000000"/>
              <w:left w:val="single" w:sz="6" w:space="0" w:color="000000"/>
              <w:bottom w:val="single" w:sz="6" w:space="0" w:color="000000"/>
              <w:right w:val="single" w:sz="6" w:space="0" w:color="000000"/>
            </w:tcBorders>
            <w:hideMark/>
          </w:tcPr>
          <w:p w14:paraId="42EBBC19" w14:textId="77777777" w:rsidR="00EB0050" w:rsidRPr="00305E0F" w:rsidRDefault="00B02122">
            <w:pPr>
              <w:pStyle w:val="P68B1DB1-Normal26"/>
              <w:spacing w:before="60" w:after="60" w:line="240" w:lineRule="auto"/>
              <w:ind w:right="195"/>
              <w:jc w:val="center"/>
              <w:rPr>
                <w:bCs/>
                <w:lang w:val="en-GB"/>
              </w:rPr>
            </w:pPr>
            <w:r w:rsidRPr="00305E0F">
              <w:rPr>
                <w:lang w:val="en-GB"/>
              </w:rPr>
              <w:t>Category 4</w:t>
            </w:r>
          </w:p>
        </w:tc>
      </w:tr>
      <w:tr w:rsidR="00305E0F" w:rsidRPr="00305E0F" w14:paraId="5A5C20D2" w14:textId="77777777">
        <w:tc>
          <w:tcPr>
            <w:tcW w:w="0" w:type="auto"/>
            <w:tcBorders>
              <w:top w:val="single" w:sz="6" w:space="0" w:color="000000"/>
              <w:left w:val="single" w:sz="6" w:space="0" w:color="000000"/>
              <w:bottom w:val="single" w:sz="6" w:space="0" w:color="000000"/>
              <w:right w:val="single" w:sz="6" w:space="0" w:color="000000"/>
            </w:tcBorders>
            <w:hideMark/>
          </w:tcPr>
          <w:p w14:paraId="3F7C057A" w14:textId="32423733" w:rsidR="00EB0050" w:rsidRPr="00305E0F" w:rsidRDefault="00301120">
            <w:pPr>
              <w:pStyle w:val="P68B1DB1-Normal26"/>
              <w:spacing w:before="60" w:after="60" w:line="240" w:lineRule="auto"/>
              <w:rPr>
                <w:lang w:val="en-GB"/>
              </w:rPr>
            </w:pPr>
            <w:r w:rsidRPr="00305E0F">
              <w:rPr>
                <w:bCs/>
                <w:lang w:val="en-GB"/>
              </w:rPr>
              <w:t>Factor: financial strength</w:t>
            </w:r>
          </w:p>
        </w:tc>
        <w:tc>
          <w:tcPr>
            <w:tcW w:w="0" w:type="auto"/>
            <w:tcBorders>
              <w:top w:val="single" w:sz="6" w:space="0" w:color="000000"/>
              <w:left w:val="single" w:sz="6" w:space="0" w:color="000000"/>
              <w:bottom w:val="single" w:sz="6" w:space="0" w:color="000000"/>
              <w:right w:val="single" w:sz="6" w:space="0" w:color="000000"/>
            </w:tcBorders>
            <w:hideMark/>
          </w:tcPr>
          <w:p w14:paraId="13EAE7EC"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5D010F7"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A27B178"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FD004FD"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26C523F4"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2790744E" w14:textId="77777777">
              <w:tc>
                <w:tcPr>
                  <w:tcW w:w="0" w:type="auto"/>
                  <w:hideMark/>
                </w:tcPr>
                <w:p w14:paraId="1B63FA00" w14:textId="7994104D" w:rsidR="001F35A7" w:rsidRPr="00305E0F" w:rsidRDefault="001F35A7" w:rsidP="001F35A7">
                  <w:pPr>
                    <w:pStyle w:val="P68B1DB1-Normal5"/>
                    <w:spacing w:before="120" w:after="0" w:line="240" w:lineRule="auto"/>
                    <w:jc w:val="both"/>
                    <w:rPr>
                      <w:lang w:val="en-GB"/>
                    </w:rPr>
                  </w:pPr>
                  <w:r w:rsidRPr="00305E0F">
                    <w:rPr>
                      <w:lang w:val="en-GB"/>
                    </w:rPr>
                    <w:t>1.</w:t>
                  </w:r>
                </w:p>
              </w:tc>
              <w:tc>
                <w:tcPr>
                  <w:tcW w:w="0" w:type="auto"/>
                  <w:hideMark/>
                </w:tcPr>
                <w:p w14:paraId="657A8014" w14:textId="77777777" w:rsidR="001F35A7" w:rsidRPr="00305E0F" w:rsidRDefault="001F35A7" w:rsidP="001F35A7">
                  <w:pPr>
                    <w:pStyle w:val="P68B1DB1-Normal5"/>
                    <w:spacing w:before="120" w:after="0" w:line="240" w:lineRule="auto"/>
                    <w:jc w:val="both"/>
                    <w:rPr>
                      <w:lang w:val="en-GB"/>
                    </w:rPr>
                  </w:pPr>
                  <w:r w:rsidRPr="00305E0F">
                    <w:rPr>
                      <w:lang w:val="en-GB"/>
                    </w:rPr>
                    <w:t>Sub-factor: market conditions</w:t>
                  </w:r>
                </w:p>
              </w:tc>
            </w:tr>
          </w:tbl>
          <w:p w14:paraId="6BCAA388" w14:textId="77777777" w:rsidR="001F35A7" w:rsidRPr="00305E0F" w:rsidRDefault="001F35A7" w:rsidP="001F35A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7F09862" w14:textId="299E7B8D" w:rsidR="001F35A7" w:rsidRPr="00305E0F" w:rsidRDefault="001F35A7" w:rsidP="001F35A7">
            <w:pPr>
              <w:pStyle w:val="P68B1DB1-Normal27"/>
              <w:spacing w:before="60" w:after="60" w:line="240" w:lineRule="auto"/>
              <w:rPr>
                <w:lang w:val="en-GB"/>
              </w:rPr>
            </w:pPr>
            <w:r w:rsidRPr="00305E0F">
              <w:rPr>
                <w:lang w:val="en-GB"/>
              </w:rPr>
              <w:t>Few competing suppliers or substantial and durable advantage in location, cost, or technology. Demand is strong and growing.</w:t>
            </w:r>
          </w:p>
        </w:tc>
        <w:tc>
          <w:tcPr>
            <w:tcW w:w="0" w:type="auto"/>
            <w:tcBorders>
              <w:top w:val="single" w:sz="6" w:space="0" w:color="000000"/>
              <w:left w:val="single" w:sz="6" w:space="0" w:color="000000"/>
              <w:bottom w:val="single" w:sz="6" w:space="0" w:color="000000"/>
              <w:right w:val="single" w:sz="6" w:space="0" w:color="000000"/>
            </w:tcBorders>
            <w:hideMark/>
          </w:tcPr>
          <w:p w14:paraId="4412CABB" w14:textId="1F709556" w:rsidR="001F35A7" w:rsidRPr="00305E0F" w:rsidRDefault="001F35A7" w:rsidP="001F35A7">
            <w:pPr>
              <w:pStyle w:val="P68B1DB1-Normal27"/>
              <w:spacing w:before="60" w:after="60" w:line="240" w:lineRule="auto"/>
              <w:rPr>
                <w:lang w:val="en-GB"/>
              </w:rPr>
            </w:pPr>
            <w:r w:rsidRPr="00305E0F">
              <w:rPr>
                <w:lang w:val="en-GB"/>
              </w:rPr>
              <w:t>Few competing suppliers or better than average location, cost, or technology but this situation may not last. Demand is strong and stable.</w:t>
            </w:r>
          </w:p>
        </w:tc>
        <w:tc>
          <w:tcPr>
            <w:tcW w:w="0" w:type="auto"/>
            <w:tcBorders>
              <w:top w:val="single" w:sz="6" w:space="0" w:color="000000"/>
              <w:left w:val="single" w:sz="6" w:space="0" w:color="000000"/>
              <w:bottom w:val="single" w:sz="6" w:space="0" w:color="000000"/>
              <w:right w:val="single" w:sz="6" w:space="0" w:color="000000"/>
            </w:tcBorders>
            <w:hideMark/>
          </w:tcPr>
          <w:p w14:paraId="1FF84DB0" w14:textId="3C50EF26" w:rsidR="001F35A7" w:rsidRPr="00305E0F" w:rsidRDefault="001F35A7" w:rsidP="001F35A7">
            <w:pPr>
              <w:pStyle w:val="P68B1DB1-Normal27"/>
              <w:spacing w:before="60" w:after="60" w:line="240" w:lineRule="auto"/>
              <w:rPr>
                <w:lang w:val="en-GB"/>
              </w:rPr>
            </w:pPr>
            <w:r w:rsidRPr="00305E0F">
              <w:rPr>
                <w:lang w:val="en-GB"/>
              </w:rPr>
              <w:t>Project has no advantage in location, cost, or technology. Demand is adequate and stable.</w:t>
            </w:r>
          </w:p>
        </w:tc>
        <w:tc>
          <w:tcPr>
            <w:tcW w:w="0" w:type="auto"/>
            <w:tcBorders>
              <w:top w:val="single" w:sz="6" w:space="0" w:color="000000"/>
              <w:left w:val="single" w:sz="6" w:space="0" w:color="000000"/>
              <w:bottom w:val="single" w:sz="6" w:space="0" w:color="000000"/>
              <w:right w:val="single" w:sz="6" w:space="0" w:color="000000"/>
            </w:tcBorders>
            <w:hideMark/>
          </w:tcPr>
          <w:p w14:paraId="13C9260B" w14:textId="1D6EBE08" w:rsidR="001F35A7" w:rsidRPr="00305E0F" w:rsidRDefault="001F35A7" w:rsidP="001F35A7">
            <w:pPr>
              <w:pStyle w:val="P68B1DB1-Normal27"/>
              <w:spacing w:before="60" w:after="60" w:line="240" w:lineRule="auto"/>
              <w:rPr>
                <w:lang w:val="en-GB"/>
              </w:rPr>
            </w:pPr>
            <w:r w:rsidRPr="00305E0F">
              <w:rPr>
                <w:lang w:val="en-GB"/>
              </w:rPr>
              <w:t>Project has worse than average location, cost, or technology. Demand is weak and declining.</w:t>
            </w:r>
          </w:p>
        </w:tc>
      </w:tr>
      <w:tr w:rsidR="00305E0F" w:rsidRPr="00305E0F" w14:paraId="4A947430"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02"/>
            </w:tblGrid>
            <w:tr w:rsidR="00305E0F" w:rsidRPr="00305E0F" w14:paraId="1DC4772B" w14:textId="77777777">
              <w:tc>
                <w:tcPr>
                  <w:tcW w:w="0" w:type="auto"/>
                  <w:hideMark/>
                </w:tcPr>
                <w:p w14:paraId="3EA6BD99" w14:textId="70DB6BB7" w:rsidR="001F35A7" w:rsidRPr="00305E0F" w:rsidRDefault="001F35A7" w:rsidP="001F35A7">
                  <w:pPr>
                    <w:pStyle w:val="oj-normal"/>
                    <w:spacing w:before="120" w:beforeAutospacing="0" w:after="0" w:afterAutospacing="0" w:line="312" w:lineRule="atLeast"/>
                    <w:rPr>
                      <w:lang w:val="en-GB"/>
                    </w:rPr>
                  </w:pPr>
                  <w:r w:rsidRPr="00305E0F">
                    <w:rPr>
                      <w:lang w:val="en-GB"/>
                    </w:rPr>
                    <w:t>2.Sub-factor: financial ratios (e.g. debt service coverage ratio (DSCR, Interest Coverage Ratio (ICR, loan life coverage ratio (LLCR) and debt-to-equity ratio)</w:t>
                  </w:r>
                </w:p>
              </w:tc>
            </w:tr>
          </w:tbl>
          <w:p w14:paraId="66496CE1" w14:textId="77777777" w:rsidR="001F35A7" w:rsidRPr="00305E0F" w:rsidRDefault="001F35A7" w:rsidP="001F35A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29E2E734" w14:textId="7D65C7D4" w:rsidR="001F35A7" w:rsidRPr="00305E0F" w:rsidRDefault="001F35A7" w:rsidP="001F35A7">
            <w:pPr>
              <w:pStyle w:val="P68B1DB1-Normal27"/>
              <w:spacing w:before="60" w:after="60" w:line="240" w:lineRule="auto"/>
              <w:rPr>
                <w:lang w:val="en-GB"/>
              </w:rPr>
            </w:pPr>
            <w:r w:rsidRPr="00305E0F">
              <w:rPr>
                <w:lang w:val="en-GB"/>
              </w:rPr>
              <w:t>Strong financial ratios considering the level of project risk; very robust economic assumptions.</w:t>
            </w:r>
          </w:p>
        </w:tc>
        <w:tc>
          <w:tcPr>
            <w:tcW w:w="0" w:type="auto"/>
            <w:tcBorders>
              <w:top w:val="single" w:sz="6" w:space="0" w:color="000000"/>
              <w:left w:val="single" w:sz="6" w:space="0" w:color="000000"/>
              <w:bottom w:val="single" w:sz="6" w:space="0" w:color="000000"/>
              <w:right w:val="single" w:sz="6" w:space="0" w:color="000000"/>
            </w:tcBorders>
            <w:hideMark/>
          </w:tcPr>
          <w:p w14:paraId="00CC8C36" w14:textId="2EFB423B" w:rsidR="001F35A7" w:rsidRPr="00305E0F" w:rsidRDefault="001F35A7" w:rsidP="001F35A7">
            <w:pPr>
              <w:pStyle w:val="P68B1DB1-Normal27"/>
              <w:spacing w:before="60" w:after="60" w:line="240" w:lineRule="auto"/>
              <w:rPr>
                <w:lang w:val="en-GB"/>
              </w:rPr>
            </w:pPr>
            <w:r w:rsidRPr="00305E0F">
              <w:rPr>
                <w:lang w:val="en-GB"/>
              </w:rPr>
              <w:t>Strong to acceptable financial ratios considering the level of project risk; robust project economic assumptions.</w:t>
            </w:r>
          </w:p>
        </w:tc>
        <w:tc>
          <w:tcPr>
            <w:tcW w:w="0" w:type="auto"/>
            <w:tcBorders>
              <w:top w:val="single" w:sz="6" w:space="0" w:color="000000"/>
              <w:left w:val="single" w:sz="6" w:space="0" w:color="000000"/>
              <w:bottom w:val="single" w:sz="6" w:space="0" w:color="000000"/>
              <w:right w:val="single" w:sz="6" w:space="0" w:color="000000"/>
            </w:tcBorders>
            <w:hideMark/>
          </w:tcPr>
          <w:p w14:paraId="422BB0AF" w14:textId="494E247A" w:rsidR="001F35A7" w:rsidRPr="00305E0F" w:rsidRDefault="001F35A7" w:rsidP="001F35A7">
            <w:pPr>
              <w:pStyle w:val="P68B1DB1-Normal27"/>
              <w:spacing w:before="60" w:after="60" w:line="240" w:lineRule="auto"/>
              <w:rPr>
                <w:lang w:val="en-GB"/>
              </w:rPr>
            </w:pPr>
            <w:r w:rsidRPr="00305E0F">
              <w:rPr>
                <w:lang w:val="en-GB"/>
              </w:rPr>
              <w:t>Standard financial ratios considering the level of project risk</w:t>
            </w:r>
          </w:p>
        </w:tc>
        <w:tc>
          <w:tcPr>
            <w:tcW w:w="0" w:type="auto"/>
            <w:tcBorders>
              <w:top w:val="single" w:sz="6" w:space="0" w:color="000000"/>
              <w:left w:val="single" w:sz="6" w:space="0" w:color="000000"/>
              <w:bottom w:val="single" w:sz="6" w:space="0" w:color="000000"/>
              <w:right w:val="single" w:sz="6" w:space="0" w:color="000000"/>
            </w:tcBorders>
            <w:hideMark/>
          </w:tcPr>
          <w:p w14:paraId="212604D7" w14:textId="2CE9F0C3" w:rsidR="001F35A7" w:rsidRPr="00305E0F" w:rsidRDefault="001F35A7" w:rsidP="001F35A7">
            <w:pPr>
              <w:pStyle w:val="P68B1DB1-Normal27"/>
              <w:spacing w:before="60" w:after="60" w:line="240" w:lineRule="auto"/>
              <w:rPr>
                <w:lang w:val="en-GB"/>
              </w:rPr>
            </w:pPr>
            <w:r w:rsidRPr="00305E0F">
              <w:rPr>
                <w:lang w:val="en-GB"/>
              </w:rPr>
              <w:t>Aggressive financial ratios considering the level of project risk.</w:t>
            </w:r>
          </w:p>
        </w:tc>
      </w:tr>
      <w:tr w:rsidR="00305E0F" w:rsidRPr="00305E0F" w14:paraId="2E951F2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02"/>
            </w:tblGrid>
            <w:tr w:rsidR="00305E0F" w:rsidRPr="00305E0F" w14:paraId="544EAC5F" w14:textId="77777777">
              <w:tc>
                <w:tcPr>
                  <w:tcW w:w="0" w:type="auto"/>
                  <w:hideMark/>
                </w:tcPr>
                <w:p w14:paraId="0BD70E5D" w14:textId="673E54AA" w:rsidR="001F35A7" w:rsidRPr="00305E0F" w:rsidRDefault="001F35A7" w:rsidP="001F35A7">
                  <w:pPr>
                    <w:pStyle w:val="oj-normal"/>
                    <w:spacing w:before="120" w:beforeAutospacing="0" w:after="0" w:afterAutospacing="0" w:line="312" w:lineRule="atLeast"/>
                    <w:rPr>
                      <w:lang w:val="en-GB"/>
                    </w:rPr>
                  </w:pPr>
                  <w:r w:rsidRPr="00305E0F">
                    <w:rPr>
                      <w:lang w:val="en-GB"/>
                    </w:rPr>
                    <w:t>3.Sub-factor: stress analysis on the basis of the income being generated during the tenor of the loan</w:t>
                  </w:r>
                </w:p>
              </w:tc>
            </w:tr>
          </w:tbl>
          <w:p w14:paraId="09D2A4D2" w14:textId="77777777" w:rsidR="001F35A7" w:rsidRPr="00305E0F" w:rsidRDefault="001F35A7" w:rsidP="001F35A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109BD37" w14:textId="1718544A" w:rsidR="001F35A7" w:rsidRPr="00305E0F" w:rsidRDefault="001F35A7" w:rsidP="001F35A7">
            <w:pPr>
              <w:pStyle w:val="P68B1DB1-Normal27"/>
              <w:spacing w:before="60" w:after="60" w:line="240" w:lineRule="auto"/>
              <w:rPr>
                <w:lang w:val="en-GB"/>
              </w:rPr>
            </w:pPr>
            <w:r w:rsidRPr="00305E0F">
              <w:rPr>
                <w:lang w:val="en-GB"/>
              </w:rPr>
              <w:t>The project can meet its financial obligations under sustained, severely stressed economic or sectoral conditions.</w:t>
            </w:r>
          </w:p>
        </w:tc>
        <w:tc>
          <w:tcPr>
            <w:tcW w:w="0" w:type="auto"/>
            <w:tcBorders>
              <w:top w:val="single" w:sz="6" w:space="0" w:color="000000"/>
              <w:left w:val="single" w:sz="6" w:space="0" w:color="000000"/>
              <w:bottom w:val="single" w:sz="6" w:space="0" w:color="000000"/>
              <w:right w:val="single" w:sz="6" w:space="0" w:color="000000"/>
            </w:tcBorders>
            <w:hideMark/>
          </w:tcPr>
          <w:p w14:paraId="1DACD846" w14:textId="3EF2CFEE" w:rsidR="001F35A7" w:rsidRPr="00305E0F" w:rsidRDefault="001F35A7" w:rsidP="001F35A7">
            <w:pPr>
              <w:pStyle w:val="P68B1DB1-Normal27"/>
              <w:spacing w:before="60" w:after="60" w:line="240" w:lineRule="auto"/>
              <w:rPr>
                <w:lang w:val="en-GB"/>
              </w:rPr>
            </w:pPr>
            <w:r w:rsidRPr="00305E0F">
              <w:rPr>
                <w:lang w:val="en-GB"/>
              </w:rPr>
              <w:t>The project can meet its financial obligations under normal stressed economic or sectoral conditions. The project is only likely to default under severe economic conditions.</w:t>
            </w:r>
          </w:p>
        </w:tc>
        <w:tc>
          <w:tcPr>
            <w:tcW w:w="0" w:type="auto"/>
            <w:tcBorders>
              <w:top w:val="single" w:sz="6" w:space="0" w:color="000000"/>
              <w:left w:val="single" w:sz="6" w:space="0" w:color="000000"/>
              <w:bottom w:val="single" w:sz="6" w:space="0" w:color="000000"/>
              <w:right w:val="single" w:sz="6" w:space="0" w:color="000000"/>
            </w:tcBorders>
            <w:hideMark/>
          </w:tcPr>
          <w:p w14:paraId="0AF1C17C" w14:textId="4FE77539" w:rsidR="001F35A7" w:rsidRPr="00305E0F" w:rsidRDefault="001F35A7" w:rsidP="001F35A7">
            <w:pPr>
              <w:pStyle w:val="P68B1DB1-Normal27"/>
              <w:spacing w:before="60" w:after="60" w:line="240" w:lineRule="auto"/>
              <w:rPr>
                <w:lang w:val="en-GB"/>
              </w:rPr>
            </w:pPr>
            <w:r w:rsidRPr="00305E0F">
              <w:rPr>
                <w:lang w:val="en-GB"/>
              </w:rPr>
              <w:t>The project is vulnerable to stresses that are not uncommon through an economic cycle, and may default in an economic downturn.</w:t>
            </w:r>
          </w:p>
        </w:tc>
        <w:tc>
          <w:tcPr>
            <w:tcW w:w="0" w:type="auto"/>
            <w:tcBorders>
              <w:top w:val="single" w:sz="6" w:space="0" w:color="000000"/>
              <w:left w:val="single" w:sz="6" w:space="0" w:color="000000"/>
              <w:bottom w:val="single" w:sz="6" w:space="0" w:color="000000"/>
              <w:right w:val="single" w:sz="6" w:space="0" w:color="000000"/>
            </w:tcBorders>
            <w:hideMark/>
          </w:tcPr>
          <w:p w14:paraId="77987388" w14:textId="06BE6A57" w:rsidR="001F35A7" w:rsidRPr="00305E0F" w:rsidRDefault="001F35A7" w:rsidP="001F35A7">
            <w:pPr>
              <w:pStyle w:val="P68B1DB1-Normal27"/>
              <w:spacing w:before="60" w:after="60" w:line="240" w:lineRule="auto"/>
              <w:rPr>
                <w:lang w:val="en-GB"/>
              </w:rPr>
            </w:pPr>
            <w:r w:rsidRPr="00305E0F">
              <w:rPr>
                <w:lang w:val="en-GB"/>
              </w:rPr>
              <w:t>The project is likely to default unless conditions improve soon.</w:t>
            </w:r>
          </w:p>
        </w:tc>
      </w:tr>
      <w:tr w:rsidR="00305E0F" w:rsidRPr="00305E0F" w14:paraId="623E5AF2"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5E1BD6FD" w14:textId="77777777">
              <w:tc>
                <w:tcPr>
                  <w:tcW w:w="0" w:type="auto"/>
                  <w:hideMark/>
                </w:tcPr>
                <w:p w14:paraId="29D98AB7" w14:textId="30BF6A76" w:rsidR="00EB0050" w:rsidRPr="00305E0F" w:rsidRDefault="00B02122">
                  <w:pPr>
                    <w:pStyle w:val="P68B1DB1-Normal5"/>
                    <w:spacing w:before="120" w:after="0" w:line="240" w:lineRule="auto"/>
                    <w:rPr>
                      <w:lang w:val="en-GB"/>
                    </w:rPr>
                  </w:pPr>
                  <w:r w:rsidRPr="00305E0F">
                    <w:rPr>
                      <w:lang w:val="en-GB"/>
                    </w:rPr>
                    <w:t>4.</w:t>
                  </w:r>
                </w:p>
              </w:tc>
              <w:tc>
                <w:tcPr>
                  <w:tcW w:w="0" w:type="auto"/>
                  <w:hideMark/>
                </w:tcPr>
                <w:p w14:paraId="19AB5D02" w14:textId="77777777" w:rsidR="00EB0050" w:rsidRPr="00305E0F" w:rsidRDefault="00B02122">
                  <w:pPr>
                    <w:pStyle w:val="P68B1DB1-Normal5"/>
                    <w:spacing w:before="120" w:after="0" w:line="240" w:lineRule="auto"/>
                    <w:rPr>
                      <w:lang w:val="en-GB"/>
                    </w:rPr>
                  </w:pPr>
                  <w:r w:rsidRPr="00305E0F">
                    <w:rPr>
                      <w:lang w:val="en-GB"/>
                    </w:rPr>
                    <w:t>Sub-factor: financial structure</w:t>
                  </w:r>
                </w:p>
              </w:tc>
            </w:tr>
          </w:tbl>
          <w:p w14:paraId="6D1389C4" w14:textId="77777777" w:rsidR="00EB0050" w:rsidRPr="00305E0F" w:rsidRDefault="00EB00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21990696"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69E6F01"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71529EC"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51F5EAD2"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6B51DE4C"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02"/>
            </w:tblGrid>
            <w:tr w:rsidR="00305E0F" w:rsidRPr="00305E0F" w14:paraId="7B01EF6E" w14:textId="77777777">
              <w:tc>
                <w:tcPr>
                  <w:tcW w:w="0" w:type="auto"/>
                  <w:hideMark/>
                </w:tcPr>
                <w:p w14:paraId="075C4CFB" w14:textId="4BEC6FF2" w:rsidR="001F35A7" w:rsidRPr="00305E0F" w:rsidRDefault="001F35A7" w:rsidP="001F35A7">
                  <w:pPr>
                    <w:pStyle w:val="oj-normal"/>
                    <w:spacing w:before="120" w:beforeAutospacing="0" w:after="0" w:afterAutospacing="0" w:line="312" w:lineRule="atLeast"/>
                    <w:jc w:val="both"/>
                    <w:rPr>
                      <w:lang w:val="en-GB"/>
                    </w:rPr>
                  </w:pPr>
                  <w:r w:rsidRPr="00305E0F">
                    <w:rPr>
                      <w:lang w:val="en-GB"/>
                    </w:rPr>
                    <w:t>4.1.Amortisation schedule (sub-factor component)</w:t>
                  </w:r>
                </w:p>
              </w:tc>
            </w:tr>
          </w:tbl>
          <w:p w14:paraId="70DCD337" w14:textId="77777777" w:rsidR="001F35A7" w:rsidRPr="00305E0F" w:rsidRDefault="001F35A7" w:rsidP="001F35A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29FDC0B" w14:textId="25547099" w:rsidR="001F35A7" w:rsidRPr="00305E0F" w:rsidRDefault="001F35A7" w:rsidP="001F35A7">
            <w:pPr>
              <w:pStyle w:val="P68B1DB1-Normal27"/>
              <w:spacing w:before="60" w:after="60" w:line="240" w:lineRule="auto"/>
              <w:rPr>
                <w:lang w:val="en-GB"/>
              </w:rPr>
            </w:pPr>
            <w:r w:rsidRPr="00305E0F">
              <w:rPr>
                <w:lang w:val="en-GB"/>
              </w:rPr>
              <w:t>Amortising debt without bullet repayment</w:t>
            </w:r>
          </w:p>
        </w:tc>
        <w:tc>
          <w:tcPr>
            <w:tcW w:w="0" w:type="auto"/>
            <w:tcBorders>
              <w:top w:val="single" w:sz="6" w:space="0" w:color="000000"/>
              <w:left w:val="single" w:sz="6" w:space="0" w:color="000000"/>
              <w:bottom w:val="single" w:sz="6" w:space="0" w:color="000000"/>
              <w:right w:val="single" w:sz="6" w:space="0" w:color="000000"/>
            </w:tcBorders>
            <w:hideMark/>
          </w:tcPr>
          <w:p w14:paraId="29C97487" w14:textId="78440E36" w:rsidR="001F35A7" w:rsidRPr="00305E0F" w:rsidRDefault="001F35A7" w:rsidP="001F35A7">
            <w:pPr>
              <w:pStyle w:val="P68B1DB1-Normal27"/>
              <w:spacing w:before="60" w:after="60" w:line="240" w:lineRule="auto"/>
              <w:rPr>
                <w:lang w:val="en-GB"/>
              </w:rPr>
            </w:pPr>
            <w:r w:rsidRPr="00305E0F">
              <w:rPr>
                <w:lang w:val="en-GB"/>
              </w:rPr>
              <w:t>Amortising debt with no or insignificant bullet repayment</w:t>
            </w:r>
          </w:p>
        </w:tc>
        <w:tc>
          <w:tcPr>
            <w:tcW w:w="0" w:type="auto"/>
            <w:tcBorders>
              <w:top w:val="single" w:sz="6" w:space="0" w:color="000000"/>
              <w:left w:val="single" w:sz="6" w:space="0" w:color="000000"/>
              <w:bottom w:val="single" w:sz="6" w:space="0" w:color="000000"/>
              <w:right w:val="single" w:sz="6" w:space="0" w:color="000000"/>
            </w:tcBorders>
            <w:hideMark/>
          </w:tcPr>
          <w:p w14:paraId="3088336A" w14:textId="2FBA11D6" w:rsidR="001F35A7" w:rsidRPr="00305E0F" w:rsidRDefault="001F35A7" w:rsidP="001F35A7">
            <w:pPr>
              <w:pStyle w:val="P68B1DB1-Normal27"/>
              <w:spacing w:before="60" w:after="60" w:line="240" w:lineRule="auto"/>
              <w:rPr>
                <w:lang w:val="en-GB"/>
              </w:rPr>
            </w:pPr>
            <w:r w:rsidRPr="00305E0F">
              <w:rPr>
                <w:lang w:val="en-GB"/>
              </w:rPr>
              <w:t>Amortising debt repayments with limited bullet payment</w:t>
            </w:r>
          </w:p>
        </w:tc>
        <w:tc>
          <w:tcPr>
            <w:tcW w:w="0" w:type="auto"/>
            <w:tcBorders>
              <w:top w:val="single" w:sz="6" w:space="0" w:color="000000"/>
              <w:left w:val="single" w:sz="6" w:space="0" w:color="000000"/>
              <w:bottom w:val="single" w:sz="6" w:space="0" w:color="000000"/>
              <w:right w:val="single" w:sz="6" w:space="0" w:color="000000"/>
            </w:tcBorders>
            <w:hideMark/>
          </w:tcPr>
          <w:p w14:paraId="74293136" w14:textId="28322963" w:rsidR="001F35A7" w:rsidRPr="00305E0F" w:rsidRDefault="001F35A7" w:rsidP="001F35A7">
            <w:pPr>
              <w:pStyle w:val="P68B1DB1-Normal27"/>
              <w:spacing w:before="60" w:after="60" w:line="240" w:lineRule="auto"/>
              <w:rPr>
                <w:lang w:val="en-GB"/>
              </w:rPr>
            </w:pPr>
            <w:r w:rsidRPr="00305E0F">
              <w:rPr>
                <w:lang w:val="en-GB"/>
              </w:rPr>
              <w:t>Bullet repayment or amortising debt repayments with high bullet repayment</w:t>
            </w:r>
          </w:p>
        </w:tc>
      </w:tr>
      <w:tr w:rsidR="00305E0F" w:rsidRPr="00305E0F" w14:paraId="516DB3D5"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3BB461EF" w14:textId="77777777">
              <w:tc>
                <w:tcPr>
                  <w:tcW w:w="0" w:type="auto"/>
                  <w:hideMark/>
                </w:tcPr>
                <w:p w14:paraId="3ECA0936" w14:textId="61048B49" w:rsidR="00A267F5" w:rsidRPr="00305E0F" w:rsidRDefault="00A267F5" w:rsidP="00A267F5">
                  <w:pPr>
                    <w:spacing w:before="120" w:after="0" w:line="240" w:lineRule="auto"/>
                    <w:rPr>
                      <w:rFonts w:ascii="Times New Roman" w:eastAsia="Times New Roman" w:hAnsi="Times New Roman" w:cs="Times New Roman"/>
                      <w:sz w:val="24"/>
                      <w:szCs w:val="24"/>
                      <w:lang w:val="en-GB"/>
                    </w:rPr>
                  </w:pPr>
                </w:p>
              </w:tc>
              <w:tc>
                <w:tcPr>
                  <w:tcW w:w="0" w:type="auto"/>
                  <w:hideMark/>
                </w:tcPr>
                <w:p w14:paraId="67D04357" w14:textId="6358F7BB" w:rsidR="00A267F5" w:rsidRPr="00305E0F" w:rsidRDefault="00A267F5" w:rsidP="00A267F5">
                  <w:pPr>
                    <w:pStyle w:val="P68B1DB1-Normal5"/>
                    <w:spacing w:before="120" w:after="0" w:line="240" w:lineRule="auto"/>
                    <w:rPr>
                      <w:lang w:val="en-GB"/>
                    </w:rPr>
                  </w:pPr>
                  <w:r w:rsidRPr="00305E0F">
                    <w:rPr>
                      <w:lang w:val="en-GB"/>
                    </w:rPr>
                    <w:t>4.2.</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Market/cycle and refinancing risk (sub-factor component)</w:t>
                  </w:r>
                </w:p>
              </w:tc>
            </w:tr>
          </w:tbl>
          <w:p w14:paraId="121DD4EF" w14:textId="77777777" w:rsidR="00A267F5" w:rsidRPr="00305E0F" w:rsidRDefault="00A267F5" w:rsidP="00A267F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1861CEB9" w14:textId="77777777" w:rsidR="00A267F5" w:rsidRPr="00305E0F" w:rsidRDefault="00A267F5" w:rsidP="00A267F5">
            <w:pPr>
              <w:pStyle w:val="oj-tbl-txt"/>
              <w:spacing w:before="60" w:beforeAutospacing="0" w:after="60" w:afterAutospacing="0" w:line="312" w:lineRule="atLeast"/>
              <w:rPr>
                <w:lang w:val="en-GB"/>
              </w:rPr>
            </w:pPr>
            <w:r w:rsidRPr="00305E0F">
              <w:rPr>
                <w:lang w:val="en-GB"/>
              </w:rPr>
              <w:t>There is no or very limited exposure to market or cycle risk since the expected cashflows cover all future loan repayments during the tenor of the loan and there are no significant delays between the cashflows and the loan repayments.</w:t>
            </w:r>
          </w:p>
          <w:p w14:paraId="1C6A8AB0" w14:textId="7B4445E7" w:rsidR="00A267F5" w:rsidRPr="00305E0F" w:rsidRDefault="00A267F5" w:rsidP="00A267F5">
            <w:pPr>
              <w:pStyle w:val="P68B1DB1-Normal27"/>
              <w:spacing w:before="60" w:after="60" w:line="240" w:lineRule="auto"/>
              <w:rPr>
                <w:lang w:val="en-GB"/>
              </w:rPr>
            </w:pPr>
            <w:r w:rsidRPr="00305E0F">
              <w:rPr>
                <w:lang w:val="en-GB"/>
              </w:rPr>
              <w:t>There is no or very low refinancing risk.</w:t>
            </w:r>
          </w:p>
        </w:tc>
        <w:tc>
          <w:tcPr>
            <w:tcW w:w="0" w:type="auto"/>
            <w:tcBorders>
              <w:top w:val="single" w:sz="6" w:space="0" w:color="000000"/>
              <w:left w:val="single" w:sz="6" w:space="0" w:color="000000"/>
              <w:bottom w:val="single" w:sz="6" w:space="0" w:color="000000"/>
              <w:right w:val="single" w:sz="6" w:space="0" w:color="000000"/>
            </w:tcBorders>
            <w:hideMark/>
          </w:tcPr>
          <w:p w14:paraId="350CE4A7" w14:textId="77777777" w:rsidR="00A267F5" w:rsidRPr="00305E0F" w:rsidRDefault="00A267F5" w:rsidP="00A267F5">
            <w:pPr>
              <w:pStyle w:val="oj-tbl-txt"/>
              <w:spacing w:before="60" w:beforeAutospacing="0" w:after="60" w:afterAutospacing="0" w:line="312" w:lineRule="atLeast"/>
              <w:rPr>
                <w:lang w:val="en-GB"/>
              </w:rPr>
            </w:pPr>
            <w:r w:rsidRPr="00305E0F">
              <w:rPr>
                <w:lang w:val="en-GB"/>
              </w:rPr>
              <w:t>The exposure to market or cycle risk is limited since the expected cashflows cover the majority of future loan repayments during the tenor of the loan and there are no significant delays between the cashflows and the loan repayments.</w:t>
            </w:r>
          </w:p>
          <w:p w14:paraId="3421843D" w14:textId="4AAC999B" w:rsidR="00A267F5" w:rsidRPr="00305E0F" w:rsidRDefault="00A267F5" w:rsidP="00A267F5">
            <w:pPr>
              <w:pStyle w:val="P68B1DB1-Normal27"/>
              <w:spacing w:before="60" w:after="60" w:line="240" w:lineRule="auto"/>
              <w:rPr>
                <w:lang w:val="en-GB"/>
              </w:rPr>
            </w:pPr>
            <w:r w:rsidRPr="00305E0F">
              <w:rPr>
                <w:lang w:val="en-GB"/>
              </w:rPr>
              <w:t>There is low refinancing risk.</w:t>
            </w:r>
          </w:p>
        </w:tc>
        <w:tc>
          <w:tcPr>
            <w:tcW w:w="0" w:type="auto"/>
            <w:tcBorders>
              <w:top w:val="single" w:sz="6" w:space="0" w:color="000000"/>
              <w:left w:val="single" w:sz="6" w:space="0" w:color="000000"/>
              <w:bottom w:val="single" w:sz="6" w:space="0" w:color="000000"/>
              <w:right w:val="single" w:sz="6" w:space="0" w:color="000000"/>
            </w:tcBorders>
            <w:hideMark/>
          </w:tcPr>
          <w:p w14:paraId="0AF1C233" w14:textId="77777777" w:rsidR="00A267F5" w:rsidRPr="00305E0F" w:rsidRDefault="00A267F5" w:rsidP="00A267F5">
            <w:pPr>
              <w:pStyle w:val="oj-tbl-txt"/>
              <w:spacing w:before="60" w:beforeAutospacing="0" w:after="60" w:afterAutospacing="0" w:line="312" w:lineRule="atLeast"/>
              <w:rPr>
                <w:lang w:val="en-GB"/>
              </w:rPr>
            </w:pPr>
            <w:r w:rsidRPr="00305E0F">
              <w:rPr>
                <w:lang w:val="en-GB"/>
              </w:rPr>
              <w:t>There is moderate exposure to market or cycle risk since the expected cashflows cover only a part of future loan repayments during the tenor of the loan or there are some significant delays between the cashflows and the loan repayments.</w:t>
            </w:r>
          </w:p>
          <w:p w14:paraId="5E07213B" w14:textId="77B3D958" w:rsidR="00A267F5" w:rsidRPr="00305E0F" w:rsidRDefault="00A267F5" w:rsidP="00A267F5">
            <w:pPr>
              <w:pStyle w:val="P68B1DB1-Normal27"/>
              <w:spacing w:before="60" w:after="60" w:line="240" w:lineRule="auto"/>
              <w:rPr>
                <w:lang w:val="en-GB"/>
              </w:rPr>
            </w:pPr>
            <w:r w:rsidRPr="00305E0F">
              <w:rPr>
                <w:lang w:val="en-GB"/>
              </w:rPr>
              <w:t>Average refinancing risk.</w:t>
            </w:r>
          </w:p>
        </w:tc>
        <w:tc>
          <w:tcPr>
            <w:tcW w:w="0" w:type="auto"/>
            <w:tcBorders>
              <w:top w:val="single" w:sz="6" w:space="0" w:color="000000"/>
              <w:left w:val="single" w:sz="6" w:space="0" w:color="000000"/>
              <w:bottom w:val="single" w:sz="6" w:space="0" w:color="000000"/>
              <w:right w:val="single" w:sz="6" w:space="0" w:color="000000"/>
            </w:tcBorders>
            <w:hideMark/>
          </w:tcPr>
          <w:p w14:paraId="7EC2B5F1" w14:textId="77777777" w:rsidR="00A267F5" w:rsidRPr="00305E0F" w:rsidRDefault="00A267F5" w:rsidP="00A267F5">
            <w:pPr>
              <w:pStyle w:val="oj-tbl-txt"/>
              <w:spacing w:before="60" w:beforeAutospacing="0" w:after="60" w:afterAutospacing="0" w:line="312" w:lineRule="atLeast"/>
              <w:rPr>
                <w:lang w:val="en-GB"/>
              </w:rPr>
            </w:pPr>
            <w:r w:rsidRPr="00305E0F">
              <w:rPr>
                <w:lang w:val="en-GB"/>
              </w:rPr>
              <w:t>There is significant exposure to market or cycle risk since the expected cashflows cover only a small part of future loan repayments during the tenor of the loan or there are some significant delays between the cashflows and the loan repayments.</w:t>
            </w:r>
          </w:p>
          <w:p w14:paraId="63B27CE1" w14:textId="0ECAD17E" w:rsidR="00A267F5" w:rsidRPr="00305E0F" w:rsidRDefault="00A267F5" w:rsidP="00A267F5">
            <w:pPr>
              <w:pStyle w:val="P68B1DB1-Normal27"/>
              <w:spacing w:before="60" w:after="60" w:line="240" w:lineRule="auto"/>
              <w:rPr>
                <w:lang w:val="en-GB"/>
              </w:rPr>
            </w:pPr>
            <w:r w:rsidRPr="00305E0F">
              <w:rPr>
                <w:lang w:val="en-GB"/>
              </w:rPr>
              <w:t>High refinancing risk.</w:t>
            </w:r>
          </w:p>
        </w:tc>
      </w:tr>
      <w:tr w:rsidR="00305E0F" w:rsidRPr="00305E0F" w14:paraId="7EB9DF98"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34F1FBDD" w14:textId="77777777">
              <w:tc>
                <w:tcPr>
                  <w:tcW w:w="0" w:type="auto"/>
                  <w:hideMark/>
                </w:tcPr>
                <w:p w14:paraId="7898C206" w14:textId="4F53DC5E" w:rsidR="00A267F5" w:rsidRPr="00305E0F" w:rsidRDefault="00A267F5" w:rsidP="00A267F5">
                  <w:pPr>
                    <w:pStyle w:val="P68B1DB1-Normal5"/>
                    <w:spacing w:before="120" w:after="0" w:line="240" w:lineRule="auto"/>
                    <w:rPr>
                      <w:lang w:val="en-GB"/>
                    </w:rPr>
                  </w:pPr>
                  <w:r w:rsidRPr="00305E0F">
                    <w:rPr>
                      <w:lang w:val="en-GB"/>
                    </w:rPr>
                    <w:t>5.</w:t>
                  </w:r>
                </w:p>
              </w:tc>
              <w:tc>
                <w:tcPr>
                  <w:tcW w:w="0" w:type="auto"/>
                  <w:hideMark/>
                </w:tcPr>
                <w:p w14:paraId="1758639B" w14:textId="77777777" w:rsidR="00A267F5" w:rsidRPr="00305E0F" w:rsidRDefault="00A267F5" w:rsidP="00A267F5">
                  <w:pPr>
                    <w:pStyle w:val="P68B1DB1-Normal5"/>
                    <w:spacing w:before="120" w:after="0" w:line="240" w:lineRule="auto"/>
                    <w:rPr>
                      <w:lang w:val="en-GB"/>
                    </w:rPr>
                  </w:pPr>
                  <w:r w:rsidRPr="00305E0F">
                    <w:rPr>
                      <w:lang w:val="en-GB"/>
                    </w:rPr>
                    <w:t>Sub-factor: foreign exchange risk</w:t>
                  </w:r>
                </w:p>
              </w:tc>
            </w:tr>
          </w:tbl>
          <w:p w14:paraId="42581CDC" w14:textId="77777777" w:rsidR="00A267F5" w:rsidRPr="00305E0F" w:rsidRDefault="00A267F5" w:rsidP="00A267F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4957FA04" w14:textId="45DC1C8A" w:rsidR="00A267F5" w:rsidRPr="00305E0F" w:rsidRDefault="00A267F5" w:rsidP="00A267F5">
            <w:pPr>
              <w:pStyle w:val="P68B1DB1-Normal27"/>
              <w:spacing w:before="60" w:after="60" w:line="240" w:lineRule="auto"/>
              <w:rPr>
                <w:lang w:val="en-GB"/>
              </w:rPr>
            </w:pPr>
            <w:r w:rsidRPr="00305E0F">
              <w:rPr>
                <w:lang w:val="en-GB"/>
              </w:rPr>
              <w:t>There is no foreign exchange risk because there is no difference in the currency of the loan and the income of the project or because the foreign exchange risk is fully hedged.</w:t>
            </w:r>
          </w:p>
        </w:tc>
        <w:tc>
          <w:tcPr>
            <w:tcW w:w="0" w:type="auto"/>
            <w:tcBorders>
              <w:top w:val="single" w:sz="6" w:space="0" w:color="000000"/>
              <w:left w:val="single" w:sz="6" w:space="0" w:color="000000"/>
              <w:bottom w:val="single" w:sz="6" w:space="0" w:color="000000"/>
              <w:right w:val="single" w:sz="6" w:space="0" w:color="000000"/>
            </w:tcBorders>
            <w:hideMark/>
          </w:tcPr>
          <w:p w14:paraId="4F1F39FA" w14:textId="2F04E7D6" w:rsidR="00A267F5" w:rsidRPr="00305E0F" w:rsidRDefault="00A267F5" w:rsidP="00A267F5">
            <w:pPr>
              <w:pStyle w:val="P68B1DB1-Normal27"/>
              <w:spacing w:before="60" w:after="60" w:line="240" w:lineRule="auto"/>
              <w:rPr>
                <w:lang w:val="en-GB"/>
              </w:rPr>
            </w:pPr>
            <w:r w:rsidRPr="00305E0F">
              <w:rPr>
                <w:lang w:val="en-GB"/>
              </w:rPr>
              <w:t>There is no foreign exchange risk because there is no difference in the currency of the loan and the income of the project or because the foreign exchange risk is fully hedged.</w:t>
            </w:r>
          </w:p>
        </w:tc>
        <w:tc>
          <w:tcPr>
            <w:tcW w:w="0" w:type="auto"/>
            <w:tcBorders>
              <w:top w:val="single" w:sz="6" w:space="0" w:color="000000"/>
              <w:left w:val="single" w:sz="6" w:space="0" w:color="000000"/>
              <w:bottom w:val="single" w:sz="6" w:space="0" w:color="000000"/>
              <w:right w:val="single" w:sz="6" w:space="0" w:color="000000"/>
            </w:tcBorders>
            <w:hideMark/>
          </w:tcPr>
          <w:p w14:paraId="7C001371" w14:textId="073C697F" w:rsidR="00A267F5" w:rsidRPr="00305E0F" w:rsidRDefault="00A267F5" w:rsidP="00A267F5">
            <w:pPr>
              <w:pStyle w:val="P68B1DB1-Normal27"/>
              <w:spacing w:before="60" w:after="60" w:line="240" w:lineRule="auto"/>
              <w:rPr>
                <w:lang w:val="en-GB"/>
              </w:rPr>
            </w:pPr>
            <w:r w:rsidRPr="00305E0F">
              <w:rPr>
                <w:lang w:val="en-GB"/>
              </w:rPr>
              <w:t>There is a difference in the currency of the loan and the income of the project, but the foreign exchange risk is considered low because the exchange rate is stable or because the foreign exchange risk is hedged to a large extent.</w:t>
            </w:r>
          </w:p>
        </w:tc>
        <w:tc>
          <w:tcPr>
            <w:tcW w:w="0" w:type="auto"/>
            <w:tcBorders>
              <w:top w:val="single" w:sz="6" w:space="0" w:color="000000"/>
              <w:left w:val="single" w:sz="6" w:space="0" w:color="000000"/>
              <w:bottom w:val="single" w:sz="6" w:space="0" w:color="000000"/>
              <w:right w:val="single" w:sz="6" w:space="0" w:color="000000"/>
            </w:tcBorders>
            <w:hideMark/>
          </w:tcPr>
          <w:p w14:paraId="29F6DE46" w14:textId="48BD0B97" w:rsidR="00A267F5" w:rsidRPr="00305E0F" w:rsidRDefault="00A267F5" w:rsidP="00A267F5">
            <w:pPr>
              <w:pStyle w:val="P68B1DB1-Normal27"/>
              <w:spacing w:before="60" w:after="60" w:line="240" w:lineRule="auto"/>
              <w:rPr>
                <w:lang w:val="en-GB"/>
              </w:rPr>
            </w:pPr>
            <w:r w:rsidRPr="00305E0F">
              <w:rPr>
                <w:lang w:val="en-GB"/>
              </w:rPr>
              <w:t>There is a difference in the currency of the loan and the income of the project, and the foreign exchange risk is considered high because the exchange rate is volatile and the foreign exchange risk is not hedged to a large extent.</w:t>
            </w:r>
          </w:p>
        </w:tc>
      </w:tr>
      <w:tr w:rsidR="00305E0F" w:rsidRPr="00305E0F" w14:paraId="63C9256D" w14:textId="77777777">
        <w:tc>
          <w:tcPr>
            <w:tcW w:w="0" w:type="auto"/>
            <w:tcBorders>
              <w:top w:val="single" w:sz="6" w:space="0" w:color="000000"/>
              <w:left w:val="single" w:sz="6" w:space="0" w:color="000000"/>
              <w:bottom w:val="single" w:sz="6" w:space="0" w:color="000000"/>
              <w:right w:val="single" w:sz="6" w:space="0" w:color="000000"/>
            </w:tcBorders>
            <w:hideMark/>
          </w:tcPr>
          <w:p w14:paraId="3BC3C4F4" w14:textId="77777777" w:rsidR="00EB0050" w:rsidRPr="00305E0F" w:rsidRDefault="00B02122">
            <w:pPr>
              <w:pStyle w:val="P68B1DB1-Normal26"/>
              <w:spacing w:before="60" w:after="60" w:line="240" w:lineRule="auto"/>
              <w:rPr>
                <w:lang w:val="en-GB"/>
              </w:rPr>
            </w:pPr>
            <w:r w:rsidRPr="00305E0F">
              <w:rPr>
                <w:lang w:val="en-GB"/>
              </w:rPr>
              <w:t>Factor: political and legal environment</w:t>
            </w:r>
          </w:p>
        </w:tc>
        <w:tc>
          <w:tcPr>
            <w:tcW w:w="0" w:type="auto"/>
            <w:tcBorders>
              <w:top w:val="single" w:sz="6" w:space="0" w:color="000000"/>
              <w:left w:val="single" w:sz="6" w:space="0" w:color="000000"/>
              <w:bottom w:val="single" w:sz="6" w:space="0" w:color="000000"/>
              <w:right w:val="single" w:sz="6" w:space="0" w:color="000000"/>
            </w:tcBorders>
            <w:hideMark/>
          </w:tcPr>
          <w:p w14:paraId="60678C7F"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F85C564"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49F284B0"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7D93B69"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7C208DC6"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54C6DC52" w14:textId="77777777">
              <w:tc>
                <w:tcPr>
                  <w:tcW w:w="0" w:type="auto"/>
                  <w:hideMark/>
                </w:tcPr>
                <w:p w14:paraId="36ADB139" w14:textId="267A4C2F" w:rsidR="00A267F5" w:rsidRPr="00305E0F" w:rsidRDefault="00A267F5" w:rsidP="00A267F5">
                  <w:pPr>
                    <w:pStyle w:val="P68B1DB1-Normal5"/>
                    <w:spacing w:before="120" w:after="0" w:line="240" w:lineRule="auto"/>
                    <w:rPr>
                      <w:lang w:val="en-GB"/>
                    </w:rPr>
                  </w:pPr>
                  <w:r w:rsidRPr="00305E0F">
                    <w:rPr>
                      <w:lang w:val="en-GB"/>
                    </w:rPr>
                    <w:t>1.</w:t>
                  </w:r>
                </w:p>
              </w:tc>
              <w:tc>
                <w:tcPr>
                  <w:tcW w:w="0" w:type="auto"/>
                  <w:hideMark/>
                </w:tcPr>
                <w:p w14:paraId="40749D64" w14:textId="54BDA95F" w:rsidR="00A267F5" w:rsidRPr="00305E0F" w:rsidRDefault="00A267F5" w:rsidP="00A267F5">
                  <w:pPr>
                    <w:pStyle w:val="P68B1DB1-Normal5"/>
                    <w:spacing w:before="120" w:after="0" w:line="240" w:lineRule="auto"/>
                    <w:rPr>
                      <w:lang w:val="en-GB"/>
                    </w:rPr>
                  </w:pPr>
                  <w:r w:rsidRPr="00305E0F">
                    <w:rPr>
                      <w:lang w:val="en-GB"/>
                    </w:rPr>
                    <w:t>Sub-factor: political risk, including transfer risk, considering project type and mitigants</w:t>
                  </w:r>
                </w:p>
              </w:tc>
            </w:tr>
          </w:tbl>
          <w:p w14:paraId="6BFF0B34" w14:textId="77777777" w:rsidR="00A267F5" w:rsidRPr="00305E0F" w:rsidRDefault="00A267F5" w:rsidP="00A267F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25DCCCB" w14:textId="0D52D863" w:rsidR="00A267F5" w:rsidRPr="00305E0F" w:rsidRDefault="00A267F5" w:rsidP="00A267F5">
            <w:pPr>
              <w:pStyle w:val="P68B1DB1-Normal27"/>
              <w:spacing w:before="60" w:after="60" w:line="240" w:lineRule="auto"/>
              <w:rPr>
                <w:lang w:val="en-GB"/>
              </w:rPr>
            </w:pPr>
            <w:r w:rsidRPr="00305E0F">
              <w:rPr>
                <w:lang w:val="en-GB"/>
              </w:rPr>
              <w:t>Very low exposure; strong mitigation instruments, if needed</w:t>
            </w:r>
          </w:p>
        </w:tc>
        <w:tc>
          <w:tcPr>
            <w:tcW w:w="0" w:type="auto"/>
            <w:tcBorders>
              <w:top w:val="single" w:sz="6" w:space="0" w:color="000000"/>
              <w:left w:val="single" w:sz="6" w:space="0" w:color="000000"/>
              <w:bottom w:val="single" w:sz="6" w:space="0" w:color="000000"/>
              <w:right w:val="single" w:sz="6" w:space="0" w:color="000000"/>
            </w:tcBorders>
            <w:hideMark/>
          </w:tcPr>
          <w:p w14:paraId="538647CF" w14:textId="53680D2B" w:rsidR="00A267F5" w:rsidRPr="00305E0F" w:rsidRDefault="00A267F5" w:rsidP="00A267F5">
            <w:pPr>
              <w:pStyle w:val="P68B1DB1-Normal27"/>
              <w:spacing w:before="60" w:after="60" w:line="240" w:lineRule="auto"/>
              <w:rPr>
                <w:lang w:val="en-GB"/>
              </w:rPr>
            </w:pPr>
            <w:r w:rsidRPr="00305E0F">
              <w:rPr>
                <w:lang w:val="en-GB"/>
              </w:rPr>
              <w:t>Low exposure; satisfactory mitigation instruments, if needed</w:t>
            </w:r>
          </w:p>
        </w:tc>
        <w:tc>
          <w:tcPr>
            <w:tcW w:w="0" w:type="auto"/>
            <w:tcBorders>
              <w:top w:val="single" w:sz="6" w:space="0" w:color="000000"/>
              <w:left w:val="single" w:sz="6" w:space="0" w:color="000000"/>
              <w:bottom w:val="single" w:sz="6" w:space="0" w:color="000000"/>
              <w:right w:val="single" w:sz="6" w:space="0" w:color="000000"/>
            </w:tcBorders>
            <w:hideMark/>
          </w:tcPr>
          <w:p w14:paraId="617DB5A7" w14:textId="50ECA4C3" w:rsidR="00A267F5" w:rsidRPr="00305E0F" w:rsidRDefault="00A267F5" w:rsidP="00A267F5">
            <w:pPr>
              <w:pStyle w:val="P68B1DB1-Normal27"/>
              <w:spacing w:before="60" w:after="60" w:line="240" w:lineRule="auto"/>
              <w:rPr>
                <w:lang w:val="en-GB"/>
              </w:rPr>
            </w:pPr>
            <w:r w:rsidRPr="00305E0F">
              <w:rPr>
                <w:lang w:val="en-GB"/>
              </w:rPr>
              <w:t>Moderate exposure; fair mitigation instruments</w:t>
            </w:r>
          </w:p>
        </w:tc>
        <w:tc>
          <w:tcPr>
            <w:tcW w:w="0" w:type="auto"/>
            <w:tcBorders>
              <w:top w:val="single" w:sz="6" w:space="0" w:color="000000"/>
              <w:left w:val="single" w:sz="6" w:space="0" w:color="000000"/>
              <w:bottom w:val="single" w:sz="6" w:space="0" w:color="000000"/>
              <w:right w:val="single" w:sz="6" w:space="0" w:color="000000"/>
            </w:tcBorders>
            <w:hideMark/>
          </w:tcPr>
          <w:p w14:paraId="2EAE9F43" w14:textId="524FBAA4" w:rsidR="00A267F5" w:rsidRPr="00305E0F" w:rsidRDefault="00A267F5" w:rsidP="00A267F5">
            <w:pPr>
              <w:pStyle w:val="P68B1DB1-Normal27"/>
              <w:spacing w:before="60" w:after="60" w:line="240" w:lineRule="auto"/>
              <w:rPr>
                <w:lang w:val="en-GB"/>
              </w:rPr>
            </w:pPr>
            <w:r w:rsidRPr="00305E0F">
              <w:rPr>
                <w:lang w:val="en-GB"/>
              </w:rPr>
              <w:t>High exposure; no or weak mitigation instruments</w:t>
            </w:r>
          </w:p>
        </w:tc>
      </w:tr>
      <w:tr w:rsidR="00305E0F" w:rsidRPr="00305E0F" w14:paraId="41EDE55A"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5A4B1AA1" w14:textId="77777777">
              <w:tc>
                <w:tcPr>
                  <w:tcW w:w="0" w:type="auto"/>
                  <w:hideMark/>
                </w:tcPr>
                <w:p w14:paraId="07EBED3A" w14:textId="5724367B" w:rsidR="00A267F5" w:rsidRPr="00305E0F" w:rsidRDefault="00A267F5" w:rsidP="00A267F5">
                  <w:pPr>
                    <w:pStyle w:val="P68B1DB1-Normal5"/>
                    <w:spacing w:before="120" w:after="0" w:line="240" w:lineRule="auto"/>
                    <w:rPr>
                      <w:lang w:val="en-GB"/>
                    </w:rPr>
                  </w:pPr>
                  <w:r w:rsidRPr="00305E0F">
                    <w:rPr>
                      <w:lang w:val="en-GB"/>
                    </w:rPr>
                    <w:t>2.</w:t>
                  </w:r>
                </w:p>
              </w:tc>
              <w:tc>
                <w:tcPr>
                  <w:tcW w:w="0" w:type="auto"/>
                  <w:hideMark/>
                </w:tcPr>
                <w:p w14:paraId="00F88D23" w14:textId="4B6232DF" w:rsidR="00A267F5" w:rsidRPr="00305E0F" w:rsidRDefault="00A267F5" w:rsidP="00A267F5">
                  <w:pPr>
                    <w:pStyle w:val="P68B1DB1-Normal5"/>
                    <w:spacing w:before="120" w:after="0" w:line="240" w:lineRule="auto"/>
                    <w:rPr>
                      <w:lang w:val="en-GB"/>
                    </w:rPr>
                  </w:pPr>
                  <w:r w:rsidRPr="00305E0F">
                    <w:rPr>
                      <w:lang w:val="en-GB"/>
                    </w:rPr>
                    <w:t>Sub-factor: force majeure risk (war, civil unrest, etc.)</w:t>
                  </w:r>
                </w:p>
              </w:tc>
            </w:tr>
          </w:tbl>
          <w:p w14:paraId="0E49850F" w14:textId="77777777" w:rsidR="00A267F5" w:rsidRPr="00305E0F" w:rsidRDefault="00A267F5" w:rsidP="00A267F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58244FA" w14:textId="1C8A897C" w:rsidR="00A267F5" w:rsidRPr="00305E0F" w:rsidRDefault="00A267F5" w:rsidP="00A267F5">
            <w:pPr>
              <w:pStyle w:val="P68B1DB1-Normal27"/>
              <w:spacing w:before="60" w:after="60" w:line="240" w:lineRule="auto"/>
              <w:rPr>
                <w:lang w:val="en-GB"/>
              </w:rPr>
            </w:pPr>
            <w:r w:rsidRPr="00305E0F">
              <w:rPr>
                <w:lang w:val="en-GB"/>
              </w:rPr>
              <w:t>No or very low exposure to </w:t>
            </w:r>
            <w:r w:rsidRPr="00305E0F">
              <w:rPr>
                <w:rStyle w:val="oj-italic"/>
                <w:lang w:val="en-GB"/>
              </w:rPr>
              <w:t>force majeure</w:t>
            </w:r>
            <w:r w:rsidRPr="00305E0F">
              <w:rPr>
                <w:lang w:val="en-GB"/>
              </w:rPr>
              <w:t> risk’</w:t>
            </w:r>
          </w:p>
        </w:tc>
        <w:tc>
          <w:tcPr>
            <w:tcW w:w="0" w:type="auto"/>
            <w:tcBorders>
              <w:top w:val="single" w:sz="6" w:space="0" w:color="000000"/>
              <w:left w:val="single" w:sz="6" w:space="0" w:color="000000"/>
              <w:bottom w:val="single" w:sz="6" w:space="0" w:color="000000"/>
              <w:right w:val="single" w:sz="6" w:space="0" w:color="000000"/>
            </w:tcBorders>
            <w:hideMark/>
          </w:tcPr>
          <w:p w14:paraId="619CEAF5" w14:textId="046B7913" w:rsidR="00A267F5" w:rsidRPr="00305E0F" w:rsidRDefault="00A267F5" w:rsidP="00A267F5">
            <w:pPr>
              <w:pStyle w:val="P68B1DB1-Normal27"/>
              <w:spacing w:before="60" w:after="60" w:line="240" w:lineRule="auto"/>
              <w:rPr>
                <w:lang w:val="en-GB"/>
              </w:rPr>
            </w:pPr>
            <w:r w:rsidRPr="00305E0F">
              <w:rPr>
                <w:lang w:val="en-GB"/>
              </w:rPr>
              <w:t>Limited exposure to </w:t>
            </w:r>
            <w:r w:rsidRPr="00305E0F">
              <w:rPr>
                <w:rStyle w:val="oj-italic"/>
                <w:lang w:val="en-GB"/>
              </w:rPr>
              <w:t>force majeure</w:t>
            </w:r>
            <w:r w:rsidRPr="00305E0F">
              <w:rPr>
                <w:lang w:val="en-GB"/>
              </w:rPr>
              <w:t> risk</w:t>
            </w:r>
          </w:p>
        </w:tc>
        <w:tc>
          <w:tcPr>
            <w:tcW w:w="0" w:type="auto"/>
            <w:tcBorders>
              <w:top w:val="single" w:sz="6" w:space="0" w:color="000000"/>
              <w:left w:val="single" w:sz="6" w:space="0" w:color="000000"/>
              <w:bottom w:val="single" w:sz="6" w:space="0" w:color="000000"/>
              <w:right w:val="single" w:sz="6" w:space="0" w:color="000000"/>
            </w:tcBorders>
            <w:hideMark/>
          </w:tcPr>
          <w:p w14:paraId="5BEEA56C" w14:textId="5759EB3C" w:rsidR="00A267F5" w:rsidRPr="00305E0F" w:rsidRDefault="00A267F5" w:rsidP="00A267F5">
            <w:pPr>
              <w:pStyle w:val="P68B1DB1-Normal27"/>
              <w:spacing w:before="60" w:after="60" w:line="240" w:lineRule="auto"/>
              <w:rPr>
                <w:lang w:val="en-GB"/>
              </w:rPr>
            </w:pPr>
            <w:r w:rsidRPr="00305E0F">
              <w:rPr>
                <w:lang w:val="en-GB"/>
              </w:rPr>
              <w:t>Significant exposure to </w:t>
            </w:r>
            <w:r w:rsidRPr="00305E0F">
              <w:rPr>
                <w:rStyle w:val="oj-italic"/>
                <w:lang w:val="en-GB"/>
              </w:rPr>
              <w:t>force majeure</w:t>
            </w:r>
            <w:r w:rsidRPr="00305E0F">
              <w:rPr>
                <w:lang w:val="en-GB"/>
              </w:rPr>
              <w:t> risk which is not sufficiently mitigated</w:t>
            </w:r>
          </w:p>
        </w:tc>
        <w:tc>
          <w:tcPr>
            <w:tcW w:w="0" w:type="auto"/>
            <w:tcBorders>
              <w:top w:val="single" w:sz="6" w:space="0" w:color="000000"/>
              <w:left w:val="single" w:sz="6" w:space="0" w:color="000000"/>
              <w:bottom w:val="single" w:sz="6" w:space="0" w:color="000000"/>
              <w:right w:val="single" w:sz="6" w:space="0" w:color="000000"/>
            </w:tcBorders>
            <w:hideMark/>
          </w:tcPr>
          <w:p w14:paraId="6D4D1A11" w14:textId="7FBD3E5D" w:rsidR="00A267F5" w:rsidRPr="00305E0F" w:rsidRDefault="00A267F5" w:rsidP="00A267F5">
            <w:pPr>
              <w:pStyle w:val="P68B1DB1-Normal27"/>
              <w:spacing w:before="60" w:after="60" w:line="240" w:lineRule="auto"/>
              <w:rPr>
                <w:lang w:val="en-GB"/>
              </w:rPr>
            </w:pPr>
            <w:r w:rsidRPr="00305E0F">
              <w:rPr>
                <w:lang w:val="en-GB"/>
              </w:rPr>
              <w:t>Significant exposure to </w:t>
            </w:r>
            <w:r w:rsidRPr="00305E0F">
              <w:rPr>
                <w:rStyle w:val="oj-italic"/>
                <w:lang w:val="en-GB"/>
              </w:rPr>
              <w:t>force majeure</w:t>
            </w:r>
            <w:r w:rsidRPr="00305E0F">
              <w:rPr>
                <w:lang w:val="en-GB"/>
              </w:rPr>
              <w:t> risk which is not mitigated</w:t>
            </w:r>
          </w:p>
        </w:tc>
      </w:tr>
      <w:tr w:rsidR="00305E0F" w:rsidRPr="00305E0F" w14:paraId="4DE04133"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6537C1A9" w14:textId="77777777">
              <w:tc>
                <w:tcPr>
                  <w:tcW w:w="0" w:type="auto"/>
                  <w:hideMark/>
                </w:tcPr>
                <w:p w14:paraId="5E848C2E" w14:textId="2C6808BC" w:rsidR="00A267F5" w:rsidRPr="00305E0F" w:rsidRDefault="00A267F5" w:rsidP="00A267F5">
                  <w:pPr>
                    <w:pStyle w:val="P68B1DB1-Normal5"/>
                    <w:spacing w:before="120" w:after="0" w:line="240" w:lineRule="auto"/>
                    <w:rPr>
                      <w:lang w:val="en-GB"/>
                    </w:rPr>
                  </w:pPr>
                  <w:r w:rsidRPr="00305E0F">
                    <w:rPr>
                      <w:lang w:val="en-GB"/>
                    </w:rPr>
                    <w:t>3.</w:t>
                  </w:r>
                </w:p>
              </w:tc>
              <w:tc>
                <w:tcPr>
                  <w:tcW w:w="0" w:type="auto"/>
                  <w:hideMark/>
                </w:tcPr>
                <w:p w14:paraId="1E029C6D" w14:textId="2B30CCC2" w:rsidR="00A267F5" w:rsidRPr="00305E0F" w:rsidRDefault="00A267F5" w:rsidP="00A267F5">
                  <w:pPr>
                    <w:pStyle w:val="P68B1DB1-Normal5"/>
                    <w:spacing w:before="120" w:after="0" w:line="240" w:lineRule="auto"/>
                    <w:rPr>
                      <w:lang w:val="en-GB"/>
                    </w:rPr>
                  </w:pPr>
                  <w:r w:rsidRPr="00305E0F">
                    <w:rPr>
                      <w:lang w:val="en-GB"/>
                    </w:rPr>
                    <w:t>Sub-factor: government support and project’s importance for the country over the long term</w:t>
                  </w:r>
                </w:p>
              </w:tc>
            </w:tr>
          </w:tbl>
          <w:p w14:paraId="270D55D9" w14:textId="77777777" w:rsidR="00A267F5" w:rsidRPr="00305E0F" w:rsidRDefault="00A267F5" w:rsidP="00A267F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45A33D6C" w14:textId="388079BF" w:rsidR="00A267F5" w:rsidRPr="00305E0F" w:rsidRDefault="00A267F5" w:rsidP="00A267F5">
            <w:pPr>
              <w:pStyle w:val="P68B1DB1-Normal27"/>
              <w:spacing w:before="60" w:after="60" w:line="240" w:lineRule="auto"/>
              <w:rPr>
                <w:lang w:val="en-GB"/>
              </w:rPr>
            </w:pPr>
            <w:r w:rsidRPr="00305E0F">
              <w:rPr>
                <w:lang w:val="en-GB"/>
              </w:rPr>
              <w:t>Project of strategic importance for the country (preferably export-oriented). Strong support from Government.</w:t>
            </w:r>
          </w:p>
        </w:tc>
        <w:tc>
          <w:tcPr>
            <w:tcW w:w="0" w:type="auto"/>
            <w:tcBorders>
              <w:top w:val="single" w:sz="6" w:space="0" w:color="000000"/>
              <w:left w:val="single" w:sz="6" w:space="0" w:color="000000"/>
              <w:bottom w:val="single" w:sz="6" w:space="0" w:color="000000"/>
              <w:right w:val="single" w:sz="6" w:space="0" w:color="000000"/>
            </w:tcBorders>
            <w:hideMark/>
          </w:tcPr>
          <w:p w14:paraId="22783F0A" w14:textId="1E5078BF" w:rsidR="00A267F5" w:rsidRPr="00305E0F" w:rsidRDefault="00A267F5" w:rsidP="00A267F5">
            <w:pPr>
              <w:pStyle w:val="P68B1DB1-Normal27"/>
              <w:spacing w:before="60" w:after="60" w:line="240" w:lineRule="auto"/>
              <w:rPr>
                <w:lang w:val="en-GB"/>
              </w:rPr>
            </w:pPr>
            <w:r w:rsidRPr="00305E0F">
              <w:rPr>
                <w:lang w:val="en-GB"/>
              </w:rPr>
              <w:t>Project considered important for the country. Good level of support from Government.</w:t>
            </w:r>
          </w:p>
        </w:tc>
        <w:tc>
          <w:tcPr>
            <w:tcW w:w="0" w:type="auto"/>
            <w:tcBorders>
              <w:top w:val="single" w:sz="6" w:space="0" w:color="000000"/>
              <w:left w:val="single" w:sz="6" w:space="0" w:color="000000"/>
              <w:bottom w:val="single" w:sz="6" w:space="0" w:color="000000"/>
              <w:right w:val="single" w:sz="6" w:space="0" w:color="000000"/>
            </w:tcBorders>
            <w:hideMark/>
          </w:tcPr>
          <w:p w14:paraId="7A171E33" w14:textId="5911B2BB" w:rsidR="00A267F5" w:rsidRPr="00305E0F" w:rsidRDefault="00A267F5" w:rsidP="00A267F5">
            <w:pPr>
              <w:pStyle w:val="P68B1DB1-Normal27"/>
              <w:spacing w:before="60" w:after="60" w:line="240" w:lineRule="auto"/>
              <w:rPr>
                <w:lang w:val="en-GB"/>
              </w:rPr>
            </w:pPr>
            <w:r w:rsidRPr="00305E0F">
              <w:rPr>
                <w:lang w:val="en-GB"/>
              </w:rPr>
              <w:t>Project may not be strategic but brings unquestionable benefits for the country. Support from Government may not be explicit.</w:t>
            </w:r>
          </w:p>
        </w:tc>
        <w:tc>
          <w:tcPr>
            <w:tcW w:w="0" w:type="auto"/>
            <w:tcBorders>
              <w:top w:val="single" w:sz="6" w:space="0" w:color="000000"/>
              <w:left w:val="single" w:sz="6" w:space="0" w:color="000000"/>
              <w:bottom w:val="single" w:sz="6" w:space="0" w:color="000000"/>
              <w:right w:val="single" w:sz="6" w:space="0" w:color="000000"/>
            </w:tcBorders>
            <w:hideMark/>
          </w:tcPr>
          <w:p w14:paraId="63EE73E0" w14:textId="5B0F98B3" w:rsidR="00A267F5" w:rsidRPr="00305E0F" w:rsidRDefault="00A267F5" w:rsidP="00A267F5">
            <w:pPr>
              <w:pStyle w:val="P68B1DB1-Normal27"/>
              <w:spacing w:before="60" w:after="60" w:line="240" w:lineRule="auto"/>
              <w:rPr>
                <w:lang w:val="en-GB"/>
              </w:rPr>
            </w:pPr>
            <w:r w:rsidRPr="00305E0F">
              <w:rPr>
                <w:lang w:val="en-GB"/>
              </w:rPr>
              <w:t>Project not key to the country. No or weak support from Government.</w:t>
            </w:r>
          </w:p>
        </w:tc>
      </w:tr>
      <w:tr w:rsidR="00305E0F" w:rsidRPr="00305E0F" w14:paraId="66BC579D"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0DBCD73B" w14:textId="77777777">
              <w:tc>
                <w:tcPr>
                  <w:tcW w:w="0" w:type="auto"/>
                  <w:hideMark/>
                </w:tcPr>
                <w:p w14:paraId="2F321FCA" w14:textId="72620188" w:rsidR="00541614" w:rsidRPr="00305E0F" w:rsidRDefault="00541614" w:rsidP="00541614">
                  <w:pPr>
                    <w:pStyle w:val="P68B1DB1-Normal5"/>
                    <w:spacing w:before="120" w:after="0" w:line="240" w:lineRule="auto"/>
                    <w:rPr>
                      <w:lang w:val="en-GB"/>
                    </w:rPr>
                  </w:pPr>
                  <w:r w:rsidRPr="00305E0F">
                    <w:rPr>
                      <w:lang w:val="en-GB"/>
                    </w:rPr>
                    <w:t>4.</w:t>
                  </w:r>
                </w:p>
              </w:tc>
              <w:tc>
                <w:tcPr>
                  <w:tcW w:w="0" w:type="auto"/>
                  <w:hideMark/>
                </w:tcPr>
                <w:p w14:paraId="30FA4F31" w14:textId="02BC6A82" w:rsidR="00541614" w:rsidRPr="00305E0F" w:rsidRDefault="00541614" w:rsidP="00541614">
                  <w:pPr>
                    <w:pStyle w:val="P68B1DB1-Normal5"/>
                    <w:spacing w:before="120" w:after="0" w:line="240" w:lineRule="auto"/>
                    <w:rPr>
                      <w:lang w:val="en-GB"/>
                    </w:rPr>
                  </w:pPr>
                  <w:r w:rsidRPr="00305E0F">
                    <w:rPr>
                      <w:lang w:val="en-GB"/>
                    </w:rPr>
                    <w:t>Sub-factor: stability of legal and regulatory environment (risk of change in the law)</w:t>
                  </w:r>
                </w:p>
              </w:tc>
            </w:tr>
          </w:tbl>
          <w:p w14:paraId="2099B067" w14:textId="77777777" w:rsidR="00541614" w:rsidRPr="00305E0F" w:rsidRDefault="00541614" w:rsidP="00541614">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43111B36" w14:textId="1DF60A60" w:rsidR="00541614" w:rsidRPr="00305E0F" w:rsidRDefault="00541614" w:rsidP="00541614">
            <w:pPr>
              <w:pStyle w:val="P68B1DB1-Normal27"/>
              <w:spacing w:before="60" w:after="60" w:line="240" w:lineRule="auto"/>
              <w:rPr>
                <w:lang w:val="en-GB"/>
              </w:rPr>
            </w:pPr>
            <w:r w:rsidRPr="00305E0F">
              <w:rPr>
                <w:lang w:val="en-GB"/>
              </w:rPr>
              <w:t>Favourable and stable regulatory environment over the long term</w:t>
            </w:r>
          </w:p>
        </w:tc>
        <w:tc>
          <w:tcPr>
            <w:tcW w:w="0" w:type="auto"/>
            <w:tcBorders>
              <w:top w:val="single" w:sz="6" w:space="0" w:color="000000"/>
              <w:left w:val="single" w:sz="6" w:space="0" w:color="000000"/>
              <w:bottom w:val="single" w:sz="6" w:space="0" w:color="000000"/>
              <w:right w:val="single" w:sz="6" w:space="0" w:color="000000"/>
            </w:tcBorders>
            <w:hideMark/>
          </w:tcPr>
          <w:p w14:paraId="024DBE83" w14:textId="1EA4D9C1" w:rsidR="00541614" w:rsidRPr="00305E0F" w:rsidRDefault="00541614" w:rsidP="00541614">
            <w:pPr>
              <w:pStyle w:val="P68B1DB1-Normal27"/>
              <w:spacing w:before="60" w:after="60" w:line="240" w:lineRule="auto"/>
              <w:rPr>
                <w:lang w:val="en-GB"/>
              </w:rPr>
            </w:pPr>
            <w:r w:rsidRPr="00305E0F">
              <w:rPr>
                <w:lang w:val="en-GB"/>
              </w:rPr>
              <w:t>Favourable and stable regulatory environment over the medium term</w:t>
            </w:r>
          </w:p>
        </w:tc>
        <w:tc>
          <w:tcPr>
            <w:tcW w:w="0" w:type="auto"/>
            <w:tcBorders>
              <w:top w:val="single" w:sz="6" w:space="0" w:color="000000"/>
              <w:left w:val="single" w:sz="6" w:space="0" w:color="000000"/>
              <w:bottom w:val="single" w:sz="6" w:space="0" w:color="000000"/>
              <w:right w:val="single" w:sz="6" w:space="0" w:color="000000"/>
            </w:tcBorders>
            <w:hideMark/>
          </w:tcPr>
          <w:p w14:paraId="7B925D89" w14:textId="51155251" w:rsidR="00541614" w:rsidRPr="00305E0F" w:rsidRDefault="00541614" w:rsidP="00541614">
            <w:pPr>
              <w:pStyle w:val="P68B1DB1-Normal27"/>
              <w:spacing w:before="60" w:after="60" w:line="240" w:lineRule="auto"/>
              <w:rPr>
                <w:lang w:val="en-GB"/>
              </w:rPr>
            </w:pPr>
            <w:r w:rsidRPr="00305E0F">
              <w:rPr>
                <w:lang w:val="en-GB"/>
              </w:rPr>
              <w:t>Regulatory changes can be predicted with a fair level of certainty</w:t>
            </w:r>
          </w:p>
        </w:tc>
        <w:tc>
          <w:tcPr>
            <w:tcW w:w="0" w:type="auto"/>
            <w:tcBorders>
              <w:top w:val="single" w:sz="6" w:space="0" w:color="000000"/>
              <w:left w:val="single" w:sz="6" w:space="0" w:color="000000"/>
              <w:bottom w:val="single" w:sz="6" w:space="0" w:color="000000"/>
              <w:right w:val="single" w:sz="6" w:space="0" w:color="000000"/>
            </w:tcBorders>
            <w:hideMark/>
          </w:tcPr>
          <w:p w14:paraId="391B4895" w14:textId="3C6DDF7B" w:rsidR="00541614" w:rsidRPr="00305E0F" w:rsidRDefault="00541614" w:rsidP="00541614">
            <w:pPr>
              <w:pStyle w:val="P68B1DB1-Normal27"/>
              <w:spacing w:before="60" w:after="60" w:line="240" w:lineRule="auto"/>
              <w:rPr>
                <w:lang w:val="en-GB"/>
              </w:rPr>
            </w:pPr>
            <w:r w:rsidRPr="00305E0F">
              <w:rPr>
                <w:lang w:val="en-GB"/>
              </w:rPr>
              <w:t>Current or future regulatory issues may affect the project</w:t>
            </w:r>
          </w:p>
        </w:tc>
      </w:tr>
      <w:tr w:rsidR="00305E0F" w:rsidRPr="00305E0F" w14:paraId="19CBD8D6"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3EFB8DE8" w14:textId="77777777">
              <w:tc>
                <w:tcPr>
                  <w:tcW w:w="0" w:type="auto"/>
                  <w:hideMark/>
                </w:tcPr>
                <w:p w14:paraId="627A19EB" w14:textId="28AC7AE0" w:rsidR="00541614" w:rsidRPr="00305E0F" w:rsidRDefault="00541614" w:rsidP="00541614">
                  <w:pPr>
                    <w:pStyle w:val="P68B1DB1-Normal5"/>
                    <w:spacing w:before="120" w:after="0" w:line="240" w:lineRule="auto"/>
                    <w:rPr>
                      <w:lang w:val="en-GB"/>
                    </w:rPr>
                  </w:pPr>
                  <w:r w:rsidRPr="00305E0F">
                    <w:rPr>
                      <w:lang w:val="en-GB"/>
                    </w:rPr>
                    <w:t>5.</w:t>
                  </w:r>
                </w:p>
              </w:tc>
              <w:tc>
                <w:tcPr>
                  <w:tcW w:w="0" w:type="auto"/>
                  <w:hideMark/>
                </w:tcPr>
                <w:p w14:paraId="01413E31" w14:textId="02E838E6" w:rsidR="00541614" w:rsidRPr="00305E0F" w:rsidRDefault="00541614" w:rsidP="00541614">
                  <w:pPr>
                    <w:pStyle w:val="P68B1DB1-Normal5"/>
                    <w:spacing w:before="120" w:after="0" w:line="240" w:lineRule="auto"/>
                    <w:rPr>
                      <w:lang w:val="en-GB"/>
                    </w:rPr>
                  </w:pPr>
                  <w:r w:rsidRPr="00305E0F">
                    <w:rPr>
                      <w:lang w:val="en-GB"/>
                    </w:rPr>
                    <w:t>Sub-factor: acquisition of all necessary supports and approvals for such relief from local content laws</w:t>
                  </w:r>
                </w:p>
              </w:tc>
            </w:tr>
          </w:tbl>
          <w:p w14:paraId="537FC849" w14:textId="77777777" w:rsidR="00541614" w:rsidRPr="00305E0F" w:rsidRDefault="00541614" w:rsidP="00541614">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8337701" w14:textId="70548A7E" w:rsidR="00541614" w:rsidRPr="00305E0F" w:rsidRDefault="00541614" w:rsidP="00541614">
            <w:pPr>
              <w:pStyle w:val="P68B1DB1-Normal27"/>
              <w:spacing w:before="60" w:after="60" w:line="240" w:lineRule="auto"/>
              <w:rPr>
                <w:lang w:val="en-GB"/>
              </w:rPr>
            </w:pPr>
            <w:r w:rsidRPr="00305E0F">
              <w:rPr>
                <w:lang w:val="en-GB"/>
              </w:rPr>
              <w:t>Strong</w:t>
            </w:r>
          </w:p>
        </w:tc>
        <w:tc>
          <w:tcPr>
            <w:tcW w:w="0" w:type="auto"/>
            <w:tcBorders>
              <w:top w:val="single" w:sz="6" w:space="0" w:color="000000"/>
              <w:left w:val="single" w:sz="6" w:space="0" w:color="000000"/>
              <w:bottom w:val="single" w:sz="6" w:space="0" w:color="000000"/>
              <w:right w:val="single" w:sz="6" w:space="0" w:color="000000"/>
            </w:tcBorders>
            <w:hideMark/>
          </w:tcPr>
          <w:p w14:paraId="19693D14" w14:textId="3F814CD5" w:rsidR="00541614" w:rsidRPr="00305E0F" w:rsidRDefault="00541614" w:rsidP="00541614">
            <w:pPr>
              <w:pStyle w:val="P68B1DB1-Normal27"/>
              <w:spacing w:before="60" w:after="60" w:line="240" w:lineRule="auto"/>
              <w:rPr>
                <w:lang w:val="en-GB"/>
              </w:rPr>
            </w:pPr>
            <w:r w:rsidRPr="00305E0F">
              <w:rPr>
                <w:lang w:val="en-GB"/>
              </w:rPr>
              <w:t>Satisfactory</w:t>
            </w:r>
          </w:p>
        </w:tc>
        <w:tc>
          <w:tcPr>
            <w:tcW w:w="0" w:type="auto"/>
            <w:tcBorders>
              <w:top w:val="single" w:sz="6" w:space="0" w:color="000000"/>
              <w:left w:val="single" w:sz="6" w:space="0" w:color="000000"/>
              <w:bottom w:val="single" w:sz="6" w:space="0" w:color="000000"/>
              <w:right w:val="single" w:sz="6" w:space="0" w:color="000000"/>
            </w:tcBorders>
            <w:hideMark/>
          </w:tcPr>
          <w:p w14:paraId="7558E854" w14:textId="23E44247" w:rsidR="00541614" w:rsidRPr="00305E0F" w:rsidRDefault="00541614" w:rsidP="00541614">
            <w:pPr>
              <w:pStyle w:val="P68B1DB1-Normal27"/>
              <w:spacing w:before="60" w:after="60" w:line="240" w:lineRule="auto"/>
              <w:rPr>
                <w:lang w:val="en-GB"/>
              </w:rPr>
            </w:pPr>
            <w:r w:rsidRPr="00305E0F">
              <w:rPr>
                <w:lang w:val="en-GB"/>
              </w:rPr>
              <w:t>Fair</w:t>
            </w:r>
          </w:p>
        </w:tc>
        <w:tc>
          <w:tcPr>
            <w:tcW w:w="0" w:type="auto"/>
            <w:tcBorders>
              <w:top w:val="single" w:sz="6" w:space="0" w:color="000000"/>
              <w:left w:val="single" w:sz="6" w:space="0" w:color="000000"/>
              <w:bottom w:val="single" w:sz="6" w:space="0" w:color="000000"/>
              <w:right w:val="single" w:sz="6" w:space="0" w:color="000000"/>
            </w:tcBorders>
            <w:hideMark/>
          </w:tcPr>
          <w:p w14:paraId="6ED5C3F7" w14:textId="5E3EE9C4" w:rsidR="00541614" w:rsidRPr="00305E0F" w:rsidRDefault="00541614" w:rsidP="00541614">
            <w:pPr>
              <w:pStyle w:val="P68B1DB1-Normal27"/>
              <w:spacing w:before="60" w:after="60" w:line="240" w:lineRule="auto"/>
              <w:rPr>
                <w:lang w:val="en-GB"/>
              </w:rPr>
            </w:pPr>
            <w:r w:rsidRPr="00305E0F">
              <w:rPr>
                <w:lang w:val="en-GB"/>
              </w:rPr>
              <w:t>Weak</w:t>
            </w:r>
          </w:p>
        </w:tc>
      </w:tr>
      <w:tr w:rsidR="00305E0F" w:rsidRPr="00305E0F" w14:paraId="4F7DABDC"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7"/>
              <w:gridCol w:w="2215"/>
            </w:tblGrid>
            <w:tr w:rsidR="00305E0F" w:rsidRPr="00305E0F" w14:paraId="531DDE7B" w14:textId="77777777" w:rsidTr="00541614">
              <w:tc>
                <w:tcPr>
                  <w:tcW w:w="389" w:type="pct"/>
                  <w:hideMark/>
                </w:tcPr>
                <w:p w14:paraId="3C4A5831" w14:textId="35460D9E" w:rsidR="00541614" w:rsidRPr="00305E0F" w:rsidRDefault="00541614" w:rsidP="00541614">
                  <w:pPr>
                    <w:pStyle w:val="P68B1DB1-Normal5"/>
                    <w:spacing w:before="120" w:after="0" w:line="240" w:lineRule="auto"/>
                    <w:rPr>
                      <w:lang w:val="en-GB"/>
                    </w:rPr>
                  </w:pPr>
                  <w:r w:rsidRPr="00305E0F">
                    <w:rPr>
                      <w:lang w:val="en-GB"/>
                    </w:rPr>
                    <w:t>6.</w:t>
                  </w:r>
                </w:p>
              </w:tc>
              <w:tc>
                <w:tcPr>
                  <w:tcW w:w="0" w:type="auto"/>
                  <w:hideMark/>
                </w:tcPr>
                <w:p w14:paraId="0B263076" w14:textId="368A5BCC" w:rsidR="00541614" w:rsidRPr="00305E0F" w:rsidRDefault="00541614" w:rsidP="00541614">
                  <w:pPr>
                    <w:pStyle w:val="P68B1DB1-Normal5"/>
                    <w:spacing w:before="120" w:after="0" w:line="240" w:lineRule="auto"/>
                    <w:rPr>
                      <w:lang w:val="en-GB"/>
                    </w:rPr>
                  </w:pPr>
                  <w:r w:rsidRPr="00305E0F">
                    <w:rPr>
                      <w:lang w:val="en-GB"/>
                    </w:rPr>
                    <w:t>Sub-factor: enforceability of contracts, collateral and security</w:t>
                  </w:r>
                </w:p>
              </w:tc>
            </w:tr>
          </w:tbl>
          <w:p w14:paraId="3BECF6B1" w14:textId="77777777" w:rsidR="00541614" w:rsidRPr="00305E0F" w:rsidRDefault="00541614" w:rsidP="00541614">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0CC0AE42" w14:textId="0ADA3EB9" w:rsidR="00541614" w:rsidRPr="00305E0F" w:rsidRDefault="00541614" w:rsidP="00541614">
            <w:pPr>
              <w:pStyle w:val="P68B1DB1-Normal27"/>
              <w:spacing w:before="60" w:after="60" w:line="240" w:lineRule="auto"/>
              <w:rPr>
                <w:lang w:val="en-GB"/>
              </w:rPr>
            </w:pPr>
            <w:r w:rsidRPr="00305E0F">
              <w:rPr>
                <w:lang w:val="en-GB"/>
              </w:rPr>
              <w:t>Contracts, collateral and security are enforceable.</w:t>
            </w:r>
          </w:p>
        </w:tc>
        <w:tc>
          <w:tcPr>
            <w:tcW w:w="0" w:type="auto"/>
            <w:tcBorders>
              <w:top w:val="single" w:sz="6" w:space="0" w:color="000000"/>
              <w:left w:val="single" w:sz="6" w:space="0" w:color="000000"/>
              <w:bottom w:val="single" w:sz="6" w:space="0" w:color="000000"/>
              <w:right w:val="single" w:sz="6" w:space="0" w:color="000000"/>
            </w:tcBorders>
            <w:hideMark/>
          </w:tcPr>
          <w:p w14:paraId="56E9D82A" w14:textId="5DBA4F5E" w:rsidR="00541614" w:rsidRPr="00305E0F" w:rsidRDefault="00541614" w:rsidP="00541614">
            <w:pPr>
              <w:pStyle w:val="P68B1DB1-Normal27"/>
              <w:spacing w:before="60" w:after="60" w:line="240" w:lineRule="auto"/>
              <w:rPr>
                <w:lang w:val="en-GB"/>
              </w:rPr>
            </w:pPr>
            <w:r w:rsidRPr="00305E0F">
              <w:rPr>
                <w:lang w:val="en-GB"/>
              </w:rPr>
              <w:t>Contracts, collateral and security are enforceable.</w:t>
            </w:r>
          </w:p>
        </w:tc>
        <w:tc>
          <w:tcPr>
            <w:tcW w:w="0" w:type="auto"/>
            <w:tcBorders>
              <w:top w:val="single" w:sz="6" w:space="0" w:color="000000"/>
              <w:left w:val="single" w:sz="6" w:space="0" w:color="000000"/>
              <w:bottom w:val="single" w:sz="6" w:space="0" w:color="000000"/>
              <w:right w:val="single" w:sz="6" w:space="0" w:color="000000"/>
            </w:tcBorders>
            <w:hideMark/>
          </w:tcPr>
          <w:p w14:paraId="6416BA51" w14:textId="27981E0C" w:rsidR="00541614" w:rsidRPr="00305E0F" w:rsidRDefault="00541614" w:rsidP="00541614">
            <w:pPr>
              <w:pStyle w:val="P68B1DB1-Normal27"/>
              <w:spacing w:before="60" w:after="60" w:line="240" w:lineRule="auto"/>
              <w:rPr>
                <w:lang w:val="en-GB"/>
              </w:rPr>
            </w:pPr>
            <w:r w:rsidRPr="00305E0F">
              <w:rPr>
                <w:lang w:val="en-GB"/>
              </w:rPr>
              <w:t>Contracts, collateral and security are considered enforceable even if certain non-key issues may exist</w:t>
            </w:r>
          </w:p>
        </w:tc>
        <w:tc>
          <w:tcPr>
            <w:tcW w:w="0" w:type="auto"/>
            <w:tcBorders>
              <w:top w:val="single" w:sz="6" w:space="0" w:color="000000"/>
              <w:left w:val="single" w:sz="6" w:space="0" w:color="000000"/>
              <w:bottom w:val="single" w:sz="6" w:space="0" w:color="000000"/>
              <w:right w:val="single" w:sz="6" w:space="0" w:color="000000"/>
            </w:tcBorders>
            <w:hideMark/>
          </w:tcPr>
          <w:p w14:paraId="56F6A751" w14:textId="5867F7BE" w:rsidR="00541614" w:rsidRPr="00305E0F" w:rsidRDefault="00541614" w:rsidP="00541614">
            <w:pPr>
              <w:pStyle w:val="P68B1DB1-Normal27"/>
              <w:spacing w:before="60" w:after="60" w:line="240" w:lineRule="auto"/>
              <w:rPr>
                <w:lang w:val="en-GB"/>
              </w:rPr>
            </w:pPr>
            <w:r w:rsidRPr="00305E0F">
              <w:rPr>
                <w:lang w:val="en-GB"/>
              </w:rPr>
              <w:t>There are unresolved key issues in respect if actual enforcement of contracts, collateral and security</w:t>
            </w:r>
          </w:p>
        </w:tc>
      </w:tr>
      <w:tr w:rsidR="00305E0F" w:rsidRPr="00305E0F" w14:paraId="3707BE4D" w14:textId="77777777">
        <w:tc>
          <w:tcPr>
            <w:tcW w:w="0" w:type="auto"/>
            <w:tcBorders>
              <w:top w:val="single" w:sz="6" w:space="0" w:color="000000"/>
              <w:left w:val="single" w:sz="6" w:space="0" w:color="000000"/>
              <w:bottom w:val="single" w:sz="6" w:space="0" w:color="000000"/>
              <w:right w:val="single" w:sz="6" w:space="0" w:color="000000"/>
            </w:tcBorders>
            <w:hideMark/>
          </w:tcPr>
          <w:p w14:paraId="2337042B" w14:textId="190590A9" w:rsidR="00EB0050" w:rsidRPr="00305E0F" w:rsidRDefault="00B02122">
            <w:pPr>
              <w:pStyle w:val="P68B1DB1-Normal26"/>
              <w:spacing w:before="60" w:after="60" w:line="240" w:lineRule="auto"/>
              <w:rPr>
                <w:lang w:val="en-GB"/>
              </w:rPr>
            </w:pPr>
            <w:r w:rsidRPr="00305E0F">
              <w:rPr>
                <w:lang w:val="en-GB"/>
              </w:rPr>
              <w:t xml:space="preserve">Factor: </w:t>
            </w:r>
            <w:r w:rsidR="00541614" w:rsidRPr="00305E0F">
              <w:rPr>
                <w:bCs/>
                <w:lang w:val="en-GB"/>
              </w:rPr>
              <w:t>transaction characteristics</w:t>
            </w:r>
          </w:p>
        </w:tc>
        <w:tc>
          <w:tcPr>
            <w:tcW w:w="0" w:type="auto"/>
            <w:tcBorders>
              <w:top w:val="single" w:sz="6" w:space="0" w:color="000000"/>
              <w:left w:val="single" w:sz="6" w:space="0" w:color="000000"/>
              <w:bottom w:val="single" w:sz="6" w:space="0" w:color="000000"/>
              <w:right w:val="single" w:sz="6" w:space="0" w:color="000000"/>
            </w:tcBorders>
            <w:hideMark/>
          </w:tcPr>
          <w:p w14:paraId="10A7B905"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D71AEAA"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5D466BEC"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1A73777"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624B9D9F"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53CA9E97" w14:textId="77777777">
              <w:tc>
                <w:tcPr>
                  <w:tcW w:w="0" w:type="auto"/>
                  <w:hideMark/>
                </w:tcPr>
                <w:p w14:paraId="3F1C635E" w14:textId="26E261E4" w:rsidR="00541614" w:rsidRPr="00305E0F" w:rsidRDefault="00541614" w:rsidP="00541614">
                  <w:pPr>
                    <w:pStyle w:val="P68B1DB1-Normal5"/>
                    <w:spacing w:before="120" w:after="0" w:line="240" w:lineRule="auto"/>
                    <w:rPr>
                      <w:lang w:val="en-GB"/>
                    </w:rPr>
                  </w:pPr>
                  <w:r w:rsidRPr="00305E0F">
                    <w:rPr>
                      <w:lang w:val="en-GB"/>
                    </w:rPr>
                    <w:t>1.</w:t>
                  </w:r>
                </w:p>
              </w:tc>
              <w:tc>
                <w:tcPr>
                  <w:tcW w:w="0" w:type="auto"/>
                  <w:hideMark/>
                </w:tcPr>
                <w:p w14:paraId="3F1CED5B" w14:textId="1DD2F782" w:rsidR="00541614" w:rsidRPr="00305E0F" w:rsidRDefault="00541614" w:rsidP="00541614">
                  <w:pPr>
                    <w:pStyle w:val="P68B1DB1-Normal5"/>
                    <w:spacing w:before="120" w:after="0" w:line="240" w:lineRule="auto"/>
                    <w:rPr>
                      <w:lang w:val="en-GB"/>
                    </w:rPr>
                  </w:pPr>
                  <w:r w:rsidRPr="00305E0F">
                    <w:rPr>
                      <w:lang w:val="en-GB"/>
                    </w:rPr>
                    <w:t>Sub-factor: design and technology risk</w:t>
                  </w:r>
                </w:p>
              </w:tc>
            </w:tr>
          </w:tbl>
          <w:p w14:paraId="1F32DB3A" w14:textId="77777777" w:rsidR="00541614" w:rsidRPr="00305E0F" w:rsidRDefault="00541614" w:rsidP="00541614">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D1107C6" w14:textId="1E48A756" w:rsidR="00541614" w:rsidRPr="00305E0F" w:rsidRDefault="00541614" w:rsidP="00541614">
            <w:pPr>
              <w:pStyle w:val="P68B1DB1-Normal27"/>
              <w:spacing w:before="60" w:after="60" w:line="240" w:lineRule="auto"/>
              <w:rPr>
                <w:lang w:val="en-GB"/>
              </w:rPr>
            </w:pPr>
            <w:r w:rsidRPr="00305E0F">
              <w:rPr>
                <w:lang w:val="en-GB"/>
              </w:rPr>
              <w:t>Fully proven technology and design</w:t>
            </w:r>
          </w:p>
        </w:tc>
        <w:tc>
          <w:tcPr>
            <w:tcW w:w="0" w:type="auto"/>
            <w:tcBorders>
              <w:top w:val="single" w:sz="6" w:space="0" w:color="000000"/>
              <w:left w:val="single" w:sz="6" w:space="0" w:color="000000"/>
              <w:bottom w:val="single" w:sz="6" w:space="0" w:color="000000"/>
              <w:right w:val="single" w:sz="6" w:space="0" w:color="000000"/>
            </w:tcBorders>
            <w:hideMark/>
          </w:tcPr>
          <w:p w14:paraId="1164309E" w14:textId="43671D82" w:rsidR="00541614" w:rsidRPr="00305E0F" w:rsidRDefault="00541614" w:rsidP="00541614">
            <w:pPr>
              <w:pStyle w:val="P68B1DB1-Normal27"/>
              <w:spacing w:before="60" w:after="60" w:line="240" w:lineRule="auto"/>
              <w:rPr>
                <w:lang w:val="en-GB"/>
              </w:rPr>
            </w:pPr>
            <w:r w:rsidRPr="00305E0F">
              <w:rPr>
                <w:lang w:val="en-GB"/>
              </w:rPr>
              <w:t>Fully proven technology and design</w:t>
            </w:r>
          </w:p>
        </w:tc>
        <w:tc>
          <w:tcPr>
            <w:tcW w:w="0" w:type="auto"/>
            <w:tcBorders>
              <w:top w:val="single" w:sz="6" w:space="0" w:color="000000"/>
              <w:left w:val="single" w:sz="6" w:space="0" w:color="000000"/>
              <w:bottom w:val="single" w:sz="6" w:space="0" w:color="000000"/>
              <w:right w:val="single" w:sz="6" w:space="0" w:color="000000"/>
            </w:tcBorders>
            <w:hideMark/>
          </w:tcPr>
          <w:p w14:paraId="4BA9D046" w14:textId="6FD3FA7A" w:rsidR="00541614" w:rsidRPr="00305E0F" w:rsidRDefault="00541614" w:rsidP="00541614">
            <w:pPr>
              <w:pStyle w:val="P68B1DB1-Normal27"/>
              <w:spacing w:before="60" w:after="60" w:line="240" w:lineRule="auto"/>
              <w:rPr>
                <w:lang w:val="en-GB"/>
              </w:rPr>
            </w:pPr>
            <w:r w:rsidRPr="00305E0F">
              <w:rPr>
                <w:lang w:val="en-GB"/>
              </w:rPr>
              <w:t>Proven technology and design – start-up issues are mitigated by a strong completion package</w:t>
            </w:r>
          </w:p>
        </w:tc>
        <w:tc>
          <w:tcPr>
            <w:tcW w:w="0" w:type="auto"/>
            <w:tcBorders>
              <w:top w:val="single" w:sz="6" w:space="0" w:color="000000"/>
              <w:left w:val="single" w:sz="6" w:space="0" w:color="000000"/>
              <w:bottom w:val="single" w:sz="6" w:space="0" w:color="000000"/>
              <w:right w:val="single" w:sz="6" w:space="0" w:color="000000"/>
            </w:tcBorders>
            <w:hideMark/>
          </w:tcPr>
          <w:p w14:paraId="4CA7F415" w14:textId="11C58D07" w:rsidR="00541614" w:rsidRPr="00305E0F" w:rsidRDefault="00541614" w:rsidP="00541614">
            <w:pPr>
              <w:pStyle w:val="P68B1DB1-Normal27"/>
              <w:spacing w:before="60" w:after="60" w:line="240" w:lineRule="auto"/>
              <w:rPr>
                <w:lang w:val="en-GB"/>
              </w:rPr>
            </w:pPr>
            <w:r w:rsidRPr="00305E0F">
              <w:rPr>
                <w:lang w:val="en-GB"/>
              </w:rPr>
              <w:t>Unproven technology and design; technology issues exist and/or complex design</w:t>
            </w:r>
          </w:p>
        </w:tc>
      </w:tr>
      <w:tr w:rsidR="00305E0F" w:rsidRPr="00305E0F" w14:paraId="6F928313"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3404BD21" w14:textId="77777777">
              <w:tc>
                <w:tcPr>
                  <w:tcW w:w="0" w:type="auto"/>
                  <w:hideMark/>
                </w:tcPr>
                <w:p w14:paraId="09EACE5B" w14:textId="339054EE" w:rsidR="00EB0050" w:rsidRPr="00305E0F" w:rsidRDefault="00B02122">
                  <w:pPr>
                    <w:pStyle w:val="P68B1DB1-Normal5"/>
                    <w:spacing w:before="120" w:after="0" w:line="240" w:lineRule="auto"/>
                    <w:rPr>
                      <w:lang w:val="en-GB"/>
                    </w:rPr>
                  </w:pPr>
                  <w:r w:rsidRPr="00305E0F">
                    <w:rPr>
                      <w:lang w:val="en-GB"/>
                    </w:rPr>
                    <w:t>2.</w:t>
                  </w:r>
                </w:p>
              </w:tc>
              <w:tc>
                <w:tcPr>
                  <w:tcW w:w="0" w:type="auto"/>
                  <w:hideMark/>
                </w:tcPr>
                <w:p w14:paraId="0FFB3AA0" w14:textId="77777777" w:rsidR="00EB0050" w:rsidRPr="00305E0F" w:rsidRDefault="00B02122">
                  <w:pPr>
                    <w:pStyle w:val="P68B1DB1-Normal5"/>
                    <w:spacing w:before="120" w:after="0" w:line="240" w:lineRule="auto"/>
                    <w:rPr>
                      <w:lang w:val="en-GB"/>
                    </w:rPr>
                  </w:pPr>
                  <w:r w:rsidRPr="00305E0F">
                    <w:rPr>
                      <w:lang w:val="en-GB"/>
                    </w:rPr>
                    <w:t>Sub-factor: construction risk</w:t>
                  </w:r>
                </w:p>
              </w:tc>
            </w:tr>
          </w:tbl>
          <w:p w14:paraId="34D86CE3" w14:textId="77777777" w:rsidR="00EB0050" w:rsidRPr="00305E0F" w:rsidRDefault="00EB00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DD60865"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470CF2EB"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56CFEE52"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1F6AE8A"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034F77A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4BD79242" w14:textId="77777777">
              <w:tc>
                <w:tcPr>
                  <w:tcW w:w="0" w:type="auto"/>
                  <w:hideMark/>
                </w:tcPr>
                <w:p w14:paraId="62BB70C8" w14:textId="565CBDD1" w:rsidR="00541614" w:rsidRPr="00305E0F" w:rsidRDefault="00541614" w:rsidP="00541614">
                  <w:pPr>
                    <w:spacing w:before="120" w:after="0" w:line="240" w:lineRule="auto"/>
                    <w:rPr>
                      <w:rFonts w:ascii="Times New Roman" w:eastAsia="Times New Roman" w:hAnsi="Times New Roman" w:cs="Times New Roman"/>
                      <w:sz w:val="24"/>
                      <w:szCs w:val="24"/>
                      <w:lang w:val="en-GB"/>
                    </w:rPr>
                  </w:pPr>
                </w:p>
              </w:tc>
              <w:tc>
                <w:tcPr>
                  <w:tcW w:w="0" w:type="auto"/>
                  <w:hideMark/>
                </w:tcPr>
                <w:p w14:paraId="4BE28365" w14:textId="300C326D" w:rsidR="00541614" w:rsidRPr="00305E0F" w:rsidRDefault="00541614" w:rsidP="00541614">
                  <w:pPr>
                    <w:pStyle w:val="P68B1DB1-Normal5"/>
                    <w:spacing w:before="120" w:after="0" w:line="240" w:lineRule="auto"/>
                    <w:rPr>
                      <w:lang w:val="en-GB"/>
                    </w:rPr>
                  </w:pPr>
                  <w:r w:rsidRPr="00305E0F">
                    <w:rPr>
                      <w:lang w:val="en-GB"/>
                    </w:rPr>
                    <w:t>2.1.</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Permitting and siting (sub-factor component)</w:t>
                  </w:r>
                </w:p>
              </w:tc>
            </w:tr>
          </w:tbl>
          <w:p w14:paraId="2812BC47" w14:textId="77777777" w:rsidR="00541614" w:rsidRPr="00305E0F" w:rsidRDefault="00541614" w:rsidP="00541614">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1CDC283" w14:textId="57EE6EAE" w:rsidR="00541614" w:rsidRPr="00305E0F" w:rsidRDefault="00541614" w:rsidP="00541614">
            <w:pPr>
              <w:pStyle w:val="P68B1DB1-Normal27"/>
              <w:spacing w:before="60" w:after="60" w:line="240" w:lineRule="auto"/>
              <w:rPr>
                <w:lang w:val="en-GB"/>
              </w:rPr>
            </w:pPr>
            <w:r w:rsidRPr="00305E0F">
              <w:rPr>
                <w:lang w:val="en-GB"/>
              </w:rPr>
              <w:t>All permits have been obtained</w:t>
            </w:r>
          </w:p>
        </w:tc>
        <w:tc>
          <w:tcPr>
            <w:tcW w:w="0" w:type="auto"/>
            <w:tcBorders>
              <w:top w:val="single" w:sz="6" w:space="0" w:color="000000"/>
              <w:left w:val="single" w:sz="6" w:space="0" w:color="000000"/>
              <w:bottom w:val="single" w:sz="6" w:space="0" w:color="000000"/>
              <w:right w:val="single" w:sz="6" w:space="0" w:color="000000"/>
            </w:tcBorders>
            <w:hideMark/>
          </w:tcPr>
          <w:p w14:paraId="7DAC09CE" w14:textId="65F8B6CB" w:rsidR="00541614" w:rsidRPr="00305E0F" w:rsidRDefault="00541614" w:rsidP="00541614">
            <w:pPr>
              <w:pStyle w:val="P68B1DB1-Normal27"/>
              <w:spacing w:before="60" w:after="60" w:line="240" w:lineRule="auto"/>
              <w:rPr>
                <w:lang w:val="en-GB"/>
              </w:rPr>
            </w:pPr>
            <w:r w:rsidRPr="00305E0F">
              <w:rPr>
                <w:lang w:val="en-GB"/>
              </w:rPr>
              <w:t>Some permits are still outstanding but their receipt is considered very likely</w:t>
            </w:r>
          </w:p>
        </w:tc>
        <w:tc>
          <w:tcPr>
            <w:tcW w:w="0" w:type="auto"/>
            <w:tcBorders>
              <w:top w:val="single" w:sz="6" w:space="0" w:color="000000"/>
              <w:left w:val="single" w:sz="6" w:space="0" w:color="000000"/>
              <w:bottom w:val="single" w:sz="6" w:space="0" w:color="000000"/>
              <w:right w:val="single" w:sz="6" w:space="0" w:color="000000"/>
            </w:tcBorders>
            <w:hideMark/>
          </w:tcPr>
          <w:p w14:paraId="4C012B88" w14:textId="62225C1B" w:rsidR="00541614" w:rsidRPr="00305E0F" w:rsidRDefault="00541614" w:rsidP="00541614">
            <w:pPr>
              <w:pStyle w:val="P68B1DB1-Normal27"/>
              <w:spacing w:before="60" w:after="60" w:line="240" w:lineRule="auto"/>
              <w:rPr>
                <w:lang w:val="en-GB"/>
              </w:rPr>
            </w:pPr>
            <w:r w:rsidRPr="00305E0F">
              <w:rPr>
                <w:lang w:val="en-GB"/>
              </w:rPr>
              <w:t>Some permits are still outstanding but the permitting process is well defined and they are considered routine.</w:t>
            </w:r>
          </w:p>
        </w:tc>
        <w:tc>
          <w:tcPr>
            <w:tcW w:w="0" w:type="auto"/>
            <w:tcBorders>
              <w:top w:val="single" w:sz="6" w:space="0" w:color="000000"/>
              <w:left w:val="single" w:sz="6" w:space="0" w:color="000000"/>
              <w:bottom w:val="single" w:sz="6" w:space="0" w:color="000000"/>
              <w:right w:val="single" w:sz="6" w:space="0" w:color="000000"/>
            </w:tcBorders>
            <w:hideMark/>
          </w:tcPr>
          <w:p w14:paraId="63EFD872" w14:textId="0451FAC5" w:rsidR="00541614" w:rsidRPr="00305E0F" w:rsidRDefault="00541614" w:rsidP="00541614">
            <w:pPr>
              <w:pStyle w:val="P68B1DB1-Normal27"/>
              <w:spacing w:before="60" w:after="60" w:line="240" w:lineRule="auto"/>
              <w:rPr>
                <w:lang w:val="en-GB"/>
              </w:rPr>
            </w:pPr>
            <w:r w:rsidRPr="00305E0F">
              <w:rPr>
                <w:lang w:val="en-GB"/>
              </w:rPr>
              <w:t>Key permits still need to be obtained and are not considered routine. Significant conditions may be attached.</w:t>
            </w:r>
          </w:p>
        </w:tc>
      </w:tr>
      <w:tr w:rsidR="00305E0F" w:rsidRPr="00305E0F" w14:paraId="11A7B2F3"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6840BB47" w14:textId="77777777">
              <w:tc>
                <w:tcPr>
                  <w:tcW w:w="0" w:type="auto"/>
                  <w:hideMark/>
                </w:tcPr>
                <w:p w14:paraId="1AAE7DF7" w14:textId="2C85C785" w:rsidR="003701CA" w:rsidRPr="00305E0F" w:rsidRDefault="003701CA" w:rsidP="003701CA">
                  <w:pPr>
                    <w:spacing w:before="120" w:after="0" w:line="240" w:lineRule="auto"/>
                    <w:rPr>
                      <w:rFonts w:ascii="Times New Roman" w:eastAsia="Times New Roman" w:hAnsi="Times New Roman" w:cs="Times New Roman"/>
                      <w:sz w:val="24"/>
                      <w:szCs w:val="24"/>
                      <w:lang w:val="en-GB"/>
                    </w:rPr>
                  </w:pPr>
                </w:p>
              </w:tc>
              <w:tc>
                <w:tcPr>
                  <w:tcW w:w="0" w:type="auto"/>
                  <w:hideMark/>
                </w:tcPr>
                <w:p w14:paraId="332331F8" w14:textId="317EB295" w:rsidR="003701CA" w:rsidRPr="00305E0F" w:rsidRDefault="003701CA" w:rsidP="003701CA">
                  <w:pPr>
                    <w:pStyle w:val="P68B1DB1-Normal5"/>
                    <w:spacing w:before="120" w:after="0" w:line="240" w:lineRule="auto"/>
                    <w:rPr>
                      <w:lang w:val="en-GB"/>
                    </w:rPr>
                  </w:pPr>
                  <w:r w:rsidRPr="00305E0F">
                    <w:rPr>
                      <w:lang w:val="en-GB"/>
                    </w:rPr>
                    <w:t>2.2.</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Type of construction contract (sub-factor component)</w:t>
                  </w:r>
                </w:p>
              </w:tc>
            </w:tr>
          </w:tbl>
          <w:p w14:paraId="165D77E0" w14:textId="77777777" w:rsidR="003701CA" w:rsidRPr="00305E0F" w:rsidRDefault="003701CA" w:rsidP="003701CA">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1ACC8121" w14:textId="757DAE4C" w:rsidR="003701CA" w:rsidRPr="00305E0F" w:rsidRDefault="003701CA" w:rsidP="003701CA">
            <w:pPr>
              <w:pStyle w:val="P68B1DB1-Normal27"/>
              <w:spacing w:before="60" w:after="60" w:line="240" w:lineRule="auto"/>
              <w:rPr>
                <w:lang w:val="en-GB"/>
              </w:rPr>
            </w:pPr>
            <w:r w:rsidRPr="00305E0F">
              <w:rPr>
                <w:lang w:val="en-GB"/>
              </w:rPr>
              <w:t>Fixed-price date-certain turnkey construction EPC (engineering and procurement contract)</w:t>
            </w:r>
          </w:p>
        </w:tc>
        <w:tc>
          <w:tcPr>
            <w:tcW w:w="0" w:type="auto"/>
            <w:tcBorders>
              <w:top w:val="single" w:sz="6" w:space="0" w:color="000000"/>
              <w:left w:val="single" w:sz="6" w:space="0" w:color="000000"/>
              <w:bottom w:val="single" w:sz="6" w:space="0" w:color="000000"/>
              <w:right w:val="single" w:sz="6" w:space="0" w:color="000000"/>
            </w:tcBorders>
            <w:hideMark/>
          </w:tcPr>
          <w:p w14:paraId="32827DAB" w14:textId="4E68C5B0" w:rsidR="003701CA" w:rsidRPr="00305E0F" w:rsidRDefault="003701CA" w:rsidP="003701CA">
            <w:pPr>
              <w:pStyle w:val="P68B1DB1-Normal27"/>
              <w:spacing w:before="60" w:after="60" w:line="240" w:lineRule="auto"/>
              <w:rPr>
                <w:lang w:val="en-GB"/>
              </w:rPr>
            </w:pPr>
            <w:r w:rsidRPr="00305E0F">
              <w:rPr>
                <w:lang w:val="en-GB"/>
              </w:rPr>
              <w:t>Fixed-price date-certain turnkey construction EPC</w:t>
            </w:r>
          </w:p>
        </w:tc>
        <w:tc>
          <w:tcPr>
            <w:tcW w:w="0" w:type="auto"/>
            <w:tcBorders>
              <w:top w:val="single" w:sz="6" w:space="0" w:color="000000"/>
              <w:left w:val="single" w:sz="6" w:space="0" w:color="000000"/>
              <w:bottom w:val="single" w:sz="6" w:space="0" w:color="000000"/>
              <w:right w:val="single" w:sz="6" w:space="0" w:color="000000"/>
            </w:tcBorders>
            <w:hideMark/>
          </w:tcPr>
          <w:p w14:paraId="531BE92E" w14:textId="2E2F9601" w:rsidR="003701CA" w:rsidRPr="00305E0F" w:rsidRDefault="003701CA" w:rsidP="003701CA">
            <w:pPr>
              <w:pStyle w:val="P68B1DB1-Normal27"/>
              <w:spacing w:before="60" w:after="60" w:line="240" w:lineRule="auto"/>
              <w:rPr>
                <w:lang w:val="en-GB"/>
              </w:rPr>
            </w:pPr>
            <w:r w:rsidRPr="00305E0F">
              <w:rPr>
                <w:lang w:val="en-GB"/>
              </w:rPr>
              <w:t>Fixed-price date-certain turnkey construction contract with one or several contractors</w:t>
            </w:r>
          </w:p>
        </w:tc>
        <w:tc>
          <w:tcPr>
            <w:tcW w:w="0" w:type="auto"/>
            <w:tcBorders>
              <w:top w:val="single" w:sz="6" w:space="0" w:color="000000"/>
              <w:left w:val="single" w:sz="6" w:space="0" w:color="000000"/>
              <w:bottom w:val="single" w:sz="6" w:space="0" w:color="000000"/>
              <w:right w:val="single" w:sz="6" w:space="0" w:color="000000"/>
            </w:tcBorders>
            <w:hideMark/>
          </w:tcPr>
          <w:p w14:paraId="70CD5E4D" w14:textId="27EED058" w:rsidR="003701CA" w:rsidRPr="00305E0F" w:rsidRDefault="003701CA" w:rsidP="003701CA">
            <w:pPr>
              <w:pStyle w:val="P68B1DB1-Normal27"/>
              <w:spacing w:before="60" w:after="60" w:line="240" w:lineRule="auto"/>
              <w:rPr>
                <w:lang w:val="en-GB"/>
              </w:rPr>
            </w:pPr>
            <w:r w:rsidRPr="00305E0F">
              <w:rPr>
                <w:lang w:val="en-GB"/>
              </w:rPr>
              <w:t>No or partial fixed-price turnkey contract and/or interfacing issues with multiple contractors</w:t>
            </w:r>
          </w:p>
        </w:tc>
      </w:tr>
      <w:tr w:rsidR="00305E0F" w:rsidRPr="00305E0F" w14:paraId="219A7406"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7B356BFA" w14:textId="77777777">
              <w:trPr>
                <w:trHeight w:val="1176"/>
              </w:trPr>
              <w:tc>
                <w:tcPr>
                  <w:tcW w:w="0" w:type="auto"/>
                  <w:hideMark/>
                </w:tcPr>
                <w:p w14:paraId="6988DB3B" w14:textId="2EF14B2B" w:rsidR="003701CA" w:rsidRPr="00305E0F" w:rsidRDefault="003701CA" w:rsidP="003701CA">
                  <w:pPr>
                    <w:spacing w:before="120" w:after="0" w:line="240" w:lineRule="auto"/>
                    <w:rPr>
                      <w:rFonts w:ascii="Times New Roman" w:eastAsia="Times New Roman" w:hAnsi="Times New Roman" w:cs="Times New Roman"/>
                      <w:sz w:val="24"/>
                      <w:szCs w:val="24"/>
                      <w:lang w:val="en-GB"/>
                    </w:rPr>
                  </w:pPr>
                </w:p>
              </w:tc>
              <w:tc>
                <w:tcPr>
                  <w:tcW w:w="0" w:type="auto"/>
                  <w:hideMark/>
                </w:tcPr>
                <w:p w14:paraId="424F6729" w14:textId="29D04178" w:rsidR="003701CA" w:rsidRPr="00305E0F" w:rsidRDefault="003701CA" w:rsidP="003701CA">
                  <w:pPr>
                    <w:pStyle w:val="P68B1DB1-Normal5"/>
                    <w:spacing w:before="120" w:after="0" w:line="240" w:lineRule="auto"/>
                    <w:rPr>
                      <w:lang w:val="en-GB"/>
                    </w:rPr>
                  </w:pPr>
                  <w:r w:rsidRPr="00305E0F">
                    <w:rPr>
                      <w:lang w:val="en-GB"/>
                    </w:rPr>
                    <w:t>2.3.</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Likelihood to finish the project at the agreed time and cost (sub-factor component)</w:t>
                  </w:r>
                </w:p>
              </w:tc>
            </w:tr>
          </w:tbl>
          <w:p w14:paraId="4B7C5F17" w14:textId="77777777" w:rsidR="003701CA" w:rsidRPr="00305E0F" w:rsidRDefault="003701CA" w:rsidP="003701CA">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D58C633" w14:textId="744DB1DC" w:rsidR="003701CA" w:rsidRPr="00305E0F" w:rsidRDefault="003701CA" w:rsidP="003701CA">
            <w:pPr>
              <w:pStyle w:val="P68B1DB1-Normal27"/>
              <w:spacing w:before="60" w:after="60" w:line="240" w:lineRule="auto"/>
              <w:rPr>
                <w:lang w:val="en-GB"/>
              </w:rPr>
            </w:pPr>
            <w:r w:rsidRPr="00305E0F">
              <w:rPr>
                <w:lang w:val="en-GB"/>
              </w:rPr>
              <w:t>It is almost certain that the project will be finished within the agreed time horizon and at the agreed cost.</w:t>
            </w:r>
          </w:p>
        </w:tc>
        <w:tc>
          <w:tcPr>
            <w:tcW w:w="0" w:type="auto"/>
            <w:tcBorders>
              <w:top w:val="single" w:sz="6" w:space="0" w:color="000000"/>
              <w:left w:val="single" w:sz="6" w:space="0" w:color="000000"/>
              <w:bottom w:val="single" w:sz="6" w:space="0" w:color="000000"/>
              <w:right w:val="single" w:sz="6" w:space="0" w:color="000000"/>
            </w:tcBorders>
            <w:hideMark/>
          </w:tcPr>
          <w:p w14:paraId="51B8925B" w14:textId="07A0E134" w:rsidR="003701CA" w:rsidRPr="00305E0F" w:rsidRDefault="003701CA" w:rsidP="003701CA">
            <w:pPr>
              <w:pStyle w:val="P68B1DB1-Normal27"/>
              <w:spacing w:before="60" w:after="60" w:line="240" w:lineRule="auto"/>
              <w:rPr>
                <w:lang w:val="en-GB"/>
              </w:rPr>
            </w:pPr>
            <w:r w:rsidRPr="00305E0F">
              <w:rPr>
                <w:lang w:val="en-GB"/>
              </w:rPr>
              <w:t>It is very likely that the project will be finished within the agreed time horizon and at the agreed cost.</w:t>
            </w:r>
          </w:p>
        </w:tc>
        <w:tc>
          <w:tcPr>
            <w:tcW w:w="0" w:type="auto"/>
            <w:tcBorders>
              <w:top w:val="single" w:sz="6" w:space="0" w:color="000000"/>
              <w:left w:val="single" w:sz="6" w:space="0" w:color="000000"/>
              <w:bottom w:val="single" w:sz="6" w:space="0" w:color="000000"/>
              <w:right w:val="single" w:sz="6" w:space="0" w:color="000000"/>
            </w:tcBorders>
            <w:hideMark/>
          </w:tcPr>
          <w:p w14:paraId="30D38267" w14:textId="1E43FB9C" w:rsidR="003701CA" w:rsidRPr="00305E0F" w:rsidRDefault="003701CA" w:rsidP="003701CA">
            <w:pPr>
              <w:pStyle w:val="P68B1DB1-Normal27"/>
              <w:spacing w:before="60" w:after="60" w:line="240" w:lineRule="auto"/>
              <w:rPr>
                <w:lang w:val="en-GB"/>
              </w:rPr>
            </w:pPr>
            <w:r w:rsidRPr="00305E0F">
              <w:rPr>
                <w:lang w:val="en-GB"/>
              </w:rPr>
              <w:t>It is uncertain whether the project will be finished within the agreed time horizon and at the agreed cost.</w:t>
            </w:r>
          </w:p>
        </w:tc>
        <w:tc>
          <w:tcPr>
            <w:tcW w:w="0" w:type="auto"/>
            <w:tcBorders>
              <w:top w:val="single" w:sz="6" w:space="0" w:color="000000"/>
              <w:left w:val="single" w:sz="6" w:space="0" w:color="000000"/>
              <w:bottom w:val="single" w:sz="6" w:space="0" w:color="000000"/>
              <w:right w:val="single" w:sz="6" w:space="0" w:color="000000"/>
            </w:tcBorders>
            <w:hideMark/>
          </w:tcPr>
          <w:p w14:paraId="3D3E7EFD" w14:textId="0A9E3CF0" w:rsidR="003701CA" w:rsidRPr="00305E0F" w:rsidRDefault="003701CA" w:rsidP="003701CA">
            <w:pPr>
              <w:pStyle w:val="P68B1DB1-Normal27"/>
              <w:spacing w:before="60" w:after="60" w:line="240" w:lineRule="auto"/>
              <w:rPr>
                <w:lang w:val="en-GB"/>
              </w:rPr>
            </w:pPr>
            <w:r w:rsidRPr="00305E0F">
              <w:rPr>
                <w:lang w:val="en-GB"/>
              </w:rPr>
              <w:t>There are indications that the project will not be finished within the agreed time horizon and at the agreed cost.</w:t>
            </w:r>
          </w:p>
        </w:tc>
      </w:tr>
      <w:tr w:rsidR="00305E0F" w:rsidRPr="00305E0F" w14:paraId="349FF58F"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069D118D" w14:textId="77777777">
              <w:tc>
                <w:tcPr>
                  <w:tcW w:w="0" w:type="auto"/>
                  <w:hideMark/>
                </w:tcPr>
                <w:p w14:paraId="3D61C1ED" w14:textId="10145061" w:rsidR="003701CA" w:rsidRPr="00305E0F" w:rsidRDefault="003701CA" w:rsidP="003701CA">
                  <w:pPr>
                    <w:spacing w:before="120" w:after="0" w:line="240" w:lineRule="auto"/>
                    <w:rPr>
                      <w:rFonts w:ascii="Times New Roman" w:eastAsia="Times New Roman" w:hAnsi="Times New Roman" w:cs="Times New Roman"/>
                      <w:sz w:val="24"/>
                      <w:szCs w:val="24"/>
                      <w:lang w:val="en-GB"/>
                    </w:rPr>
                  </w:pPr>
                </w:p>
              </w:tc>
              <w:tc>
                <w:tcPr>
                  <w:tcW w:w="0" w:type="auto"/>
                  <w:hideMark/>
                </w:tcPr>
                <w:p w14:paraId="6A598054" w14:textId="449678E3" w:rsidR="003701CA" w:rsidRPr="00305E0F" w:rsidRDefault="003701CA" w:rsidP="003701CA">
                  <w:pPr>
                    <w:spacing w:before="120" w:after="0" w:line="240" w:lineRule="auto"/>
                    <w:rPr>
                      <w:rFonts w:ascii="Times New Roman" w:eastAsia="Times New Roman" w:hAnsi="Times New Roman" w:cs="Times New Roman"/>
                      <w:sz w:val="24"/>
                      <w:szCs w:val="24"/>
                      <w:lang w:val="en-GB"/>
                    </w:rPr>
                  </w:pPr>
                  <w:r w:rsidRPr="00305E0F">
                    <w:rPr>
                      <w:rFonts w:ascii="Times New Roman" w:eastAsia="Times New Roman" w:hAnsi="Times New Roman" w:cs="Times New Roman"/>
                      <w:sz w:val="24"/>
                      <w:szCs w:val="24"/>
                      <w:lang w:val="en-GB"/>
                    </w:rPr>
                    <w:t>2.4.</w:t>
                  </w:r>
                  <w:r w:rsidRPr="00305E0F">
                    <w:rPr>
                      <w:sz w:val="27"/>
                      <w:szCs w:val="27"/>
                      <w:shd w:val="clear" w:color="auto" w:fill="FFFFFF"/>
                      <w:lang w:val="en-GB"/>
                    </w:rPr>
                    <w:t xml:space="preserve"> </w:t>
                  </w:r>
                  <w:r w:rsidRPr="00305E0F">
                    <w:rPr>
                      <w:rFonts w:ascii="Times New Roman" w:eastAsia="Times New Roman" w:hAnsi="Times New Roman" w:cs="Times New Roman"/>
                      <w:sz w:val="24"/>
                      <w:szCs w:val="24"/>
                      <w:lang w:val="en-GB"/>
                    </w:rPr>
                    <w:t>Completion guarantees or liquidated damages (sub-factor component)</w:t>
                  </w:r>
                </w:p>
              </w:tc>
            </w:tr>
          </w:tbl>
          <w:p w14:paraId="52B70B70" w14:textId="77777777" w:rsidR="003701CA" w:rsidRPr="00305E0F" w:rsidRDefault="003701CA" w:rsidP="003701CA">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33EB0E3" w14:textId="339DBB24" w:rsidR="003701CA" w:rsidRPr="00305E0F" w:rsidRDefault="003701CA" w:rsidP="003701CA">
            <w:pPr>
              <w:pStyle w:val="P68B1DB1-Normal27"/>
              <w:spacing w:before="60" w:after="60" w:line="240" w:lineRule="auto"/>
              <w:rPr>
                <w:lang w:val="en-GB"/>
              </w:rPr>
            </w:pPr>
            <w:r w:rsidRPr="00305E0F">
              <w:rPr>
                <w:lang w:val="en-GB"/>
              </w:rPr>
              <w:t>Substantial liquidated damages supported by financial substance and/or strong completion guarantee from sponsors with excellent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2714CF34" w14:textId="189F64A3" w:rsidR="003701CA" w:rsidRPr="00305E0F" w:rsidRDefault="003701CA" w:rsidP="003701CA">
            <w:pPr>
              <w:pStyle w:val="P68B1DB1-Normal27"/>
              <w:spacing w:before="60" w:after="60" w:line="240" w:lineRule="auto"/>
              <w:rPr>
                <w:lang w:val="en-GB"/>
              </w:rPr>
            </w:pPr>
            <w:r w:rsidRPr="00305E0F">
              <w:rPr>
                <w:lang w:val="en-GB"/>
              </w:rPr>
              <w:t>Significant liquidated damages supported by financial substance and/or completion guarantee from sponsors with good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645DD674" w14:textId="1C822C41" w:rsidR="003701CA" w:rsidRPr="00305E0F" w:rsidRDefault="003701CA" w:rsidP="003701CA">
            <w:pPr>
              <w:pStyle w:val="P68B1DB1-Normal27"/>
              <w:spacing w:before="60" w:after="60" w:line="240" w:lineRule="auto"/>
              <w:rPr>
                <w:lang w:val="en-GB"/>
              </w:rPr>
            </w:pPr>
            <w:r w:rsidRPr="00305E0F">
              <w:rPr>
                <w:lang w:val="en-GB"/>
              </w:rPr>
              <w:t>Adequate liquidated damages supported by financial substance and/or completion guarantee from sponsors with good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7EF914CD" w14:textId="19B065E1" w:rsidR="003701CA" w:rsidRPr="00305E0F" w:rsidRDefault="003701CA" w:rsidP="003701CA">
            <w:pPr>
              <w:pStyle w:val="P68B1DB1-Normal27"/>
              <w:spacing w:before="60" w:after="60" w:line="240" w:lineRule="auto"/>
              <w:rPr>
                <w:lang w:val="en-GB"/>
              </w:rPr>
            </w:pPr>
            <w:r w:rsidRPr="00305E0F">
              <w:rPr>
                <w:lang w:val="en-GB"/>
              </w:rPr>
              <w:t>Inadequate liquidated damages or not supported by financial substance or weak completion guarantees</w:t>
            </w:r>
          </w:p>
        </w:tc>
      </w:tr>
      <w:tr w:rsidR="00305E0F" w:rsidRPr="00305E0F" w14:paraId="754CBB07"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7FF98FDD" w14:textId="77777777">
              <w:tc>
                <w:tcPr>
                  <w:tcW w:w="0" w:type="auto"/>
                  <w:hideMark/>
                </w:tcPr>
                <w:p w14:paraId="779C36CD" w14:textId="0FA9920B" w:rsidR="003701CA" w:rsidRPr="00305E0F" w:rsidRDefault="003701CA" w:rsidP="003701CA">
                  <w:pPr>
                    <w:spacing w:before="120" w:after="0" w:line="240" w:lineRule="auto"/>
                    <w:rPr>
                      <w:rFonts w:ascii="Times New Roman" w:eastAsia="Times New Roman" w:hAnsi="Times New Roman" w:cs="Times New Roman"/>
                      <w:sz w:val="24"/>
                      <w:szCs w:val="24"/>
                      <w:lang w:val="en-GB"/>
                    </w:rPr>
                  </w:pPr>
                </w:p>
              </w:tc>
              <w:tc>
                <w:tcPr>
                  <w:tcW w:w="0" w:type="auto"/>
                  <w:hideMark/>
                </w:tcPr>
                <w:p w14:paraId="3EEF5E18" w14:textId="75A6E6AF" w:rsidR="003701CA" w:rsidRPr="00305E0F" w:rsidRDefault="003701CA" w:rsidP="003701CA">
                  <w:pPr>
                    <w:pStyle w:val="P68B1DB1-Normal5"/>
                    <w:spacing w:before="120" w:after="0" w:line="240" w:lineRule="auto"/>
                    <w:rPr>
                      <w:lang w:val="en-GB"/>
                    </w:rPr>
                  </w:pPr>
                  <w:r w:rsidRPr="00305E0F">
                    <w:rPr>
                      <w:lang w:val="en-GB"/>
                    </w:rPr>
                    <w:t>2.5.</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Track record and financial strength of contractor in constructing similar projects (sub-factor component)</w:t>
                  </w:r>
                </w:p>
              </w:tc>
            </w:tr>
          </w:tbl>
          <w:p w14:paraId="241106A0" w14:textId="77777777" w:rsidR="003701CA" w:rsidRPr="00305E0F" w:rsidRDefault="003701CA" w:rsidP="003701CA">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C37ECFC" w14:textId="7D764571" w:rsidR="003701CA" w:rsidRPr="00305E0F" w:rsidRDefault="003701CA" w:rsidP="003701CA">
            <w:pPr>
              <w:pStyle w:val="P68B1DB1-Normal27"/>
              <w:spacing w:before="60" w:after="60" w:line="240" w:lineRule="auto"/>
              <w:rPr>
                <w:lang w:val="en-GB"/>
              </w:rPr>
            </w:pPr>
            <w:r w:rsidRPr="00305E0F">
              <w:rPr>
                <w:lang w:val="en-GB"/>
              </w:rPr>
              <w:t>Strong</w:t>
            </w:r>
          </w:p>
        </w:tc>
        <w:tc>
          <w:tcPr>
            <w:tcW w:w="0" w:type="auto"/>
            <w:tcBorders>
              <w:top w:val="single" w:sz="6" w:space="0" w:color="000000"/>
              <w:left w:val="single" w:sz="6" w:space="0" w:color="000000"/>
              <w:bottom w:val="single" w:sz="6" w:space="0" w:color="000000"/>
              <w:right w:val="single" w:sz="6" w:space="0" w:color="000000"/>
            </w:tcBorders>
            <w:hideMark/>
          </w:tcPr>
          <w:p w14:paraId="488B569D" w14:textId="32EA5E9F" w:rsidR="003701CA" w:rsidRPr="00305E0F" w:rsidRDefault="003701CA" w:rsidP="003701CA">
            <w:pPr>
              <w:pStyle w:val="P68B1DB1-Normal27"/>
              <w:spacing w:before="60" w:after="60" w:line="240" w:lineRule="auto"/>
              <w:rPr>
                <w:lang w:val="en-GB"/>
              </w:rPr>
            </w:pPr>
            <w:r w:rsidRPr="00305E0F">
              <w:rPr>
                <w:lang w:val="en-GB"/>
              </w:rPr>
              <w:t>Good</w:t>
            </w:r>
          </w:p>
        </w:tc>
        <w:tc>
          <w:tcPr>
            <w:tcW w:w="0" w:type="auto"/>
            <w:tcBorders>
              <w:top w:val="single" w:sz="6" w:space="0" w:color="000000"/>
              <w:left w:val="single" w:sz="6" w:space="0" w:color="000000"/>
              <w:bottom w:val="single" w:sz="6" w:space="0" w:color="000000"/>
              <w:right w:val="single" w:sz="6" w:space="0" w:color="000000"/>
            </w:tcBorders>
            <w:hideMark/>
          </w:tcPr>
          <w:p w14:paraId="2486A16C" w14:textId="0BAB76D6" w:rsidR="003701CA" w:rsidRPr="00305E0F" w:rsidRDefault="003701CA" w:rsidP="003701CA">
            <w:pPr>
              <w:pStyle w:val="P68B1DB1-Normal27"/>
              <w:spacing w:before="60" w:after="60" w:line="240" w:lineRule="auto"/>
              <w:rPr>
                <w:lang w:val="en-GB"/>
              </w:rPr>
            </w:pPr>
            <w:r w:rsidRPr="00305E0F">
              <w:rPr>
                <w:lang w:val="en-GB"/>
              </w:rPr>
              <w:t>Satisfactory</w:t>
            </w:r>
          </w:p>
        </w:tc>
        <w:tc>
          <w:tcPr>
            <w:tcW w:w="0" w:type="auto"/>
            <w:tcBorders>
              <w:top w:val="single" w:sz="6" w:space="0" w:color="000000"/>
              <w:left w:val="single" w:sz="6" w:space="0" w:color="000000"/>
              <w:bottom w:val="single" w:sz="6" w:space="0" w:color="000000"/>
              <w:right w:val="single" w:sz="6" w:space="0" w:color="000000"/>
            </w:tcBorders>
            <w:hideMark/>
          </w:tcPr>
          <w:p w14:paraId="5BEB84A6" w14:textId="6C0EED96" w:rsidR="003701CA" w:rsidRPr="00305E0F" w:rsidRDefault="003701CA" w:rsidP="003701CA">
            <w:pPr>
              <w:pStyle w:val="P68B1DB1-Normal27"/>
              <w:spacing w:before="60" w:after="60" w:line="240" w:lineRule="auto"/>
              <w:rPr>
                <w:lang w:val="en-GB"/>
              </w:rPr>
            </w:pPr>
            <w:r w:rsidRPr="00305E0F">
              <w:rPr>
                <w:lang w:val="en-GB"/>
              </w:rPr>
              <w:t>Weak</w:t>
            </w:r>
          </w:p>
        </w:tc>
      </w:tr>
      <w:tr w:rsidR="00305E0F" w:rsidRPr="00305E0F" w14:paraId="7E19105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04842CF2" w14:textId="77777777">
              <w:tc>
                <w:tcPr>
                  <w:tcW w:w="0" w:type="auto"/>
                  <w:hideMark/>
                </w:tcPr>
                <w:p w14:paraId="1BAFFCDF" w14:textId="3775B41C" w:rsidR="00EB0050" w:rsidRPr="00305E0F" w:rsidRDefault="00B02122">
                  <w:pPr>
                    <w:pStyle w:val="P68B1DB1-Normal5"/>
                    <w:spacing w:before="120" w:after="0" w:line="240" w:lineRule="auto"/>
                    <w:rPr>
                      <w:lang w:val="en-GB"/>
                    </w:rPr>
                  </w:pPr>
                  <w:r w:rsidRPr="00305E0F">
                    <w:rPr>
                      <w:lang w:val="en-GB"/>
                    </w:rPr>
                    <w:t>3.</w:t>
                  </w:r>
                </w:p>
              </w:tc>
              <w:tc>
                <w:tcPr>
                  <w:tcW w:w="0" w:type="auto"/>
                  <w:hideMark/>
                </w:tcPr>
                <w:p w14:paraId="4984BE45" w14:textId="41BEFD50" w:rsidR="00EB0050" w:rsidRPr="00305E0F" w:rsidRDefault="00B02122">
                  <w:pPr>
                    <w:pStyle w:val="P68B1DB1-Normal5"/>
                    <w:spacing w:before="120" w:after="0" w:line="240" w:lineRule="auto"/>
                    <w:rPr>
                      <w:lang w:val="en-GB"/>
                    </w:rPr>
                  </w:pPr>
                  <w:r w:rsidRPr="00305E0F">
                    <w:rPr>
                      <w:lang w:val="en-GB"/>
                    </w:rPr>
                    <w:t>Sub-factor: operati</w:t>
                  </w:r>
                  <w:r w:rsidR="003701CA" w:rsidRPr="00305E0F">
                    <w:rPr>
                      <w:lang w:val="en-GB"/>
                    </w:rPr>
                    <w:t>ng</w:t>
                  </w:r>
                  <w:r w:rsidRPr="00305E0F">
                    <w:rPr>
                      <w:lang w:val="en-GB"/>
                    </w:rPr>
                    <w:t xml:space="preserve"> risk</w:t>
                  </w:r>
                </w:p>
              </w:tc>
            </w:tr>
          </w:tbl>
          <w:p w14:paraId="5DBCE527" w14:textId="77777777" w:rsidR="00EB0050" w:rsidRPr="00305E0F" w:rsidRDefault="00EB00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2AFED93"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239E32A"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1CC9608"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40A4673B"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36DC176E"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74108898" w14:textId="77777777">
              <w:trPr>
                <w:trHeight w:val="1647"/>
              </w:trPr>
              <w:tc>
                <w:tcPr>
                  <w:tcW w:w="0" w:type="auto"/>
                  <w:hideMark/>
                </w:tcPr>
                <w:p w14:paraId="22956FAB" w14:textId="6A57D93C" w:rsidR="003701CA" w:rsidRPr="00305E0F" w:rsidRDefault="003701CA" w:rsidP="003701CA">
                  <w:pPr>
                    <w:spacing w:before="120" w:after="0" w:line="240" w:lineRule="auto"/>
                    <w:rPr>
                      <w:rFonts w:ascii="Times New Roman" w:eastAsia="Times New Roman" w:hAnsi="Times New Roman" w:cs="Times New Roman"/>
                      <w:sz w:val="24"/>
                      <w:szCs w:val="24"/>
                      <w:lang w:val="en-GB"/>
                    </w:rPr>
                  </w:pPr>
                </w:p>
              </w:tc>
              <w:tc>
                <w:tcPr>
                  <w:tcW w:w="0" w:type="auto"/>
                  <w:hideMark/>
                </w:tcPr>
                <w:p w14:paraId="59E9A94B" w14:textId="447AA6DA" w:rsidR="003701CA" w:rsidRPr="00305E0F" w:rsidRDefault="003701CA" w:rsidP="003701CA">
                  <w:pPr>
                    <w:pStyle w:val="P68B1DB1-Normal5"/>
                    <w:spacing w:before="120" w:after="0" w:line="240" w:lineRule="auto"/>
                    <w:rPr>
                      <w:lang w:val="en-GB"/>
                    </w:rPr>
                  </w:pPr>
                  <w:r w:rsidRPr="00305E0F">
                    <w:rPr>
                      <w:lang w:val="en-GB"/>
                    </w:rPr>
                    <w:t>3.1.</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Scope, nature and complexity of operations and maintenance (O &amp; M) contracts (sub-factor component)</w:t>
                  </w:r>
                </w:p>
              </w:tc>
            </w:tr>
          </w:tbl>
          <w:p w14:paraId="39553411" w14:textId="77777777" w:rsidR="003701CA" w:rsidRPr="00305E0F" w:rsidRDefault="003701CA" w:rsidP="003701CA">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14BB4BF7" w14:textId="1C51B495" w:rsidR="003701CA" w:rsidRPr="00305E0F" w:rsidRDefault="003701CA" w:rsidP="003701CA">
            <w:pPr>
              <w:pStyle w:val="P68B1DB1-Normal28"/>
              <w:spacing w:before="60" w:after="60" w:line="240" w:lineRule="auto"/>
              <w:rPr>
                <w:rFonts w:eastAsia="Times New Roman"/>
                <w:lang w:val="en-GB"/>
              </w:rPr>
            </w:pPr>
            <w:r w:rsidRPr="00305E0F">
              <w:rPr>
                <w:lang w:val="en-GB"/>
              </w:rPr>
              <w:t>Strong long-term O&amp;M contract, preferably with contractual performance incentives, and/or O&amp;M reserve accounts, although an O&amp;M contract is not strictly necessary to perform the required maintenance because the O&amp;M activities are straightforward and transparent.</w:t>
            </w:r>
          </w:p>
        </w:tc>
        <w:tc>
          <w:tcPr>
            <w:tcW w:w="0" w:type="auto"/>
            <w:tcBorders>
              <w:top w:val="single" w:sz="6" w:space="0" w:color="000000"/>
              <w:left w:val="single" w:sz="6" w:space="0" w:color="000000"/>
              <w:bottom w:val="single" w:sz="6" w:space="0" w:color="000000"/>
              <w:right w:val="single" w:sz="6" w:space="0" w:color="000000"/>
            </w:tcBorders>
            <w:hideMark/>
          </w:tcPr>
          <w:p w14:paraId="705E09C3" w14:textId="66443787" w:rsidR="003701CA" w:rsidRPr="00305E0F" w:rsidRDefault="003701CA" w:rsidP="003701CA">
            <w:pPr>
              <w:pStyle w:val="P68B1DB1-Normal27"/>
              <w:spacing w:before="60" w:after="60" w:line="240" w:lineRule="auto"/>
              <w:rPr>
                <w:lang w:val="en-GB"/>
              </w:rPr>
            </w:pPr>
            <w:r w:rsidRPr="00305E0F">
              <w:rPr>
                <w:lang w:val="en-GB"/>
              </w:rPr>
              <w:t>The O&amp;M activities are relatively straightforward and transparent, and there is a long-term O&amp;M contract, and/or O&amp;M reserve account.</w:t>
            </w:r>
          </w:p>
        </w:tc>
        <w:tc>
          <w:tcPr>
            <w:tcW w:w="0" w:type="auto"/>
            <w:tcBorders>
              <w:top w:val="single" w:sz="6" w:space="0" w:color="000000"/>
              <w:left w:val="single" w:sz="6" w:space="0" w:color="000000"/>
              <w:bottom w:val="single" w:sz="6" w:space="0" w:color="000000"/>
              <w:right w:val="single" w:sz="6" w:space="0" w:color="000000"/>
            </w:tcBorders>
            <w:hideMark/>
          </w:tcPr>
          <w:p w14:paraId="62A95F2B" w14:textId="10FBDB47" w:rsidR="003701CA" w:rsidRPr="00305E0F" w:rsidRDefault="003701CA" w:rsidP="003701CA">
            <w:pPr>
              <w:pStyle w:val="P68B1DB1-Normal27"/>
              <w:spacing w:before="60" w:after="60" w:line="240" w:lineRule="auto"/>
              <w:rPr>
                <w:lang w:val="en-GB"/>
              </w:rPr>
            </w:pPr>
            <w:r w:rsidRPr="00305E0F">
              <w:rPr>
                <w:lang w:val="en-GB"/>
              </w:rPr>
              <w:t>The O&amp;M activities are complex and an O&amp;M contract is necessary. There is a limited long-term O&amp;M contract and/or reserve account.</w:t>
            </w:r>
          </w:p>
        </w:tc>
        <w:tc>
          <w:tcPr>
            <w:tcW w:w="0" w:type="auto"/>
            <w:tcBorders>
              <w:top w:val="single" w:sz="6" w:space="0" w:color="000000"/>
              <w:left w:val="single" w:sz="6" w:space="0" w:color="000000"/>
              <w:bottom w:val="single" w:sz="6" w:space="0" w:color="000000"/>
              <w:right w:val="single" w:sz="6" w:space="0" w:color="000000"/>
            </w:tcBorders>
            <w:hideMark/>
          </w:tcPr>
          <w:p w14:paraId="16B4F307" w14:textId="138546C7" w:rsidR="003701CA" w:rsidRPr="00305E0F" w:rsidRDefault="003701CA" w:rsidP="003701CA">
            <w:pPr>
              <w:pStyle w:val="P68B1DB1-Normal27"/>
              <w:spacing w:before="60" w:after="60" w:line="240" w:lineRule="auto"/>
              <w:rPr>
                <w:lang w:val="en-GB"/>
              </w:rPr>
            </w:pPr>
            <w:r w:rsidRPr="00305E0F">
              <w:rPr>
                <w:lang w:val="en-GB"/>
              </w:rPr>
              <w:t>The O&amp;M activities are complex and an O&amp;M contract is strictly necessary. There is no O&amp;M contract. There is therefore the risk of high operational cost overruns beyond mitigants.</w:t>
            </w:r>
          </w:p>
        </w:tc>
      </w:tr>
      <w:tr w:rsidR="00305E0F" w:rsidRPr="00305E0F" w14:paraId="7A03F66F"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255CE31B" w14:textId="77777777">
              <w:tc>
                <w:tcPr>
                  <w:tcW w:w="0" w:type="auto"/>
                  <w:hideMark/>
                </w:tcPr>
                <w:p w14:paraId="347BA02B" w14:textId="495C9C6B" w:rsidR="003701CA" w:rsidRPr="00305E0F" w:rsidRDefault="003701CA" w:rsidP="003701CA">
                  <w:pPr>
                    <w:spacing w:before="120" w:after="0" w:line="240" w:lineRule="auto"/>
                    <w:rPr>
                      <w:rFonts w:ascii="Times New Roman" w:eastAsia="Times New Roman" w:hAnsi="Times New Roman" w:cs="Times New Roman"/>
                      <w:sz w:val="24"/>
                      <w:szCs w:val="24"/>
                      <w:lang w:val="en-GB"/>
                    </w:rPr>
                  </w:pPr>
                </w:p>
              </w:tc>
              <w:tc>
                <w:tcPr>
                  <w:tcW w:w="0" w:type="auto"/>
                  <w:hideMark/>
                </w:tcPr>
                <w:p w14:paraId="05BC56DC" w14:textId="160FE6AA" w:rsidR="003701CA" w:rsidRPr="00305E0F" w:rsidRDefault="003701CA" w:rsidP="003701CA">
                  <w:pPr>
                    <w:pStyle w:val="P68B1DB1-Normal5"/>
                    <w:spacing w:before="120" w:after="0" w:line="240" w:lineRule="auto"/>
                    <w:rPr>
                      <w:lang w:val="en-GB"/>
                    </w:rPr>
                  </w:pPr>
                  <w:r w:rsidRPr="00305E0F">
                    <w:rPr>
                      <w:lang w:val="en-GB"/>
                    </w:rPr>
                    <w:t>3.2.</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Operator’s expertise, track record, and financial strength (sub-factor component)</w:t>
                  </w:r>
                </w:p>
              </w:tc>
            </w:tr>
          </w:tbl>
          <w:p w14:paraId="77814A96" w14:textId="77777777" w:rsidR="003701CA" w:rsidRPr="00305E0F" w:rsidRDefault="003701CA" w:rsidP="003701CA">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6175D25" w14:textId="5E15DE2B" w:rsidR="003701CA" w:rsidRPr="00305E0F" w:rsidRDefault="003701CA" w:rsidP="003701CA">
            <w:pPr>
              <w:pStyle w:val="P68B1DB1-Normal27"/>
              <w:spacing w:before="60" w:after="60" w:line="240" w:lineRule="auto"/>
              <w:rPr>
                <w:lang w:val="en-GB"/>
              </w:rPr>
            </w:pPr>
            <w:r w:rsidRPr="00305E0F">
              <w:rPr>
                <w:lang w:val="en-GB"/>
              </w:rPr>
              <w:t>Very strong, or committed technical assistance of the sponsors</w:t>
            </w:r>
          </w:p>
        </w:tc>
        <w:tc>
          <w:tcPr>
            <w:tcW w:w="0" w:type="auto"/>
            <w:tcBorders>
              <w:top w:val="single" w:sz="6" w:space="0" w:color="000000"/>
              <w:left w:val="single" w:sz="6" w:space="0" w:color="000000"/>
              <w:bottom w:val="single" w:sz="6" w:space="0" w:color="000000"/>
              <w:right w:val="single" w:sz="6" w:space="0" w:color="000000"/>
            </w:tcBorders>
            <w:hideMark/>
          </w:tcPr>
          <w:p w14:paraId="395D29A3" w14:textId="7767AA1A" w:rsidR="003701CA" w:rsidRPr="00305E0F" w:rsidRDefault="003701CA" w:rsidP="003701CA">
            <w:pPr>
              <w:pStyle w:val="P68B1DB1-Normal27"/>
              <w:spacing w:before="60" w:after="60" w:line="240" w:lineRule="auto"/>
              <w:rPr>
                <w:lang w:val="en-GB"/>
              </w:rPr>
            </w:pPr>
            <w:r w:rsidRPr="00305E0F">
              <w:rPr>
                <w:lang w:val="en-GB"/>
              </w:rPr>
              <w:t>Strong</w:t>
            </w:r>
          </w:p>
        </w:tc>
        <w:tc>
          <w:tcPr>
            <w:tcW w:w="0" w:type="auto"/>
            <w:tcBorders>
              <w:top w:val="single" w:sz="6" w:space="0" w:color="000000"/>
              <w:left w:val="single" w:sz="6" w:space="0" w:color="000000"/>
              <w:bottom w:val="single" w:sz="6" w:space="0" w:color="000000"/>
              <w:right w:val="single" w:sz="6" w:space="0" w:color="000000"/>
            </w:tcBorders>
            <w:hideMark/>
          </w:tcPr>
          <w:p w14:paraId="461319D9" w14:textId="0E9DFA8B" w:rsidR="003701CA" w:rsidRPr="00305E0F" w:rsidRDefault="003701CA" w:rsidP="003701CA">
            <w:pPr>
              <w:pStyle w:val="P68B1DB1-Normal27"/>
              <w:spacing w:before="60" w:after="60" w:line="240" w:lineRule="auto"/>
              <w:rPr>
                <w:lang w:val="en-GB"/>
              </w:rPr>
            </w:pPr>
            <w:r w:rsidRPr="00305E0F">
              <w:rPr>
                <w:lang w:val="en-GB"/>
              </w:rPr>
              <w:t>Acceptable</w:t>
            </w:r>
          </w:p>
        </w:tc>
        <w:tc>
          <w:tcPr>
            <w:tcW w:w="0" w:type="auto"/>
            <w:tcBorders>
              <w:top w:val="single" w:sz="6" w:space="0" w:color="000000"/>
              <w:left w:val="single" w:sz="6" w:space="0" w:color="000000"/>
              <w:bottom w:val="single" w:sz="6" w:space="0" w:color="000000"/>
              <w:right w:val="single" w:sz="6" w:space="0" w:color="000000"/>
            </w:tcBorders>
            <w:hideMark/>
          </w:tcPr>
          <w:p w14:paraId="65D3662F" w14:textId="10142D81" w:rsidR="003701CA" w:rsidRPr="00305E0F" w:rsidRDefault="003701CA" w:rsidP="003701CA">
            <w:pPr>
              <w:pStyle w:val="P68B1DB1-Normal27"/>
              <w:spacing w:before="60" w:after="60" w:line="240" w:lineRule="auto"/>
              <w:rPr>
                <w:lang w:val="en-GB"/>
              </w:rPr>
            </w:pPr>
            <w:r w:rsidRPr="00305E0F">
              <w:rPr>
                <w:lang w:val="en-GB"/>
              </w:rPr>
              <w:t>Limited/weak, or local operator dependent on local authorities</w:t>
            </w:r>
          </w:p>
        </w:tc>
      </w:tr>
      <w:tr w:rsidR="00305E0F" w:rsidRPr="00305E0F" w14:paraId="343F1834"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17EB6393" w14:textId="77777777">
              <w:tc>
                <w:tcPr>
                  <w:tcW w:w="0" w:type="auto"/>
                  <w:hideMark/>
                </w:tcPr>
                <w:p w14:paraId="0511E69B" w14:textId="7BC6B7F1" w:rsidR="00EB0050" w:rsidRPr="00305E0F" w:rsidRDefault="00B02122">
                  <w:pPr>
                    <w:pStyle w:val="P68B1DB1-Normal5"/>
                    <w:spacing w:before="120" w:after="0" w:line="240" w:lineRule="auto"/>
                    <w:rPr>
                      <w:lang w:val="en-GB"/>
                    </w:rPr>
                  </w:pPr>
                  <w:r w:rsidRPr="00305E0F">
                    <w:rPr>
                      <w:lang w:val="en-GB"/>
                    </w:rPr>
                    <w:t>4.</w:t>
                  </w:r>
                </w:p>
              </w:tc>
              <w:tc>
                <w:tcPr>
                  <w:tcW w:w="0" w:type="auto"/>
                  <w:hideMark/>
                </w:tcPr>
                <w:p w14:paraId="1AC8798A" w14:textId="55B67C36" w:rsidR="00EB0050" w:rsidRPr="00305E0F" w:rsidRDefault="00B02122">
                  <w:pPr>
                    <w:pStyle w:val="P68B1DB1-Normal5"/>
                    <w:spacing w:before="120" w:after="0" w:line="240" w:lineRule="auto"/>
                    <w:rPr>
                      <w:lang w:val="en-GB"/>
                    </w:rPr>
                  </w:pPr>
                  <w:r w:rsidRPr="00305E0F">
                    <w:rPr>
                      <w:lang w:val="en-GB"/>
                    </w:rPr>
                    <w:t xml:space="preserve">Sub-factor: valuation of income, including off-take risk </w:t>
                  </w:r>
                </w:p>
              </w:tc>
            </w:tr>
          </w:tbl>
          <w:p w14:paraId="3C57B9F9" w14:textId="77777777" w:rsidR="00EB0050" w:rsidRPr="00305E0F" w:rsidRDefault="00EB00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0C864872"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695FFBA"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38052E5"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CF8EA3E"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53EDAA18"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3CB16D18" w14:textId="77777777">
              <w:tc>
                <w:tcPr>
                  <w:tcW w:w="0" w:type="auto"/>
                  <w:hideMark/>
                </w:tcPr>
                <w:p w14:paraId="739047E6" w14:textId="50FC7815" w:rsidR="003701CA" w:rsidRPr="00305E0F" w:rsidRDefault="003701CA" w:rsidP="003701CA">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01232790" w14:textId="0127E505" w:rsidR="003701CA" w:rsidRPr="00305E0F" w:rsidRDefault="003701CA" w:rsidP="003701CA">
                  <w:pPr>
                    <w:pStyle w:val="P68B1DB1-Normal5"/>
                    <w:spacing w:before="120" w:after="0" w:line="240" w:lineRule="auto"/>
                    <w:rPr>
                      <w:lang w:val="en-GB"/>
                    </w:rPr>
                  </w:pPr>
                  <w:r w:rsidRPr="00305E0F">
                    <w:rPr>
                      <w:lang w:val="en-GB"/>
                    </w:rPr>
                    <w:t>4.1.</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What is the robustness of the revenue contracts (e.g. off-take contracts, concession agreements, public private partnership income stream, and other revenue contracts)? What is the quality of the termination clauses? (sub-factor component)</w:t>
                  </w:r>
                </w:p>
              </w:tc>
            </w:tr>
          </w:tbl>
          <w:p w14:paraId="7DB30AE2" w14:textId="77777777" w:rsidR="003701CA" w:rsidRPr="00305E0F" w:rsidRDefault="003701CA" w:rsidP="003701CA">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8B56B3F" w14:textId="072168B6" w:rsidR="003701CA" w:rsidRPr="00305E0F" w:rsidRDefault="003701CA" w:rsidP="003701CA">
            <w:pPr>
              <w:pStyle w:val="P68B1DB1-Normal27"/>
              <w:spacing w:before="60" w:after="60" w:line="240" w:lineRule="auto"/>
              <w:rPr>
                <w:lang w:val="en-GB"/>
              </w:rPr>
            </w:pPr>
            <w:r w:rsidRPr="00305E0F">
              <w:rPr>
                <w:lang w:val="en-GB"/>
              </w:rPr>
              <w:t>Excellent robustness of the revenues</w:t>
            </w:r>
          </w:p>
        </w:tc>
        <w:tc>
          <w:tcPr>
            <w:tcW w:w="0" w:type="auto"/>
            <w:tcBorders>
              <w:top w:val="single" w:sz="6" w:space="0" w:color="000000"/>
              <w:left w:val="single" w:sz="6" w:space="0" w:color="000000"/>
              <w:bottom w:val="single" w:sz="6" w:space="0" w:color="000000"/>
              <w:right w:val="single" w:sz="6" w:space="0" w:color="000000"/>
            </w:tcBorders>
            <w:hideMark/>
          </w:tcPr>
          <w:p w14:paraId="42E04680" w14:textId="42936D88" w:rsidR="003701CA" w:rsidRPr="00305E0F" w:rsidRDefault="003701CA" w:rsidP="003701CA">
            <w:pPr>
              <w:pStyle w:val="P68B1DB1-Normal27"/>
              <w:spacing w:before="60" w:after="60" w:line="240" w:lineRule="auto"/>
              <w:rPr>
                <w:lang w:val="en-GB"/>
              </w:rPr>
            </w:pPr>
            <w:r w:rsidRPr="00305E0F">
              <w:rPr>
                <w:lang w:val="en-GB"/>
              </w:rPr>
              <w:t>Good robustness of the revenues</w:t>
            </w:r>
          </w:p>
        </w:tc>
        <w:tc>
          <w:tcPr>
            <w:tcW w:w="0" w:type="auto"/>
            <w:tcBorders>
              <w:top w:val="single" w:sz="6" w:space="0" w:color="000000"/>
              <w:left w:val="single" w:sz="6" w:space="0" w:color="000000"/>
              <w:bottom w:val="single" w:sz="6" w:space="0" w:color="000000"/>
              <w:right w:val="single" w:sz="6" w:space="0" w:color="000000"/>
            </w:tcBorders>
            <w:hideMark/>
          </w:tcPr>
          <w:p w14:paraId="30FD6495" w14:textId="5484BDB3" w:rsidR="003701CA" w:rsidRPr="00305E0F" w:rsidRDefault="003701CA" w:rsidP="003701CA">
            <w:pPr>
              <w:pStyle w:val="P68B1DB1-Normal27"/>
              <w:spacing w:before="60" w:after="60" w:line="240" w:lineRule="auto"/>
              <w:rPr>
                <w:lang w:val="en-GB"/>
              </w:rPr>
            </w:pPr>
            <w:r w:rsidRPr="00305E0F">
              <w:rPr>
                <w:lang w:val="en-GB"/>
              </w:rPr>
              <w:t>Acceptable robustness of the revenues</w:t>
            </w:r>
          </w:p>
        </w:tc>
        <w:tc>
          <w:tcPr>
            <w:tcW w:w="0" w:type="auto"/>
            <w:tcBorders>
              <w:top w:val="single" w:sz="6" w:space="0" w:color="000000"/>
              <w:left w:val="single" w:sz="6" w:space="0" w:color="000000"/>
              <w:bottom w:val="single" w:sz="6" w:space="0" w:color="000000"/>
              <w:right w:val="single" w:sz="6" w:space="0" w:color="000000"/>
            </w:tcBorders>
            <w:hideMark/>
          </w:tcPr>
          <w:p w14:paraId="040877EE" w14:textId="3A1200A2" w:rsidR="003701CA" w:rsidRPr="00305E0F" w:rsidRDefault="003701CA" w:rsidP="003701CA">
            <w:pPr>
              <w:pStyle w:val="P68B1DB1-Normal27"/>
              <w:spacing w:before="60" w:after="60" w:line="240" w:lineRule="auto"/>
              <w:rPr>
                <w:lang w:val="en-GB"/>
              </w:rPr>
            </w:pPr>
            <w:r w:rsidRPr="00305E0F">
              <w:rPr>
                <w:lang w:val="en-GB"/>
              </w:rPr>
              <w:t>The revenues of the project are not certain and there are indications that some of the revenues may not be obtained.</w:t>
            </w:r>
          </w:p>
        </w:tc>
      </w:tr>
      <w:tr w:rsidR="00305E0F" w:rsidRPr="00305E0F" w14:paraId="05DE6ABC"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72"/>
              <w:gridCol w:w="2330"/>
            </w:tblGrid>
            <w:tr w:rsidR="00305E0F" w:rsidRPr="00305E0F" w14:paraId="5A6076B8" w14:textId="77777777">
              <w:tc>
                <w:tcPr>
                  <w:tcW w:w="150" w:type="pct"/>
                  <w:hideMark/>
                </w:tcPr>
                <w:p w14:paraId="5FA3433E" w14:textId="3313405D" w:rsidR="003701CA" w:rsidRPr="00305E0F" w:rsidRDefault="003701CA" w:rsidP="003701CA">
                  <w:pPr>
                    <w:spacing w:before="120" w:after="0" w:line="240" w:lineRule="auto"/>
                    <w:jc w:val="both"/>
                    <w:rPr>
                      <w:rFonts w:ascii="Times New Roman" w:eastAsia="Times New Roman" w:hAnsi="Times New Roman" w:cs="Times New Roman"/>
                      <w:sz w:val="24"/>
                      <w:szCs w:val="24"/>
                      <w:lang w:val="en-GB"/>
                    </w:rPr>
                  </w:pPr>
                </w:p>
              </w:tc>
              <w:tc>
                <w:tcPr>
                  <w:tcW w:w="4850" w:type="pct"/>
                  <w:hideMark/>
                </w:tcPr>
                <w:p w14:paraId="15578A47" w14:textId="369F77A5" w:rsidR="003701CA" w:rsidRPr="00305E0F" w:rsidRDefault="003701CA" w:rsidP="003701CA">
                  <w:pPr>
                    <w:pStyle w:val="P68B1DB1-Normal5"/>
                    <w:spacing w:before="120" w:after="0" w:line="240" w:lineRule="auto"/>
                    <w:rPr>
                      <w:lang w:val="en-GB"/>
                    </w:rPr>
                  </w:pPr>
                  <w:r w:rsidRPr="00305E0F">
                    <w:rPr>
                      <w:lang w:val="en-GB"/>
                    </w:rPr>
                    <w:t>4.2.</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If there is a take-or-pay or fixed-price off-take contract (sub-factor component)</w:t>
                  </w:r>
                </w:p>
              </w:tc>
            </w:tr>
          </w:tbl>
          <w:p w14:paraId="41B76223" w14:textId="77777777" w:rsidR="003701CA" w:rsidRPr="00305E0F" w:rsidRDefault="003701CA" w:rsidP="003701CA">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33CA4C5" w14:textId="6EEA6C6A" w:rsidR="003701CA" w:rsidRPr="00305E0F" w:rsidRDefault="003701CA" w:rsidP="003701CA">
            <w:pPr>
              <w:pStyle w:val="P68B1DB1-Normal27"/>
              <w:spacing w:before="60" w:after="60" w:line="240" w:lineRule="auto"/>
              <w:rPr>
                <w:lang w:val="en-GB"/>
              </w:rPr>
            </w:pPr>
            <w:r w:rsidRPr="00305E0F">
              <w:rPr>
                <w:lang w:val="en-GB"/>
              </w:rPr>
              <w:t>Excellent creditworthiness of off-taker; strong termination clauses; tenor of contract comfortably exceeds the maturity of the debt.</w:t>
            </w:r>
          </w:p>
        </w:tc>
        <w:tc>
          <w:tcPr>
            <w:tcW w:w="0" w:type="auto"/>
            <w:tcBorders>
              <w:top w:val="single" w:sz="6" w:space="0" w:color="000000"/>
              <w:left w:val="single" w:sz="6" w:space="0" w:color="000000"/>
              <w:bottom w:val="single" w:sz="6" w:space="0" w:color="000000"/>
              <w:right w:val="single" w:sz="6" w:space="0" w:color="000000"/>
            </w:tcBorders>
            <w:hideMark/>
          </w:tcPr>
          <w:p w14:paraId="3889DB0E" w14:textId="7978DABD" w:rsidR="003701CA" w:rsidRPr="00305E0F" w:rsidRDefault="003701CA" w:rsidP="003701CA">
            <w:pPr>
              <w:pStyle w:val="P68B1DB1-Normal27"/>
              <w:spacing w:before="60" w:after="60" w:line="240" w:lineRule="auto"/>
              <w:rPr>
                <w:lang w:val="en-GB"/>
              </w:rPr>
            </w:pPr>
            <w:r w:rsidRPr="00305E0F">
              <w:rPr>
                <w:lang w:val="en-GB"/>
              </w:rPr>
              <w:t>Good creditworthiness of off-taker; strong termination clauses; tenor of contract exceeds the maturity of the debt.</w:t>
            </w:r>
          </w:p>
        </w:tc>
        <w:tc>
          <w:tcPr>
            <w:tcW w:w="0" w:type="auto"/>
            <w:tcBorders>
              <w:top w:val="single" w:sz="6" w:space="0" w:color="000000"/>
              <w:left w:val="single" w:sz="6" w:space="0" w:color="000000"/>
              <w:bottom w:val="single" w:sz="6" w:space="0" w:color="000000"/>
              <w:right w:val="single" w:sz="6" w:space="0" w:color="000000"/>
            </w:tcBorders>
            <w:hideMark/>
          </w:tcPr>
          <w:p w14:paraId="1BA5787D" w14:textId="586E9869" w:rsidR="003701CA" w:rsidRPr="00305E0F" w:rsidRDefault="003701CA" w:rsidP="003701CA">
            <w:pPr>
              <w:pStyle w:val="P68B1DB1-Normal27"/>
              <w:spacing w:before="60" w:after="60" w:line="240" w:lineRule="auto"/>
              <w:rPr>
                <w:lang w:val="en-GB"/>
              </w:rPr>
            </w:pPr>
            <w:r w:rsidRPr="00305E0F">
              <w:rPr>
                <w:lang w:val="en-GB"/>
              </w:rPr>
              <w:t>Acceptable financial standing of off-taker; normal termination clauses; tenor of contract generally matches the maturity of the debt.</w:t>
            </w:r>
          </w:p>
        </w:tc>
        <w:tc>
          <w:tcPr>
            <w:tcW w:w="0" w:type="auto"/>
            <w:tcBorders>
              <w:top w:val="single" w:sz="6" w:space="0" w:color="000000"/>
              <w:left w:val="single" w:sz="6" w:space="0" w:color="000000"/>
              <w:bottom w:val="single" w:sz="6" w:space="0" w:color="000000"/>
              <w:right w:val="single" w:sz="6" w:space="0" w:color="000000"/>
            </w:tcBorders>
            <w:hideMark/>
          </w:tcPr>
          <w:p w14:paraId="360C0311" w14:textId="30FF1FDD" w:rsidR="003701CA" w:rsidRPr="00305E0F" w:rsidRDefault="003701CA" w:rsidP="003701CA">
            <w:pPr>
              <w:pStyle w:val="P68B1DB1-Normal27"/>
              <w:spacing w:before="60" w:after="60" w:line="240" w:lineRule="auto"/>
              <w:rPr>
                <w:lang w:val="en-GB"/>
              </w:rPr>
            </w:pPr>
            <w:r w:rsidRPr="00305E0F">
              <w:rPr>
                <w:lang w:val="en-GB"/>
              </w:rPr>
              <w:t>Weak off-taker; weak termination clauses; tenor of contract does not exceed the maturity of the debt.</w:t>
            </w:r>
          </w:p>
        </w:tc>
      </w:tr>
      <w:tr w:rsidR="00305E0F" w:rsidRPr="00305E0F" w14:paraId="7EA8DBA0"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5AC05B34" w14:textId="77777777">
              <w:tc>
                <w:tcPr>
                  <w:tcW w:w="0" w:type="auto"/>
                  <w:hideMark/>
                </w:tcPr>
                <w:p w14:paraId="40B173AE" w14:textId="10D70F91" w:rsidR="002A32B5" w:rsidRPr="00305E0F" w:rsidRDefault="002A32B5" w:rsidP="002A32B5">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72AFBBB1" w14:textId="560D8FCD" w:rsidR="002A32B5" w:rsidRPr="00305E0F" w:rsidRDefault="002A32B5" w:rsidP="002A32B5">
                  <w:pPr>
                    <w:pStyle w:val="P68B1DB1-Normal5"/>
                    <w:spacing w:before="120" w:after="0" w:line="240" w:lineRule="auto"/>
                    <w:rPr>
                      <w:lang w:val="en-GB"/>
                    </w:rPr>
                  </w:pPr>
                  <w:r w:rsidRPr="00305E0F">
                    <w:rPr>
                      <w:lang w:val="en-GB"/>
                    </w:rPr>
                    <w:t>4.3.</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If there is no take-or-pay or fixed-price off-take contract (sub-factor component)</w:t>
                  </w:r>
                </w:p>
              </w:tc>
            </w:tr>
          </w:tbl>
          <w:p w14:paraId="2077B4EE" w14:textId="77777777" w:rsidR="002A32B5" w:rsidRPr="00305E0F" w:rsidRDefault="002A32B5" w:rsidP="002A32B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2B64DC8A" w14:textId="1C8FE4D7" w:rsidR="002A32B5" w:rsidRPr="00305E0F" w:rsidRDefault="002A32B5" w:rsidP="002A32B5">
            <w:pPr>
              <w:pStyle w:val="P68B1DB1-Normal27"/>
              <w:spacing w:before="60" w:after="60" w:line="240" w:lineRule="auto"/>
              <w:rPr>
                <w:lang w:val="en-GB"/>
              </w:rPr>
            </w:pPr>
            <w:r w:rsidRPr="00305E0F">
              <w:rPr>
                <w:lang w:val="en-GB"/>
              </w:rPr>
              <w:t>Project produces essential services or a commodity sold widely on a world market; output can readily be absorbed at projected prices even at lower than historic market. growth rates.</w:t>
            </w:r>
          </w:p>
        </w:tc>
        <w:tc>
          <w:tcPr>
            <w:tcW w:w="0" w:type="auto"/>
            <w:tcBorders>
              <w:top w:val="single" w:sz="6" w:space="0" w:color="000000"/>
              <w:left w:val="single" w:sz="6" w:space="0" w:color="000000"/>
              <w:bottom w:val="single" w:sz="6" w:space="0" w:color="000000"/>
              <w:right w:val="single" w:sz="6" w:space="0" w:color="000000"/>
            </w:tcBorders>
            <w:hideMark/>
          </w:tcPr>
          <w:p w14:paraId="576D57F3" w14:textId="6BE92EAD" w:rsidR="002A32B5" w:rsidRPr="00305E0F" w:rsidRDefault="002A32B5" w:rsidP="002A32B5">
            <w:pPr>
              <w:pStyle w:val="P68B1DB1-Normal27"/>
              <w:spacing w:before="60" w:after="60" w:line="240" w:lineRule="auto"/>
              <w:rPr>
                <w:lang w:val="en-GB"/>
              </w:rPr>
            </w:pPr>
            <w:r w:rsidRPr="00305E0F">
              <w:rPr>
                <w:lang w:val="en-GB"/>
              </w:rPr>
              <w:t>Project produces essential services or a commodity sold widely on a regional market that will absorb it at projected prices at historical growth rates.</w:t>
            </w:r>
          </w:p>
        </w:tc>
        <w:tc>
          <w:tcPr>
            <w:tcW w:w="0" w:type="auto"/>
            <w:tcBorders>
              <w:top w:val="single" w:sz="6" w:space="0" w:color="000000"/>
              <w:left w:val="single" w:sz="6" w:space="0" w:color="000000"/>
              <w:bottom w:val="single" w:sz="6" w:space="0" w:color="000000"/>
              <w:right w:val="single" w:sz="6" w:space="0" w:color="000000"/>
            </w:tcBorders>
            <w:hideMark/>
          </w:tcPr>
          <w:p w14:paraId="18D3D980" w14:textId="6E55AA8B" w:rsidR="002A32B5" w:rsidRPr="00305E0F" w:rsidRDefault="002A32B5" w:rsidP="002A32B5">
            <w:pPr>
              <w:pStyle w:val="P68B1DB1-Normal27"/>
              <w:spacing w:before="60" w:after="60" w:line="240" w:lineRule="auto"/>
              <w:rPr>
                <w:lang w:val="en-GB"/>
              </w:rPr>
            </w:pPr>
            <w:r w:rsidRPr="00305E0F">
              <w:rPr>
                <w:lang w:val="en-GB"/>
              </w:rPr>
              <w:t>Commodity is sold on a limited market that may absorb it only at lower than projected prices.</w:t>
            </w:r>
          </w:p>
        </w:tc>
        <w:tc>
          <w:tcPr>
            <w:tcW w:w="0" w:type="auto"/>
            <w:tcBorders>
              <w:top w:val="single" w:sz="6" w:space="0" w:color="000000"/>
              <w:left w:val="single" w:sz="6" w:space="0" w:color="000000"/>
              <w:bottom w:val="single" w:sz="6" w:space="0" w:color="000000"/>
              <w:right w:val="single" w:sz="6" w:space="0" w:color="000000"/>
            </w:tcBorders>
            <w:hideMark/>
          </w:tcPr>
          <w:p w14:paraId="124BBD46" w14:textId="2D80D2E3" w:rsidR="002A32B5" w:rsidRPr="00305E0F" w:rsidRDefault="002A32B5" w:rsidP="002A32B5">
            <w:pPr>
              <w:pStyle w:val="P68B1DB1-Normal27"/>
              <w:spacing w:before="60" w:after="60" w:line="240" w:lineRule="auto"/>
              <w:rPr>
                <w:lang w:val="en-GB"/>
              </w:rPr>
            </w:pPr>
            <w:r w:rsidRPr="00305E0F">
              <w:rPr>
                <w:lang w:val="en-GB"/>
              </w:rPr>
              <w:t>Project output is demanded by only one or a few buyers or is not generally sold on an organised market.</w:t>
            </w:r>
          </w:p>
        </w:tc>
      </w:tr>
      <w:tr w:rsidR="00305E0F" w:rsidRPr="00305E0F" w14:paraId="48A6AE63"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2"/>
              <w:gridCol w:w="2220"/>
            </w:tblGrid>
            <w:tr w:rsidR="00305E0F" w:rsidRPr="00305E0F" w14:paraId="7FCCD1AA" w14:textId="77777777">
              <w:tc>
                <w:tcPr>
                  <w:tcW w:w="0" w:type="auto"/>
                  <w:hideMark/>
                </w:tcPr>
                <w:p w14:paraId="2EFE87FB" w14:textId="6A03503F" w:rsidR="00EB0050" w:rsidRPr="00305E0F" w:rsidRDefault="00B02122">
                  <w:pPr>
                    <w:pStyle w:val="P68B1DB1-Normal5"/>
                    <w:spacing w:before="120" w:after="0" w:line="240" w:lineRule="auto"/>
                    <w:jc w:val="both"/>
                    <w:rPr>
                      <w:lang w:val="en-GB"/>
                    </w:rPr>
                  </w:pPr>
                  <w:r w:rsidRPr="00305E0F">
                    <w:rPr>
                      <w:lang w:val="en-GB"/>
                    </w:rPr>
                    <w:t>5.</w:t>
                  </w:r>
                </w:p>
              </w:tc>
              <w:tc>
                <w:tcPr>
                  <w:tcW w:w="0" w:type="auto"/>
                  <w:hideMark/>
                </w:tcPr>
                <w:p w14:paraId="75B36F96" w14:textId="77777777" w:rsidR="00EB0050" w:rsidRPr="00305E0F" w:rsidRDefault="00B02122">
                  <w:pPr>
                    <w:pStyle w:val="P68B1DB1-Normal5"/>
                    <w:spacing w:before="120" w:after="0" w:line="240" w:lineRule="auto"/>
                    <w:jc w:val="both"/>
                    <w:rPr>
                      <w:lang w:val="en-GB"/>
                    </w:rPr>
                  </w:pPr>
                  <w:r w:rsidRPr="00305E0F">
                    <w:rPr>
                      <w:lang w:val="en-GB"/>
                    </w:rPr>
                    <w:t>Sub-factor: supply risk</w:t>
                  </w:r>
                </w:p>
              </w:tc>
            </w:tr>
          </w:tbl>
          <w:p w14:paraId="6F94507B" w14:textId="77777777" w:rsidR="00EB0050" w:rsidRPr="00305E0F" w:rsidRDefault="00EB00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27E063EA"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6665CAC4"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6A20BB56"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4BFAEEF"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09164798"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200C36DE" w14:textId="77777777">
              <w:tc>
                <w:tcPr>
                  <w:tcW w:w="0" w:type="auto"/>
                  <w:hideMark/>
                </w:tcPr>
                <w:p w14:paraId="3D7CE235" w14:textId="23168491" w:rsidR="002A32B5" w:rsidRPr="00305E0F" w:rsidRDefault="002A32B5" w:rsidP="002A32B5">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7AFEE7B6" w14:textId="1E2CCD15" w:rsidR="002A32B5" w:rsidRPr="00305E0F" w:rsidRDefault="002A32B5" w:rsidP="002A32B5">
                  <w:pPr>
                    <w:pStyle w:val="P68B1DB1-Normal5"/>
                    <w:spacing w:before="120" w:after="0" w:line="240" w:lineRule="auto"/>
                    <w:rPr>
                      <w:lang w:val="en-GB"/>
                    </w:rPr>
                  </w:pPr>
                  <w:r w:rsidRPr="00305E0F">
                    <w:rPr>
                      <w:lang w:val="en-GB"/>
                    </w:rPr>
                    <w:t>5.1.</w:t>
                  </w:r>
                  <w:r w:rsidRPr="00305E0F">
                    <w:rPr>
                      <w:rFonts w:asciiTheme="minorHAnsi" w:eastAsiaTheme="minorHAnsi" w:hAnsiTheme="minorHAnsi" w:cstheme="minorBidi"/>
                      <w:shd w:val="clear" w:color="auto" w:fill="FFFFFF"/>
                      <w:lang w:val="en-GB"/>
                    </w:rPr>
                    <w:t xml:space="preserve"> </w:t>
                  </w:r>
                  <w:r w:rsidRPr="00305E0F">
                    <w:rPr>
                      <w:lang w:val="en-GB"/>
                    </w:rPr>
                    <w:t>Price, volume and transportation risk of feed-stocks; supplier’s track record and financial strength (sub-factor component)</w:t>
                  </w:r>
                </w:p>
              </w:tc>
            </w:tr>
          </w:tbl>
          <w:p w14:paraId="0FA19EF8" w14:textId="77777777" w:rsidR="002A32B5" w:rsidRPr="00305E0F" w:rsidRDefault="002A32B5" w:rsidP="002A32B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465C4C09" w14:textId="16F5F1F2" w:rsidR="002A32B5" w:rsidRPr="00305E0F" w:rsidRDefault="002A32B5" w:rsidP="002A32B5">
            <w:pPr>
              <w:pStyle w:val="P68B1DB1-Normal27"/>
              <w:spacing w:before="60" w:after="60" w:line="240" w:lineRule="auto"/>
              <w:rPr>
                <w:lang w:val="en-GB"/>
              </w:rPr>
            </w:pPr>
            <w:r w:rsidRPr="00305E0F">
              <w:rPr>
                <w:lang w:val="en-GB"/>
              </w:rPr>
              <w:t>Long-term supply contract with supplier of excellent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5DDDDB18" w14:textId="744F9938" w:rsidR="002A32B5" w:rsidRPr="00305E0F" w:rsidRDefault="002A32B5" w:rsidP="002A32B5">
            <w:pPr>
              <w:pStyle w:val="P68B1DB1-Normal27"/>
              <w:spacing w:before="60" w:after="60" w:line="240" w:lineRule="auto"/>
              <w:rPr>
                <w:lang w:val="en-GB"/>
              </w:rPr>
            </w:pPr>
            <w:r w:rsidRPr="00305E0F">
              <w:rPr>
                <w:lang w:val="en-GB"/>
              </w:rPr>
              <w:t>Long-term supply contract with supplier of good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232B2227" w14:textId="2CB5DE0D" w:rsidR="002A32B5" w:rsidRPr="00305E0F" w:rsidRDefault="002A32B5" w:rsidP="002A32B5">
            <w:pPr>
              <w:pStyle w:val="P68B1DB1-Normal27"/>
              <w:spacing w:before="60" w:after="60" w:line="240" w:lineRule="auto"/>
              <w:rPr>
                <w:lang w:val="en-GB"/>
              </w:rPr>
            </w:pPr>
            <w:r w:rsidRPr="00305E0F">
              <w:rPr>
                <w:lang w:val="en-GB"/>
              </w:rPr>
              <w:t>Long-term supply contract with supplier of good financial standing – a degree of price risk may remain</w:t>
            </w:r>
          </w:p>
        </w:tc>
        <w:tc>
          <w:tcPr>
            <w:tcW w:w="0" w:type="auto"/>
            <w:tcBorders>
              <w:top w:val="single" w:sz="6" w:space="0" w:color="000000"/>
              <w:left w:val="single" w:sz="6" w:space="0" w:color="000000"/>
              <w:bottom w:val="single" w:sz="6" w:space="0" w:color="000000"/>
              <w:right w:val="single" w:sz="6" w:space="0" w:color="000000"/>
            </w:tcBorders>
            <w:hideMark/>
          </w:tcPr>
          <w:p w14:paraId="48CA045D" w14:textId="581450FE" w:rsidR="002A32B5" w:rsidRPr="00305E0F" w:rsidRDefault="002A32B5" w:rsidP="002A32B5">
            <w:pPr>
              <w:pStyle w:val="P68B1DB1-Normal27"/>
              <w:spacing w:before="60" w:after="60" w:line="240" w:lineRule="auto"/>
              <w:rPr>
                <w:lang w:val="en-GB"/>
              </w:rPr>
            </w:pPr>
            <w:r w:rsidRPr="00305E0F">
              <w:rPr>
                <w:lang w:val="en-GB"/>
              </w:rPr>
              <w:t>Short-term supply contract or long-term supply contract with financially weak supplier – a degree of price risk definitely remains</w:t>
            </w:r>
          </w:p>
        </w:tc>
      </w:tr>
      <w:tr w:rsidR="00305E0F" w:rsidRPr="00305E0F" w14:paraId="74EEF73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396"/>
            </w:tblGrid>
            <w:tr w:rsidR="00305E0F" w:rsidRPr="00305E0F" w14:paraId="65471AB1" w14:textId="77777777">
              <w:tc>
                <w:tcPr>
                  <w:tcW w:w="0" w:type="auto"/>
                  <w:hideMark/>
                </w:tcPr>
                <w:p w14:paraId="36C54399" w14:textId="4B079B6E" w:rsidR="002A32B5" w:rsidRPr="00305E0F" w:rsidRDefault="002A32B5" w:rsidP="002A32B5">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2FA0AB20" w14:textId="380125D3" w:rsidR="002A32B5" w:rsidRPr="00305E0F" w:rsidRDefault="002A32B5" w:rsidP="002A32B5">
                  <w:pPr>
                    <w:pStyle w:val="P68B1DB1-Normal5"/>
                    <w:spacing w:before="120" w:after="0" w:line="240" w:lineRule="auto"/>
                    <w:rPr>
                      <w:lang w:val="en-GB"/>
                    </w:rPr>
                  </w:pPr>
                  <w:r w:rsidRPr="00305E0F">
                    <w:rPr>
                      <w:lang w:val="en-GB"/>
                    </w:rPr>
                    <w:t>5.2.Reserve risks (e.g. natural resource development) (sub-factor component)</w:t>
                  </w:r>
                </w:p>
                <w:p w14:paraId="48BF12F5" w14:textId="0453DC5C" w:rsidR="002A32B5" w:rsidRPr="00305E0F" w:rsidRDefault="002A32B5" w:rsidP="002A32B5">
                  <w:pPr>
                    <w:pStyle w:val="P68B1DB1-Normal5"/>
                    <w:spacing w:before="120" w:after="0" w:line="240" w:lineRule="auto"/>
                    <w:rPr>
                      <w:lang w:val="en-GB"/>
                    </w:rPr>
                  </w:pPr>
                </w:p>
              </w:tc>
            </w:tr>
          </w:tbl>
          <w:p w14:paraId="73D7E265" w14:textId="77777777" w:rsidR="002A32B5" w:rsidRPr="00305E0F" w:rsidRDefault="002A32B5" w:rsidP="002A32B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C1544B0" w14:textId="0FC6D638" w:rsidR="002A32B5" w:rsidRPr="00305E0F" w:rsidRDefault="002A32B5" w:rsidP="002A32B5">
            <w:pPr>
              <w:pStyle w:val="P68B1DB1-Normal27"/>
              <w:spacing w:before="60" w:after="60" w:line="240" w:lineRule="auto"/>
              <w:rPr>
                <w:lang w:val="en-GB"/>
              </w:rPr>
            </w:pPr>
            <w:r w:rsidRPr="00305E0F">
              <w:rPr>
                <w:lang w:val="en-GB"/>
              </w:rPr>
              <w:t>Independently audited, proven and developed reserves well in excess of requirements over lifetime of the project.</w:t>
            </w:r>
          </w:p>
        </w:tc>
        <w:tc>
          <w:tcPr>
            <w:tcW w:w="0" w:type="auto"/>
            <w:tcBorders>
              <w:top w:val="single" w:sz="6" w:space="0" w:color="000000"/>
              <w:left w:val="single" w:sz="6" w:space="0" w:color="000000"/>
              <w:bottom w:val="single" w:sz="6" w:space="0" w:color="000000"/>
              <w:right w:val="single" w:sz="6" w:space="0" w:color="000000"/>
            </w:tcBorders>
            <w:hideMark/>
          </w:tcPr>
          <w:p w14:paraId="16F8E17E" w14:textId="6D5B7F73" w:rsidR="002A32B5" w:rsidRPr="00305E0F" w:rsidRDefault="002A32B5" w:rsidP="002A32B5">
            <w:pPr>
              <w:pStyle w:val="P68B1DB1-Normal27"/>
              <w:spacing w:before="60" w:after="60" w:line="240" w:lineRule="auto"/>
              <w:rPr>
                <w:lang w:val="en-GB"/>
              </w:rPr>
            </w:pPr>
            <w:r w:rsidRPr="00305E0F">
              <w:rPr>
                <w:lang w:val="en-GB"/>
              </w:rPr>
              <w:t>Independently audited, proven and developed reserves in excess of requirements over lifetime of the project.</w:t>
            </w:r>
          </w:p>
        </w:tc>
        <w:tc>
          <w:tcPr>
            <w:tcW w:w="0" w:type="auto"/>
            <w:tcBorders>
              <w:top w:val="single" w:sz="6" w:space="0" w:color="000000"/>
              <w:left w:val="single" w:sz="6" w:space="0" w:color="000000"/>
              <w:bottom w:val="single" w:sz="6" w:space="0" w:color="000000"/>
              <w:right w:val="single" w:sz="6" w:space="0" w:color="000000"/>
            </w:tcBorders>
            <w:hideMark/>
          </w:tcPr>
          <w:p w14:paraId="64EF522C" w14:textId="193F5AE7" w:rsidR="002A32B5" w:rsidRPr="00305E0F" w:rsidRDefault="002A32B5" w:rsidP="002A32B5">
            <w:pPr>
              <w:pStyle w:val="P68B1DB1-Normal27"/>
              <w:spacing w:before="60" w:after="60" w:line="240" w:lineRule="auto"/>
              <w:rPr>
                <w:lang w:val="en-GB"/>
              </w:rPr>
            </w:pPr>
            <w:r w:rsidRPr="00305E0F">
              <w:rPr>
                <w:lang w:val="en-GB"/>
              </w:rPr>
              <w:t>Proven reserves can supply the project adequately through the maturity of the debt.</w:t>
            </w:r>
          </w:p>
        </w:tc>
        <w:tc>
          <w:tcPr>
            <w:tcW w:w="0" w:type="auto"/>
            <w:tcBorders>
              <w:top w:val="single" w:sz="6" w:space="0" w:color="000000"/>
              <w:left w:val="single" w:sz="6" w:space="0" w:color="000000"/>
              <w:bottom w:val="single" w:sz="6" w:space="0" w:color="000000"/>
              <w:right w:val="single" w:sz="6" w:space="0" w:color="000000"/>
            </w:tcBorders>
            <w:hideMark/>
          </w:tcPr>
          <w:p w14:paraId="4C30530D" w14:textId="3E8236E0" w:rsidR="002A32B5" w:rsidRPr="00305E0F" w:rsidRDefault="002A32B5" w:rsidP="002A32B5">
            <w:pPr>
              <w:pStyle w:val="P68B1DB1-Normal27"/>
              <w:spacing w:before="60" w:after="60" w:line="240" w:lineRule="auto"/>
              <w:rPr>
                <w:lang w:val="en-GB"/>
              </w:rPr>
            </w:pPr>
            <w:r w:rsidRPr="00305E0F">
              <w:rPr>
                <w:lang w:val="en-GB"/>
              </w:rPr>
              <w:t>Project relies to some extent on potential and undeveloped reserves.</w:t>
            </w:r>
          </w:p>
        </w:tc>
      </w:tr>
      <w:tr w:rsidR="00305E0F" w:rsidRPr="00305E0F" w14:paraId="1C7A501E" w14:textId="77777777">
        <w:tc>
          <w:tcPr>
            <w:tcW w:w="0" w:type="auto"/>
            <w:tcBorders>
              <w:top w:val="single" w:sz="6" w:space="0" w:color="000000"/>
              <w:left w:val="single" w:sz="6" w:space="0" w:color="000000"/>
              <w:bottom w:val="single" w:sz="6" w:space="0" w:color="000000"/>
              <w:right w:val="single" w:sz="6" w:space="0" w:color="000000"/>
            </w:tcBorders>
            <w:hideMark/>
          </w:tcPr>
          <w:p w14:paraId="0E8F86A7" w14:textId="1FC3AF85" w:rsidR="00EB0050" w:rsidRPr="00305E0F" w:rsidRDefault="002A32B5">
            <w:pPr>
              <w:pStyle w:val="P68B1DB1-Normal26"/>
              <w:spacing w:before="60" w:after="60" w:line="240" w:lineRule="auto"/>
              <w:rPr>
                <w:sz w:val="24"/>
                <w:szCs w:val="24"/>
                <w:lang w:val="en-GB"/>
              </w:rPr>
            </w:pPr>
            <w:r w:rsidRPr="00305E0F">
              <w:rPr>
                <w:bCs/>
                <w:sz w:val="24"/>
                <w:szCs w:val="24"/>
                <w:lang w:val="en-GB"/>
              </w:rPr>
              <w:t>Factor: strength of sponsor (including any public private partnership)</w:t>
            </w:r>
          </w:p>
        </w:tc>
        <w:tc>
          <w:tcPr>
            <w:tcW w:w="0" w:type="auto"/>
            <w:tcBorders>
              <w:top w:val="single" w:sz="6" w:space="0" w:color="000000"/>
              <w:left w:val="single" w:sz="6" w:space="0" w:color="000000"/>
              <w:bottom w:val="single" w:sz="6" w:space="0" w:color="000000"/>
              <w:right w:val="single" w:sz="6" w:space="0" w:color="000000"/>
            </w:tcBorders>
            <w:hideMark/>
          </w:tcPr>
          <w:p w14:paraId="332D5DA8"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6E6EB737"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877BA3C"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4305003"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77F36F97"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02"/>
            </w:tblGrid>
            <w:tr w:rsidR="00305E0F" w:rsidRPr="00305E0F" w14:paraId="0928B94C" w14:textId="77777777">
              <w:tc>
                <w:tcPr>
                  <w:tcW w:w="0" w:type="auto"/>
                  <w:hideMark/>
                </w:tcPr>
                <w:p w14:paraId="06807582" w14:textId="6426CBAD" w:rsidR="002A32B5" w:rsidRPr="00305E0F" w:rsidRDefault="002A32B5" w:rsidP="002A32B5">
                  <w:pPr>
                    <w:pStyle w:val="oj-normal"/>
                    <w:spacing w:before="120" w:beforeAutospacing="0" w:after="0" w:afterAutospacing="0" w:line="312" w:lineRule="atLeast"/>
                    <w:jc w:val="both"/>
                    <w:rPr>
                      <w:lang w:val="en-GB"/>
                    </w:rPr>
                  </w:pPr>
                  <w:r w:rsidRPr="00305E0F">
                    <w:rPr>
                      <w:lang w:val="en-GB"/>
                    </w:rPr>
                    <w:t>1.Sub-factor: financial strength of the sponsor</w:t>
                  </w:r>
                </w:p>
              </w:tc>
            </w:tr>
          </w:tbl>
          <w:p w14:paraId="12EE12E8" w14:textId="77777777" w:rsidR="002A32B5" w:rsidRPr="00305E0F" w:rsidRDefault="002A32B5" w:rsidP="002A32B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2581457" w14:textId="4EFF5735" w:rsidR="002A32B5" w:rsidRPr="00305E0F" w:rsidRDefault="002A32B5" w:rsidP="002A32B5">
            <w:pPr>
              <w:pStyle w:val="P68B1DB1-Normal27"/>
              <w:spacing w:before="60" w:after="60" w:line="240" w:lineRule="auto"/>
              <w:rPr>
                <w:lang w:val="en-GB"/>
              </w:rPr>
            </w:pPr>
            <w:r w:rsidRPr="00305E0F">
              <w:rPr>
                <w:lang w:val="en-GB"/>
              </w:rPr>
              <w:t>Strong sponsor with high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18112114" w14:textId="7A2BBBC0" w:rsidR="002A32B5" w:rsidRPr="00305E0F" w:rsidRDefault="002A32B5" w:rsidP="002A32B5">
            <w:pPr>
              <w:pStyle w:val="P68B1DB1-Normal27"/>
              <w:spacing w:before="60" w:after="60" w:line="240" w:lineRule="auto"/>
              <w:rPr>
                <w:lang w:val="en-GB"/>
              </w:rPr>
            </w:pPr>
            <w:r w:rsidRPr="00305E0F">
              <w:rPr>
                <w:lang w:val="en-GB"/>
              </w:rPr>
              <w:t>Good sponsor with good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642EBD14" w14:textId="65BED4DF" w:rsidR="002A32B5" w:rsidRPr="00305E0F" w:rsidRDefault="002A32B5" w:rsidP="002A32B5">
            <w:pPr>
              <w:pStyle w:val="P68B1DB1-Normal27"/>
              <w:spacing w:before="60" w:after="60" w:line="240" w:lineRule="auto"/>
              <w:rPr>
                <w:lang w:val="en-GB"/>
              </w:rPr>
            </w:pPr>
            <w:r w:rsidRPr="00305E0F">
              <w:rPr>
                <w:lang w:val="en-GB"/>
              </w:rPr>
              <w:t>Sponsor with adequate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701886AC" w14:textId="4B97976B" w:rsidR="002A32B5" w:rsidRPr="00305E0F" w:rsidRDefault="002A32B5" w:rsidP="002A32B5">
            <w:pPr>
              <w:pStyle w:val="P68B1DB1-Normal27"/>
              <w:spacing w:before="60" w:after="60" w:line="240" w:lineRule="auto"/>
              <w:rPr>
                <w:lang w:val="en-GB"/>
              </w:rPr>
            </w:pPr>
            <w:r w:rsidRPr="00305E0F">
              <w:rPr>
                <w:lang w:val="en-GB"/>
              </w:rPr>
              <w:t>Weak sponsor with clear financial weaknesses</w:t>
            </w:r>
          </w:p>
        </w:tc>
      </w:tr>
      <w:tr w:rsidR="00305E0F" w:rsidRPr="00305E0F" w14:paraId="761FB324"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5C2BFF02" w14:textId="77777777">
              <w:tc>
                <w:tcPr>
                  <w:tcW w:w="0" w:type="auto"/>
                  <w:hideMark/>
                </w:tcPr>
                <w:p w14:paraId="510CDE7A" w14:textId="38072323" w:rsidR="00A5507D" w:rsidRPr="00305E0F" w:rsidRDefault="00A5507D" w:rsidP="00A5507D">
                  <w:pPr>
                    <w:pStyle w:val="P68B1DB1-Normal5"/>
                    <w:spacing w:before="120" w:after="0" w:line="240" w:lineRule="auto"/>
                    <w:jc w:val="both"/>
                    <w:rPr>
                      <w:lang w:val="en-GB"/>
                    </w:rPr>
                  </w:pPr>
                  <w:r w:rsidRPr="00305E0F">
                    <w:rPr>
                      <w:lang w:val="en-GB"/>
                    </w:rPr>
                    <w:t>2.</w:t>
                  </w:r>
                </w:p>
              </w:tc>
              <w:tc>
                <w:tcPr>
                  <w:tcW w:w="0" w:type="auto"/>
                  <w:hideMark/>
                </w:tcPr>
                <w:p w14:paraId="75BFDA70" w14:textId="0A6A7266" w:rsidR="00A5507D" w:rsidRPr="00305E0F" w:rsidRDefault="00A5507D" w:rsidP="00A5507D">
                  <w:pPr>
                    <w:pStyle w:val="P68B1DB1-Normal5"/>
                    <w:spacing w:before="120" w:after="0" w:line="240" w:lineRule="auto"/>
                    <w:rPr>
                      <w:lang w:val="en-GB"/>
                    </w:rPr>
                  </w:pPr>
                  <w:r w:rsidRPr="00305E0F">
                    <w:rPr>
                      <w:lang w:val="en-GB"/>
                    </w:rPr>
                    <w:t>Sub-factor: track record of the sponsor and its country/sector experience</w:t>
                  </w:r>
                </w:p>
              </w:tc>
            </w:tr>
          </w:tbl>
          <w:p w14:paraId="1EE2E78A" w14:textId="77777777" w:rsidR="00A5507D" w:rsidRPr="00305E0F" w:rsidRDefault="00A5507D" w:rsidP="00A5507D">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01D95D9F" w14:textId="63A221CE" w:rsidR="00A5507D" w:rsidRPr="00305E0F" w:rsidRDefault="00A5507D" w:rsidP="00A5507D">
            <w:pPr>
              <w:pStyle w:val="P68B1DB1-Normal27"/>
              <w:spacing w:before="60" w:after="60" w:line="240" w:lineRule="auto"/>
              <w:rPr>
                <w:lang w:val="en-GB"/>
              </w:rPr>
            </w:pPr>
            <w:r w:rsidRPr="00305E0F">
              <w:rPr>
                <w:lang w:val="en-GB"/>
              </w:rPr>
              <w:t>Sponsor with excellent track record and country/sector experience</w:t>
            </w:r>
          </w:p>
        </w:tc>
        <w:tc>
          <w:tcPr>
            <w:tcW w:w="0" w:type="auto"/>
            <w:tcBorders>
              <w:top w:val="single" w:sz="6" w:space="0" w:color="000000"/>
              <w:left w:val="single" w:sz="6" w:space="0" w:color="000000"/>
              <w:bottom w:val="single" w:sz="6" w:space="0" w:color="000000"/>
              <w:right w:val="single" w:sz="6" w:space="0" w:color="000000"/>
            </w:tcBorders>
            <w:hideMark/>
          </w:tcPr>
          <w:p w14:paraId="0AE950FE" w14:textId="0579E312" w:rsidR="00A5507D" w:rsidRPr="00305E0F" w:rsidRDefault="00A5507D" w:rsidP="00A5507D">
            <w:pPr>
              <w:pStyle w:val="P68B1DB1-Normal27"/>
              <w:spacing w:before="60" w:after="60" w:line="240" w:lineRule="auto"/>
              <w:rPr>
                <w:lang w:val="en-GB"/>
              </w:rPr>
            </w:pPr>
            <w:r w:rsidRPr="00305E0F">
              <w:rPr>
                <w:lang w:val="en-GB"/>
              </w:rPr>
              <w:t>Sponsor with satisfactory track record and country/sector experience</w:t>
            </w:r>
          </w:p>
        </w:tc>
        <w:tc>
          <w:tcPr>
            <w:tcW w:w="0" w:type="auto"/>
            <w:tcBorders>
              <w:top w:val="single" w:sz="6" w:space="0" w:color="000000"/>
              <w:left w:val="single" w:sz="6" w:space="0" w:color="000000"/>
              <w:bottom w:val="single" w:sz="6" w:space="0" w:color="000000"/>
              <w:right w:val="single" w:sz="6" w:space="0" w:color="000000"/>
            </w:tcBorders>
            <w:hideMark/>
          </w:tcPr>
          <w:p w14:paraId="33D4C48B" w14:textId="611EDC96" w:rsidR="00A5507D" w:rsidRPr="00305E0F" w:rsidRDefault="00A5507D" w:rsidP="00A5507D">
            <w:pPr>
              <w:pStyle w:val="P68B1DB1-Normal27"/>
              <w:spacing w:before="60" w:after="60" w:line="240" w:lineRule="auto"/>
              <w:rPr>
                <w:lang w:val="en-GB"/>
              </w:rPr>
            </w:pPr>
            <w:r w:rsidRPr="00305E0F">
              <w:rPr>
                <w:lang w:val="en-GB"/>
              </w:rPr>
              <w:t>Sponsor with adequate track record and country/sector experience</w:t>
            </w:r>
          </w:p>
        </w:tc>
        <w:tc>
          <w:tcPr>
            <w:tcW w:w="0" w:type="auto"/>
            <w:tcBorders>
              <w:top w:val="single" w:sz="6" w:space="0" w:color="000000"/>
              <w:left w:val="single" w:sz="6" w:space="0" w:color="000000"/>
              <w:bottom w:val="single" w:sz="6" w:space="0" w:color="000000"/>
              <w:right w:val="single" w:sz="6" w:space="0" w:color="000000"/>
            </w:tcBorders>
            <w:hideMark/>
          </w:tcPr>
          <w:p w14:paraId="0484CFAC" w14:textId="6591B194" w:rsidR="00A5507D" w:rsidRPr="00305E0F" w:rsidRDefault="00A5507D" w:rsidP="00A5507D">
            <w:pPr>
              <w:pStyle w:val="P68B1DB1-Normal27"/>
              <w:spacing w:before="60" w:after="60" w:line="240" w:lineRule="auto"/>
              <w:rPr>
                <w:lang w:val="en-GB"/>
              </w:rPr>
            </w:pPr>
            <w:r w:rsidRPr="00305E0F">
              <w:rPr>
                <w:lang w:val="en-GB"/>
              </w:rPr>
              <w:t>Sponsor with no or questionable track record or country/sector experience</w:t>
            </w:r>
          </w:p>
        </w:tc>
      </w:tr>
      <w:tr w:rsidR="00305E0F" w:rsidRPr="00305E0F" w14:paraId="1646C167"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4AC9F4F0" w14:textId="77777777">
              <w:tc>
                <w:tcPr>
                  <w:tcW w:w="0" w:type="auto"/>
                  <w:hideMark/>
                </w:tcPr>
                <w:p w14:paraId="3928505F" w14:textId="07AE33A5" w:rsidR="00A5507D" w:rsidRPr="00305E0F" w:rsidRDefault="00A5507D" w:rsidP="00A5507D">
                  <w:pPr>
                    <w:pStyle w:val="P68B1DB1-Normal5"/>
                    <w:spacing w:before="120" w:after="0" w:line="240" w:lineRule="auto"/>
                    <w:jc w:val="both"/>
                    <w:rPr>
                      <w:lang w:val="en-GB"/>
                    </w:rPr>
                  </w:pPr>
                  <w:r w:rsidRPr="00305E0F">
                    <w:rPr>
                      <w:lang w:val="en-GB"/>
                    </w:rPr>
                    <w:t>3.</w:t>
                  </w:r>
                </w:p>
              </w:tc>
              <w:tc>
                <w:tcPr>
                  <w:tcW w:w="0" w:type="auto"/>
                  <w:hideMark/>
                </w:tcPr>
                <w:p w14:paraId="5AA0181D" w14:textId="200757EB" w:rsidR="00A5507D" w:rsidRPr="00305E0F" w:rsidRDefault="00A5507D" w:rsidP="00A5507D">
                  <w:pPr>
                    <w:pStyle w:val="P68B1DB1-Normal5"/>
                    <w:spacing w:before="120" w:after="0" w:line="240" w:lineRule="auto"/>
                    <w:rPr>
                      <w:lang w:val="en-GB"/>
                    </w:rPr>
                  </w:pPr>
                  <w:r w:rsidRPr="00305E0F">
                    <w:rPr>
                      <w:lang w:val="en-GB"/>
                    </w:rPr>
                    <w:t>Sub-factor: sponsor support, as evidenced by equity, ownership clause and incentive to inject additional cash if necessary</w:t>
                  </w:r>
                </w:p>
              </w:tc>
            </w:tr>
          </w:tbl>
          <w:p w14:paraId="40C68450" w14:textId="77777777" w:rsidR="00A5507D" w:rsidRPr="00305E0F" w:rsidRDefault="00A5507D" w:rsidP="00A5507D">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1ACEC4D6" w14:textId="6C329379" w:rsidR="00A5507D" w:rsidRPr="00305E0F" w:rsidRDefault="00A5507D" w:rsidP="00A5507D">
            <w:pPr>
              <w:pStyle w:val="P68B1DB1-Normal27"/>
              <w:spacing w:before="60" w:after="60" w:line="240" w:lineRule="auto"/>
              <w:rPr>
                <w:lang w:val="en-GB"/>
              </w:rPr>
            </w:pPr>
            <w:r w:rsidRPr="00305E0F">
              <w:rPr>
                <w:lang w:val="en-GB"/>
              </w:rPr>
              <w:t>Strong. Project is highly strategic for the sponsor (core business – long-term strategy).</w:t>
            </w:r>
          </w:p>
        </w:tc>
        <w:tc>
          <w:tcPr>
            <w:tcW w:w="0" w:type="auto"/>
            <w:tcBorders>
              <w:top w:val="single" w:sz="6" w:space="0" w:color="000000"/>
              <w:left w:val="single" w:sz="6" w:space="0" w:color="000000"/>
              <w:bottom w:val="single" w:sz="6" w:space="0" w:color="000000"/>
              <w:right w:val="single" w:sz="6" w:space="0" w:color="000000"/>
            </w:tcBorders>
            <w:hideMark/>
          </w:tcPr>
          <w:p w14:paraId="0961FC12" w14:textId="08C23D11" w:rsidR="00A5507D" w:rsidRPr="00305E0F" w:rsidRDefault="00A5507D" w:rsidP="00A5507D">
            <w:pPr>
              <w:pStyle w:val="P68B1DB1-Normal27"/>
              <w:spacing w:before="60" w:after="60" w:line="240" w:lineRule="auto"/>
              <w:rPr>
                <w:lang w:val="en-GB"/>
              </w:rPr>
            </w:pPr>
            <w:r w:rsidRPr="00305E0F">
              <w:rPr>
                <w:lang w:val="en-GB"/>
              </w:rPr>
              <w:t>Good. Project is strategic for the sponsor (core business – long-term strategy).</w:t>
            </w:r>
          </w:p>
        </w:tc>
        <w:tc>
          <w:tcPr>
            <w:tcW w:w="0" w:type="auto"/>
            <w:tcBorders>
              <w:top w:val="single" w:sz="6" w:space="0" w:color="000000"/>
              <w:left w:val="single" w:sz="6" w:space="0" w:color="000000"/>
              <w:bottom w:val="single" w:sz="6" w:space="0" w:color="000000"/>
              <w:right w:val="single" w:sz="6" w:space="0" w:color="000000"/>
            </w:tcBorders>
            <w:hideMark/>
          </w:tcPr>
          <w:p w14:paraId="0F0FE61B" w14:textId="7C80ACC0" w:rsidR="00A5507D" w:rsidRPr="00305E0F" w:rsidRDefault="00A5507D" w:rsidP="00A5507D">
            <w:pPr>
              <w:pStyle w:val="P68B1DB1-Normal27"/>
              <w:spacing w:before="60" w:after="60" w:line="240" w:lineRule="auto"/>
              <w:rPr>
                <w:lang w:val="en-GB"/>
              </w:rPr>
            </w:pPr>
            <w:r w:rsidRPr="00305E0F">
              <w:rPr>
                <w:lang w:val="en-GB"/>
              </w:rPr>
              <w:t>Acceptable. Project is considered important for the sponsor (core business).</w:t>
            </w:r>
          </w:p>
        </w:tc>
        <w:tc>
          <w:tcPr>
            <w:tcW w:w="0" w:type="auto"/>
            <w:tcBorders>
              <w:top w:val="single" w:sz="6" w:space="0" w:color="000000"/>
              <w:left w:val="single" w:sz="6" w:space="0" w:color="000000"/>
              <w:bottom w:val="single" w:sz="6" w:space="0" w:color="000000"/>
              <w:right w:val="single" w:sz="6" w:space="0" w:color="000000"/>
            </w:tcBorders>
            <w:hideMark/>
          </w:tcPr>
          <w:p w14:paraId="6FFB49AF" w14:textId="4259AB79" w:rsidR="00A5507D" w:rsidRPr="00305E0F" w:rsidRDefault="00A5507D" w:rsidP="00A5507D">
            <w:pPr>
              <w:pStyle w:val="P68B1DB1-Normal27"/>
              <w:spacing w:before="60" w:after="60" w:line="240" w:lineRule="auto"/>
              <w:rPr>
                <w:lang w:val="en-GB"/>
              </w:rPr>
            </w:pPr>
            <w:r w:rsidRPr="00305E0F">
              <w:rPr>
                <w:lang w:val="en-GB"/>
              </w:rPr>
              <w:t>Limited. Project is not key to sponsor’s long-term strategy or core business.</w:t>
            </w:r>
          </w:p>
        </w:tc>
      </w:tr>
      <w:tr w:rsidR="00305E0F" w:rsidRPr="00305E0F" w14:paraId="69C324E5" w14:textId="77777777">
        <w:tc>
          <w:tcPr>
            <w:tcW w:w="0" w:type="auto"/>
            <w:tcBorders>
              <w:top w:val="single" w:sz="6" w:space="0" w:color="000000"/>
              <w:left w:val="single" w:sz="6" w:space="0" w:color="000000"/>
              <w:bottom w:val="single" w:sz="6" w:space="0" w:color="000000"/>
              <w:right w:val="single" w:sz="6" w:space="0" w:color="000000"/>
            </w:tcBorders>
            <w:hideMark/>
          </w:tcPr>
          <w:p w14:paraId="33764597" w14:textId="3E44AFE0" w:rsidR="00EB0050" w:rsidRPr="00305E0F" w:rsidRDefault="00B02122">
            <w:pPr>
              <w:pStyle w:val="P68B1DB1-Normal26"/>
              <w:spacing w:before="60" w:after="60" w:line="240" w:lineRule="auto"/>
              <w:rPr>
                <w:lang w:val="en-GB"/>
              </w:rPr>
            </w:pPr>
            <w:r w:rsidRPr="00305E0F">
              <w:rPr>
                <w:lang w:val="en-GB"/>
              </w:rPr>
              <w:t xml:space="preserve">Factor: </w:t>
            </w:r>
            <w:r w:rsidR="00A5507D" w:rsidRPr="00305E0F">
              <w:rPr>
                <w:bCs/>
                <w:lang w:val="en-GB"/>
              </w:rPr>
              <w:t>security package</w:t>
            </w:r>
          </w:p>
        </w:tc>
        <w:tc>
          <w:tcPr>
            <w:tcW w:w="0" w:type="auto"/>
            <w:tcBorders>
              <w:top w:val="single" w:sz="6" w:space="0" w:color="000000"/>
              <w:left w:val="single" w:sz="6" w:space="0" w:color="000000"/>
              <w:bottom w:val="single" w:sz="6" w:space="0" w:color="000000"/>
              <w:right w:val="single" w:sz="6" w:space="0" w:color="000000"/>
            </w:tcBorders>
            <w:hideMark/>
          </w:tcPr>
          <w:p w14:paraId="5B587C08"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6C9B385D"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9CE327C"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6738BB4"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1B56D49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3E836414" w14:textId="77777777">
              <w:tc>
                <w:tcPr>
                  <w:tcW w:w="0" w:type="auto"/>
                  <w:hideMark/>
                </w:tcPr>
                <w:p w14:paraId="7E6B6158" w14:textId="4046258B" w:rsidR="00A5507D" w:rsidRPr="00305E0F" w:rsidRDefault="00A5507D" w:rsidP="00A5507D">
                  <w:pPr>
                    <w:pStyle w:val="P68B1DB1-Normal5"/>
                    <w:spacing w:before="120" w:after="0" w:line="240" w:lineRule="auto"/>
                    <w:jc w:val="both"/>
                    <w:rPr>
                      <w:lang w:val="en-GB"/>
                    </w:rPr>
                  </w:pPr>
                  <w:r w:rsidRPr="00305E0F">
                    <w:rPr>
                      <w:lang w:val="en-GB"/>
                    </w:rPr>
                    <w:t>1.</w:t>
                  </w:r>
                </w:p>
              </w:tc>
              <w:tc>
                <w:tcPr>
                  <w:tcW w:w="0" w:type="auto"/>
                  <w:hideMark/>
                </w:tcPr>
                <w:p w14:paraId="78826C58" w14:textId="67BF21F5" w:rsidR="00A5507D" w:rsidRPr="00305E0F" w:rsidRDefault="00A5507D" w:rsidP="00A5507D">
                  <w:pPr>
                    <w:pStyle w:val="P68B1DB1-Normal5"/>
                    <w:spacing w:before="120" w:after="0" w:line="240" w:lineRule="auto"/>
                    <w:rPr>
                      <w:lang w:val="en-GB"/>
                    </w:rPr>
                  </w:pPr>
                  <w:r w:rsidRPr="00305E0F">
                    <w:rPr>
                      <w:lang w:val="en-GB"/>
                    </w:rPr>
                    <w:t>Sub-factor: assignment of contracts and accounts</w:t>
                  </w:r>
                </w:p>
              </w:tc>
            </w:tr>
          </w:tbl>
          <w:p w14:paraId="51A333B3" w14:textId="77777777" w:rsidR="00A5507D" w:rsidRPr="00305E0F" w:rsidRDefault="00A5507D" w:rsidP="00A5507D">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D032B19" w14:textId="0E07E696" w:rsidR="00A5507D" w:rsidRPr="00305E0F" w:rsidRDefault="00A5507D" w:rsidP="00A5507D">
            <w:pPr>
              <w:pStyle w:val="P68B1DB1-Normal27"/>
              <w:spacing w:before="60" w:after="60" w:line="240" w:lineRule="auto"/>
              <w:rPr>
                <w:lang w:val="en-GB"/>
              </w:rPr>
            </w:pPr>
            <w:r w:rsidRPr="00305E0F">
              <w:rPr>
                <w:lang w:val="en-GB"/>
              </w:rPr>
              <w:t>Fully comprehensive</w:t>
            </w:r>
          </w:p>
        </w:tc>
        <w:tc>
          <w:tcPr>
            <w:tcW w:w="0" w:type="auto"/>
            <w:tcBorders>
              <w:top w:val="single" w:sz="6" w:space="0" w:color="000000"/>
              <w:left w:val="single" w:sz="6" w:space="0" w:color="000000"/>
              <w:bottom w:val="single" w:sz="6" w:space="0" w:color="000000"/>
              <w:right w:val="single" w:sz="6" w:space="0" w:color="000000"/>
            </w:tcBorders>
            <w:hideMark/>
          </w:tcPr>
          <w:p w14:paraId="7D994C73" w14:textId="25B107D9" w:rsidR="00A5507D" w:rsidRPr="00305E0F" w:rsidRDefault="00A5507D" w:rsidP="00A5507D">
            <w:pPr>
              <w:pStyle w:val="P68B1DB1-Normal27"/>
              <w:spacing w:before="60" w:after="60" w:line="240" w:lineRule="auto"/>
              <w:rPr>
                <w:lang w:val="en-GB"/>
              </w:rPr>
            </w:pPr>
            <w:r w:rsidRPr="00305E0F">
              <w:rPr>
                <w:lang w:val="en-GB"/>
              </w:rPr>
              <w:t>Comprehensive</w:t>
            </w:r>
          </w:p>
        </w:tc>
        <w:tc>
          <w:tcPr>
            <w:tcW w:w="0" w:type="auto"/>
            <w:tcBorders>
              <w:top w:val="single" w:sz="6" w:space="0" w:color="000000"/>
              <w:left w:val="single" w:sz="6" w:space="0" w:color="000000"/>
              <w:bottom w:val="single" w:sz="6" w:space="0" w:color="000000"/>
              <w:right w:val="single" w:sz="6" w:space="0" w:color="000000"/>
            </w:tcBorders>
            <w:hideMark/>
          </w:tcPr>
          <w:p w14:paraId="7D16C70B" w14:textId="39A83E31" w:rsidR="00A5507D" w:rsidRPr="00305E0F" w:rsidRDefault="00A5507D" w:rsidP="00A5507D">
            <w:pPr>
              <w:pStyle w:val="P68B1DB1-Normal27"/>
              <w:spacing w:before="60" w:after="60" w:line="240" w:lineRule="auto"/>
              <w:rPr>
                <w:lang w:val="en-GB"/>
              </w:rPr>
            </w:pPr>
            <w:r w:rsidRPr="00305E0F">
              <w:rPr>
                <w:lang w:val="en-GB"/>
              </w:rPr>
              <w:t>Acceptable</w:t>
            </w:r>
          </w:p>
        </w:tc>
        <w:tc>
          <w:tcPr>
            <w:tcW w:w="0" w:type="auto"/>
            <w:tcBorders>
              <w:top w:val="single" w:sz="6" w:space="0" w:color="000000"/>
              <w:left w:val="single" w:sz="6" w:space="0" w:color="000000"/>
              <w:bottom w:val="single" w:sz="6" w:space="0" w:color="000000"/>
              <w:right w:val="single" w:sz="6" w:space="0" w:color="000000"/>
            </w:tcBorders>
            <w:hideMark/>
          </w:tcPr>
          <w:p w14:paraId="6DDEE728" w14:textId="2CBFAA57" w:rsidR="00A5507D" w:rsidRPr="00305E0F" w:rsidRDefault="00A5507D" w:rsidP="00A5507D">
            <w:pPr>
              <w:pStyle w:val="P68B1DB1-Normal27"/>
              <w:spacing w:before="60" w:after="60" w:line="240" w:lineRule="auto"/>
              <w:rPr>
                <w:lang w:val="en-GB"/>
              </w:rPr>
            </w:pPr>
            <w:r w:rsidRPr="00305E0F">
              <w:rPr>
                <w:lang w:val="en-GB"/>
              </w:rPr>
              <w:t>Weak</w:t>
            </w:r>
          </w:p>
        </w:tc>
      </w:tr>
      <w:tr w:rsidR="00305E0F" w:rsidRPr="00305E0F" w14:paraId="6EA7BD34"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07A4BCFC" w14:textId="77777777">
              <w:trPr>
                <w:trHeight w:val="904"/>
              </w:trPr>
              <w:tc>
                <w:tcPr>
                  <w:tcW w:w="0" w:type="auto"/>
                  <w:hideMark/>
                </w:tcPr>
                <w:p w14:paraId="6D270783" w14:textId="76891EC5" w:rsidR="00A5507D" w:rsidRPr="00305E0F" w:rsidRDefault="00A5507D" w:rsidP="00A5507D">
                  <w:pPr>
                    <w:pStyle w:val="P68B1DB1-Normal5"/>
                    <w:spacing w:before="120" w:after="0" w:line="240" w:lineRule="auto"/>
                    <w:jc w:val="both"/>
                    <w:rPr>
                      <w:lang w:val="en-GB"/>
                    </w:rPr>
                  </w:pPr>
                  <w:r w:rsidRPr="00305E0F">
                    <w:rPr>
                      <w:lang w:val="en-GB"/>
                    </w:rPr>
                    <w:t>2.</w:t>
                  </w:r>
                </w:p>
              </w:tc>
              <w:tc>
                <w:tcPr>
                  <w:tcW w:w="0" w:type="auto"/>
                  <w:hideMark/>
                </w:tcPr>
                <w:p w14:paraId="0D581831" w14:textId="396E3411" w:rsidR="00A5507D" w:rsidRPr="00305E0F" w:rsidRDefault="00A5507D" w:rsidP="00A5507D">
                  <w:pPr>
                    <w:pStyle w:val="P68B1DB1-Normal5"/>
                    <w:spacing w:before="120" w:after="0" w:line="240" w:lineRule="auto"/>
                    <w:rPr>
                      <w:lang w:val="en-GB"/>
                    </w:rPr>
                  </w:pPr>
                  <w:r w:rsidRPr="00305E0F">
                    <w:rPr>
                      <w:lang w:val="en-GB"/>
                    </w:rPr>
                    <w:t>Sub-factor: pledge of assets, taking into account quality, value and liquidity of assets</w:t>
                  </w:r>
                </w:p>
              </w:tc>
            </w:tr>
          </w:tbl>
          <w:p w14:paraId="55F2D754" w14:textId="77777777" w:rsidR="00A5507D" w:rsidRPr="00305E0F" w:rsidRDefault="00A5507D" w:rsidP="00A5507D">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03B8BCD" w14:textId="234E06F1" w:rsidR="00A5507D" w:rsidRPr="00305E0F" w:rsidRDefault="00A5507D" w:rsidP="00A5507D">
            <w:pPr>
              <w:pStyle w:val="P68B1DB1-Normal27"/>
              <w:spacing w:before="60" w:after="60" w:line="240" w:lineRule="auto"/>
              <w:rPr>
                <w:lang w:val="en-GB"/>
              </w:rPr>
            </w:pPr>
            <w:r w:rsidRPr="00305E0F">
              <w:rPr>
                <w:lang w:val="en-GB"/>
              </w:rPr>
              <w:t>First perfected security interest in all project assets, contracts, permits and accounts necessary to run the project</w:t>
            </w:r>
          </w:p>
        </w:tc>
        <w:tc>
          <w:tcPr>
            <w:tcW w:w="0" w:type="auto"/>
            <w:tcBorders>
              <w:top w:val="single" w:sz="6" w:space="0" w:color="000000"/>
              <w:left w:val="single" w:sz="6" w:space="0" w:color="000000"/>
              <w:bottom w:val="single" w:sz="6" w:space="0" w:color="000000"/>
              <w:right w:val="single" w:sz="6" w:space="0" w:color="000000"/>
            </w:tcBorders>
            <w:hideMark/>
          </w:tcPr>
          <w:p w14:paraId="676F32F4" w14:textId="6A55C5E3" w:rsidR="00A5507D" w:rsidRPr="00305E0F" w:rsidRDefault="00A5507D" w:rsidP="00A5507D">
            <w:pPr>
              <w:pStyle w:val="P68B1DB1-Normal27"/>
              <w:spacing w:before="60" w:after="60" w:line="240" w:lineRule="auto"/>
              <w:rPr>
                <w:lang w:val="en-GB"/>
              </w:rPr>
            </w:pPr>
            <w:r w:rsidRPr="00305E0F">
              <w:rPr>
                <w:lang w:val="en-GB"/>
              </w:rPr>
              <w:t>Perfected security interest in all project assets, contracts, permits and accounts necessary to run the project</w:t>
            </w:r>
          </w:p>
        </w:tc>
        <w:tc>
          <w:tcPr>
            <w:tcW w:w="0" w:type="auto"/>
            <w:tcBorders>
              <w:top w:val="single" w:sz="6" w:space="0" w:color="000000"/>
              <w:left w:val="single" w:sz="6" w:space="0" w:color="000000"/>
              <w:bottom w:val="single" w:sz="6" w:space="0" w:color="000000"/>
              <w:right w:val="single" w:sz="6" w:space="0" w:color="000000"/>
            </w:tcBorders>
            <w:hideMark/>
          </w:tcPr>
          <w:p w14:paraId="3002A1AB" w14:textId="3DE11238" w:rsidR="00A5507D" w:rsidRPr="00305E0F" w:rsidRDefault="00A5507D" w:rsidP="00A5507D">
            <w:pPr>
              <w:pStyle w:val="P68B1DB1-Normal27"/>
              <w:spacing w:before="60" w:after="60" w:line="240" w:lineRule="auto"/>
              <w:rPr>
                <w:lang w:val="en-GB"/>
              </w:rPr>
            </w:pPr>
            <w:r w:rsidRPr="00305E0F">
              <w:rPr>
                <w:lang w:val="en-GB"/>
              </w:rPr>
              <w:t>Acceptable security interest in all project assets, contracts, permits and accounts necessary to run the project</w:t>
            </w:r>
          </w:p>
        </w:tc>
        <w:tc>
          <w:tcPr>
            <w:tcW w:w="0" w:type="auto"/>
            <w:tcBorders>
              <w:top w:val="single" w:sz="6" w:space="0" w:color="000000"/>
              <w:left w:val="single" w:sz="6" w:space="0" w:color="000000"/>
              <w:bottom w:val="single" w:sz="6" w:space="0" w:color="000000"/>
              <w:right w:val="single" w:sz="6" w:space="0" w:color="000000"/>
            </w:tcBorders>
            <w:hideMark/>
          </w:tcPr>
          <w:p w14:paraId="7000ED97" w14:textId="036D1F2D" w:rsidR="00A5507D" w:rsidRPr="00305E0F" w:rsidRDefault="00A5507D" w:rsidP="00A5507D">
            <w:pPr>
              <w:pStyle w:val="P68B1DB1-Normal27"/>
              <w:spacing w:before="60" w:after="60" w:line="240" w:lineRule="auto"/>
              <w:rPr>
                <w:lang w:val="en-GB"/>
              </w:rPr>
            </w:pPr>
            <w:r w:rsidRPr="00305E0F">
              <w:rPr>
                <w:lang w:val="en-GB"/>
              </w:rPr>
              <w:t>Little security or collateral for lenders; weak negative pledge clause</w:t>
            </w:r>
          </w:p>
        </w:tc>
      </w:tr>
      <w:tr w:rsidR="00305E0F" w:rsidRPr="00305E0F" w14:paraId="72DE34AF"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0FFB082D" w14:textId="77777777">
              <w:tc>
                <w:tcPr>
                  <w:tcW w:w="0" w:type="auto"/>
                  <w:hideMark/>
                </w:tcPr>
                <w:p w14:paraId="34125DC4" w14:textId="43B5F47A" w:rsidR="00A5507D" w:rsidRPr="00305E0F" w:rsidRDefault="00A5507D" w:rsidP="00A5507D">
                  <w:pPr>
                    <w:pStyle w:val="P68B1DB1-Normal5"/>
                    <w:spacing w:before="120" w:after="0" w:line="240" w:lineRule="auto"/>
                    <w:jc w:val="both"/>
                    <w:rPr>
                      <w:lang w:val="en-GB"/>
                    </w:rPr>
                  </w:pPr>
                  <w:r w:rsidRPr="00305E0F">
                    <w:rPr>
                      <w:lang w:val="en-GB"/>
                    </w:rPr>
                    <w:t>3.</w:t>
                  </w:r>
                </w:p>
              </w:tc>
              <w:tc>
                <w:tcPr>
                  <w:tcW w:w="0" w:type="auto"/>
                  <w:hideMark/>
                </w:tcPr>
                <w:p w14:paraId="3FA3F501" w14:textId="0AD76E1C" w:rsidR="00A5507D" w:rsidRPr="00305E0F" w:rsidRDefault="00A5507D" w:rsidP="00A5507D">
                  <w:pPr>
                    <w:pStyle w:val="P68B1DB1-Normal5"/>
                    <w:spacing w:before="240" w:after="0" w:line="240" w:lineRule="auto"/>
                    <w:rPr>
                      <w:lang w:val="en-GB"/>
                    </w:rPr>
                  </w:pPr>
                  <w:r w:rsidRPr="00305E0F">
                    <w:rPr>
                      <w:lang w:val="en-GB"/>
                    </w:rPr>
                    <w:t>Sub-factor: lender’s control over cash flow (e.g. cash sweeps, independent escrow accounts</w:t>
                  </w:r>
                </w:p>
              </w:tc>
            </w:tr>
          </w:tbl>
          <w:p w14:paraId="2C754D89" w14:textId="77777777" w:rsidR="00A5507D" w:rsidRPr="00305E0F" w:rsidRDefault="00A5507D" w:rsidP="00A5507D">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2B2C5A89" w14:textId="7D873ED9" w:rsidR="00A5507D" w:rsidRPr="00305E0F" w:rsidRDefault="00A5507D" w:rsidP="00A5507D">
            <w:pPr>
              <w:pStyle w:val="P68B1DB1-Normal27"/>
              <w:spacing w:before="60" w:after="60" w:line="240" w:lineRule="auto"/>
              <w:rPr>
                <w:lang w:val="en-GB"/>
              </w:rPr>
            </w:pPr>
            <w:r w:rsidRPr="00305E0F">
              <w:rPr>
                <w:lang w:val="en-GB"/>
              </w:rPr>
              <w:t>Strong</w:t>
            </w:r>
          </w:p>
        </w:tc>
        <w:tc>
          <w:tcPr>
            <w:tcW w:w="0" w:type="auto"/>
            <w:tcBorders>
              <w:top w:val="single" w:sz="6" w:space="0" w:color="000000"/>
              <w:left w:val="single" w:sz="6" w:space="0" w:color="000000"/>
              <w:bottom w:val="single" w:sz="6" w:space="0" w:color="000000"/>
              <w:right w:val="single" w:sz="6" w:space="0" w:color="000000"/>
            </w:tcBorders>
            <w:hideMark/>
          </w:tcPr>
          <w:p w14:paraId="5F9A0479" w14:textId="666228FB" w:rsidR="00A5507D" w:rsidRPr="00305E0F" w:rsidRDefault="00A5507D" w:rsidP="00A5507D">
            <w:pPr>
              <w:pStyle w:val="P68B1DB1-Normal27"/>
              <w:spacing w:before="60" w:after="60" w:line="240" w:lineRule="auto"/>
              <w:rPr>
                <w:lang w:val="en-GB"/>
              </w:rPr>
            </w:pPr>
            <w:r w:rsidRPr="00305E0F">
              <w:rPr>
                <w:lang w:val="en-GB"/>
              </w:rPr>
              <w:t>Satisfactory</w:t>
            </w:r>
          </w:p>
        </w:tc>
        <w:tc>
          <w:tcPr>
            <w:tcW w:w="0" w:type="auto"/>
            <w:tcBorders>
              <w:top w:val="single" w:sz="6" w:space="0" w:color="000000"/>
              <w:left w:val="single" w:sz="6" w:space="0" w:color="000000"/>
              <w:bottom w:val="single" w:sz="6" w:space="0" w:color="000000"/>
              <w:right w:val="single" w:sz="6" w:space="0" w:color="000000"/>
            </w:tcBorders>
            <w:hideMark/>
          </w:tcPr>
          <w:p w14:paraId="32AA7378" w14:textId="2E6F664A" w:rsidR="00A5507D" w:rsidRPr="00305E0F" w:rsidRDefault="00A5507D" w:rsidP="00A5507D">
            <w:pPr>
              <w:pStyle w:val="P68B1DB1-Normal27"/>
              <w:spacing w:before="60" w:after="60" w:line="240" w:lineRule="auto"/>
              <w:rPr>
                <w:lang w:val="en-GB"/>
              </w:rPr>
            </w:pPr>
            <w:r w:rsidRPr="00305E0F">
              <w:rPr>
                <w:lang w:val="en-GB"/>
              </w:rPr>
              <w:t>Fair</w:t>
            </w:r>
          </w:p>
        </w:tc>
        <w:tc>
          <w:tcPr>
            <w:tcW w:w="0" w:type="auto"/>
            <w:tcBorders>
              <w:top w:val="single" w:sz="6" w:space="0" w:color="000000"/>
              <w:left w:val="single" w:sz="6" w:space="0" w:color="000000"/>
              <w:bottom w:val="single" w:sz="6" w:space="0" w:color="000000"/>
              <w:right w:val="single" w:sz="6" w:space="0" w:color="000000"/>
            </w:tcBorders>
            <w:hideMark/>
          </w:tcPr>
          <w:p w14:paraId="501C9072" w14:textId="4DB8B6F5" w:rsidR="00A5507D" w:rsidRPr="00305E0F" w:rsidRDefault="00A5507D" w:rsidP="00A5507D">
            <w:pPr>
              <w:pStyle w:val="P68B1DB1-Normal27"/>
              <w:spacing w:before="60" w:after="60" w:line="240" w:lineRule="auto"/>
              <w:rPr>
                <w:lang w:val="en-GB"/>
              </w:rPr>
            </w:pPr>
            <w:r w:rsidRPr="00305E0F">
              <w:rPr>
                <w:lang w:val="en-GB"/>
              </w:rPr>
              <w:t>Weak</w:t>
            </w:r>
          </w:p>
        </w:tc>
      </w:tr>
      <w:tr w:rsidR="00305E0F" w:rsidRPr="00305E0F" w14:paraId="60E5D957"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137CF327" w14:textId="77777777">
              <w:tc>
                <w:tcPr>
                  <w:tcW w:w="0" w:type="auto"/>
                  <w:hideMark/>
                </w:tcPr>
                <w:p w14:paraId="51982485" w14:textId="364F58D3" w:rsidR="00A5507D" w:rsidRPr="00305E0F" w:rsidRDefault="00A5507D" w:rsidP="00A5507D">
                  <w:pPr>
                    <w:pStyle w:val="P68B1DB1-Normal5"/>
                    <w:spacing w:before="120" w:after="0" w:line="240" w:lineRule="auto"/>
                    <w:jc w:val="both"/>
                    <w:rPr>
                      <w:lang w:val="en-GB"/>
                    </w:rPr>
                  </w:pPr>
                  <w:r w:rsidRPr="00305E0F">
                    <w:rPr>
                      <w:lang w:val="en-GB"/>
                    </w:rPr>
                    <w:t>4.</w:t>
                  </w:r>
                </w:p>
              </w:tc>
              <w:tc>
                <w:tcPr>
                  <w:tcW w:w="0" w:type="auto"/>
                  <w:hideMark/>
                </w:tcPr>
                <w:p w14:paraId="54BDE166" w14:textId="63CB0A3D" w:rsidR="00A5507D" w:rsidRPr="00305E0F" w:rsidRDefault="00A5507D" w:rsidP="00A5507D">
                  <w:pPr>
                    <w:pStyle w:val="P68B1DB1-Normal5"/>
                    <w:spacing w:before="120" w:after="0" w:line="240" w:lineRule="auto"/>
                    <w:rPr>
                      <w:lang w:val="en-GB"/>
                    </w:rPr>
                  </w:pPr>
                  <w:r w:rsidRPr="00305E0F">
                    <w:rPr>
                      <w:lang w:val="en-GB"/>
                    </w:rPr>
                    <w:t>Sub-factor:</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strength of the covenant package(mandatory prepayments, payment deferrals, payment cascade, dividend restrictions …)</w:t>
                  </w:r>
                </w:p>
              </w:tc>
            </w:tr>
          </w:tbl>
          <w:p w14:paraId="3B88E4A1" w14:textId="77777777" w:rsidR="00A5507D" w:rsidRPr="00305E0F" w:rsidRDefault="00A5507D" w:rsidP="00A5507D">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AD73978" w14:textId="77777777" w:rsidR="00A5507D" w:rsidRPr="00305E0F" w:rsidRDefault="00A5507D" w:rsidP="00A5507D">
            <w:pPr>
              <w:pStyle w:val="oj-tbl-txt"/>
              <w:spacing w:before="60" w:beforeAutospacing="0" w:after="60" w:afterAutospacing="0" w:line="312" w:lineRule="atLeast"/>
              <w:rPr>
                <w:lang w:val="en-GB"/>
              </w:rPr>
            </w:pPr>
            <w:r w:rsidRPr="00305E0F">
              <w:rPr>
                <w:lang w:val="en-GB"/>
              </w:rPr>
              <w:t>Covenant package is strong for this type of project.</w:t>
            </w:r>
          </w:p>
          <w:p w14:paraId="5BE4072F" w14:textId="2DC4B478" w:rsidR="00A5507D" w:rsidRPr="00305E0F" w:rsidRDefault="00A5507D" w:rsidP="00A5507D">
            <w:pPr>
              <w:pStyle w:val="P68B1DB1-Normal27"/>
              <w:spacing w:before="60" w:after="60" w:line="240" w:lineRule="auto"/>
              <w:rPr>
                <w:lang w:val="en-GB"/>
              </w:rPr>
            </w:pPr>
            <w:r w:rsidRPr="00305E0F">
              <w:rPr>
                <w:lang w:val="en-GB"/>
              </w:rPr>
              <w:t>Project may issue no additional debt.</w:t>
            </w:r>
          </w:p>
        </w:tc>
        <w:tc>
          <w:tcPr>
            <w:tcW w:w="0" w:type="auto"/>
            <w:tcBorders>
              <w:top w:val="single" w:sz="6" w:space="0" w:color="000000"/>
              <w:left w:val="single" w:sz="6" w:space="0" w:color="000000"/>
              <w:bottom w:val="single" w:sz="6" w:space="0" w:color="000000"/>
              <w:right w:val="single" w:sz="6" w:space="0" w:color="000000"/>
            </w:tcBorders>
            <w:hideMark/>
          </w:tcPr>
          <w:p w14:paraId="7B783DAF" w14:textId="77777777" w:rsidR="00A5507D" w:rsidRPr="00305E0F" w:rsidRDefault="00A5507D" w:rsidP="00A5507D">
            <w:pPr>
              <w:pStyle w:val="oj-tbl-txt"/>
              <w:spacing w:before="60" w:beforeAutospacing="0" w:after="60" w:afterAutospacing="0" w:line="312" w:lineRule="atLeast"/>
              <w:rPr>
                <w:lang w:val="en-GB"/>
              </w:rPr>
            </w:pPr>
            <w:r w:rsidRPr="00305E0F">
              <w:rPr>
                <w:lang w:val="en-GB"/>
              </w:rPr>
              <w:t>Covenant package is satisfactory for this type of project.</w:t>
            </w:r>
          </w:p>
          <w:p w14:paraId="1DB292F7" w14:textId="4EE369AB" w:rsidR="00A5507D" w:rsidRPr="00305E0F" w:rsidRDefault="00A5507D" w:rsidP="00A5507D">
            <w:pPr>
              <w:pStyle w:val="P68B1DB1-Normal27"/>
              <w:spacing w:before="60" w:after="60" w:line="240" w:lineRule="auto"/>
              <w:rPr>
                <w:lang w:val="en-GB"/>
              </w:rPr>
            </w:pPr>
            <w:r w:rsidRPr="00305E0F">
              <w:rPr>
                <w:lang w:val="en-GB"/>
              </w:rPr>
              <w:t>Project may issue extremely limited additional debt.</w:t>
            </w:r>
          </w:p>
        </w:tc>
        <w:tc>
          <w:tcPr>
            <w:tcW w:w="0" w:type="auto"/>
            <w:tcBorders>
              <w:top w:val="single" w:sz="6" w:space="0" w:color="000000"/>
              <w:left w:val="single" w:sz="6" w:space="0" w:color="000000"/>
              <w:bottom w:val="single" w:sz="6" w:space="0" w:color="000000"/>
              <w:right w:val="single" w:sz="6" w:space="0" w:color="000000"/>
            </w:tcBorders>
            <w:hideMark/>
          </w:tcPr>
          <w:p w14:paraId="5D13F3EE" w14:textId="77777777" w:rsidR="00A5507D" w:rsidRPr="00305E0F" w:rsidRDefault="00A5507D" w:rsidP="00A5507D">
            <w:pPr>
              <w:pStyle w:val="oj-tbl-txt"/>
              <w:spacing w:before="60" w:beforeAutospacing="0" w:after="60" w:afterAutospacing="0" w:line="312" w:lineRule="atLeast"/>
              <w:rPr>
                <w:lang w:val="en-GB"/>
              </w:rPr>
            </w:pPr>
            <w:r w:rsidRPr="00305E0F">
              <w:rPr>
                <w:lang w:val="en-GB"/>
              </w:rPr>
              <w:t>Covenant package is fair for this type of project.</w:t>
            </w:r>
          </w:p>
          <w:p w14:paraId="7682CF6D" w14:textId="6181DE08" w:rsidR="00A5507D" w:rsidRPr="00305E0F" w:rsidRDefault="00A5507D" w:rsidP="00A5507D">
            <w:pPr>
              <w:pStyle w:val="P68B1DB1-Normal27"/>
              <w:spacing w:before="60" w:after="60" w:line="240" w:lineRule="auto"/>
              <w:rPr>
                <w:lang w:val="en-GB"/>
              </w:rPr>
            </w:pPr>
            <w:r w:rsidRPr="00305E0F">
              <w:rPr>
                <w:lang w:val="en-GB"/>
              </w:rPr>
              <w:t>Project may issue limited additional debt.</w:t>
            </w:r>
          </w:p>
        </w:tc>
        <w:tc>
          <w:tcPr>
            <w:tcW w:w="0" w:type="auto"/>
            <w:tcBorders>
              <w:top w:val="single" w:sz="6" w:space="0" w:color="000000"/>
              <w:left w:val="single" w:sz="6" w:space="0" w:color="000000"/>
              <w:bottom w:val="single" w:sz="6" w:space="0" w:color="000000"/>
              <w:right w:val="single" w:sz="6" w:space="0" w:color="000000"/>
            </w:tcBorders>
            <w:hideMark/>
          </w:tcPr>
          <w:p w14:paraId="180B6E00" w14:textId="77777777" w:rsidR="00A5507D" w:rsidRPr="00305E0F" w:rsidRDefault="00A5507D" w:rsidP="00A5507D">
            <w:pPr>
              <w:pStyle w:val="oj-tbl-txt"/>
              <w:spacing w:before="60" w:beforeAutospacing="0" w:after="60" w:afterAutospacing="0" w:line="312" w:lineRule="atLeast"/>
              <w:rPr>
                <w:lang w:val="en-GB"/>
              </w:rPr>
            </w:pPr>
            <w:r w:rsidRPr="00305E0F">
              <w:rPr>
                <w:lang w:val="en-GB"/>
              </w:rPr>
              <w:t>Covenant package is Insufficient for this type of project.</w:t>
            </w:r>
          </w:p>
          <w:p w14:paraId="5E46E5AC" w14:textId="0987AECD" w:rsidR="00A5507D" w:rsidRPr="00305E0F" w:rsidRDefault="00A5507D" w:rsidP="00A5507D">
            <w:pPr>
              <w:pStyle w:val="P68B1DB1-Normal27"/>
              <w:spacing w:before="60" w:after="60" w:line="240" w:lineRule="auto"/>
              <w:rPr>
                <w:lang w:val="en-GB"/>
              </w:rPr>
            </w:pPr>
            <w:r w:rsidRPr="00305E0F">
              <w:rPr>
                <w:lang w:val="en-GB"/>
              </w:rPr>
              <w:t>Project may issue unlimited additional debt.</w:t>
            </w:r>
          </w:p>
        </w:tc>
      </w:tr>
      <w:tr w:rsidR="00305E0F" w:rsidRPr="00305E0F" w14:paraId="1DFAF5DF"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222"/>
            </w:tblGrid>
            <w:tr w:rsidR="00305E0F" w:rsidRPr="00305E0F" w14:paraId="1281AFEC" w14:textId="77777777">
              <w:tc>
                <w:tcPr>
                  <w:tcW w:w="0" w:type="auto"/>
                  <w:hideMark/>
                </w:tcPr>
                <w:p w14:paraId="6CCFC0FC" w14:textId="54BDA371" w:rsidR="00A5507D" w:rsidRPr="00305E0F" w:rsidRDefault="00A5507D" w:rsidP="00A5507D">
                  <w:pPr>
                    <w:pStyle w:val="P68B1DB1-Normal5"/>
                    <w:spacing w:before="120" w:after="0" w:line="240" w:lineRule="auto"/>
                    <w:jc w:val="both"/>
                    <w:rPr>
                      <w:lang w:val="en-GB"/>
                    </w:rPr>
                  </w:pPr>
                  <w:r w:rsidRPr="00305E0F">
                    <w:rPr>
                      <w:lang w:val="en-GB"/>
                    </w:rPr>
                    <w:t>5.</w:t>
                  </w:r>
                </w:p>
              </w:tc>
              <w:tc>
                <w:tcPr>
                  <w:tcW w:w="0" w:type="auto"/>
                  <w:hideMark/>
                </w:tcPr>
                <w:p w14:paraId="792B7057" w14:textId="788F7D91" w:rsidR="00A5507D" w:rsidRPr="00305E0F" w:rsidRDefault="00A5507D" w:rsidP="00A5507D">
                  <w:pPr>
                    <w:pStyle w:val="P68B1DB1-Normal5"/>
                    <w:spacing w:before="120" w:after="0" w:line="240" w:lineRule="auto"/>
                    <w:rPr>
                      <w:lang w:val="en-GB"/>
                    </w:rPr>
                  </w:pPr>
                  <w:r w:rsidRPr="00305E0F">
                    <w:rPr>
                      <w:lang w:val="en-GB"/>
                    </w:rPr>
                    <w:t>Sub-factor: reserve funds (debt service, O&amp;M, renewal and replacement, unforeseen events, etc.)</w:t>
                  </w:r>
                </w:p>
              </w:tc>
            </w:tr>
          </w:tbl>
          <w:p w14:paraId="14469D05" w14:textId="77777777" w:rsidR="00A5507D" w:rsidRPr="00305E0F" w:rsidRDefault="00A5507D" w:rsidP="00A5507D">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40289B4" w14:textId="45AA0D23" w:rsidR="00A5507D" w:rsidRPr="00305E0F" w:rsidRDefault="00A5507D" w:rsidP="00A5507D">
            <w:pPr>
              <w:pStyle w:val="P68B1DB1-Normal27"/>
              <w:spacing w:before="60" w:after="60" w:line="240" w:lineRule="auto"/>
              <w:rPr>
                <w:lang w:val="en-GB"/>
              </w:rPr>
            </w:pPr>
            <w:r w:rsidRPr="00305E0F">
              <w:rPr>
                <w:lang w:val="en-GB"/>
              </w:rPr>
              <w:t>Longer than average coverage period, all reserve funds fully funded in cash or letters of credit from highly rated bank</w:t>
            </w:r>
          </w:p>
        </w:tc>
        <w:tc>
          <w:tcPr>
            <w:tcW w:w="0" w:type="auto"/>
            <w:tcBorders>
              <w:top w:val="single" w:sz="6" w:space="0" w:color="000000"/>
              <w:left w:val="single" w:sz="6" w:space="0" w:color="000000"/>
              <w:bottom w:val="single" w:sz="6" w:space="0" w:color="000000"/>
              <w:right w:val="single" w:sz="6" w:space="0" w:color="000000"/>
            </w:tcBorders>
            <w:hideMark/>
          </w:tcPr>
          <w:p w14:paraId="2069A3C5" w14:textId="142DC60F" w:rsidR="00A5507D" w:rsidRPr="00305E0F" w:rsidRDefault="00A5507D" w:rsidP="00A5507D">
            <w:pPr>
              <w:pStyle w:val="P68B1DB1-Normal27"/>
              <w:spacing w:before="60" w:after="60" w:line="240" w:lineRule="auto"/>
              <w:rPr>
                <w:lang w:val="en-GB"/>
              </w:rPr>
            </w:pPr>
            <w:r w:rsidRPr="00305E0F">
              <w:rPr>
                <w:lang w:val="en-GB"/>
              </w:rPr>
              <w:t>Average coverage period, all reserve funds fully funded</w:t>
            </w:r>
          </w:p>
        </w:tc>
        <w:tc>
          <w:tcPr>
            <w:tcW w:w="0" w:type="auto"/>
            <w:tcBorders>
              <w:top w:val="single" w:sz="6" w:space="0" w:color="000000"/>
              <w:left w:val="single" w:sz="6" w:space="0" w:color="000000"/>
              <w:bottom w:val="single" w:sz="6" w:space="0" w:color="000000"/>
              <w:right w:val="single" w:sz="6" w:space="0" w:color="000000"/>
            </w:tcBorders>
            <w:hideMark/>
          </w:tcPr>
          <w:p w14:paraId="0FBC8D44" w14:textId="060A45DE" w:rsidR="00A5507D" w:rsidRPr="00305E0F" w:rsidRDefault="00A5507D" w:rsidP="00A5507D">
            <w:pPr>
              <w:pStyle w:val="P68B1DB1-Normal27"/>
              <w:spacing w:before="60" w:after="60" w:line="240" w:lineRule="auto"/>
              <w:rPr>
                <w:lang w:val="en-GB"/>
              </w:rPr>
            </w:pPr>
            <w:r w:rsidRPr="00305E0F">
              <w:rPr>
                <w:lang w:val="en-GB"/>
              </w:rPr>
              <w:t>Average coverage period, all reserve funds fully funded</w:t>
            </w:r>
          </w:p>
        </w:tc>
        <w:tc>
          <w:tcPr>
            <w:tcW w:w="0" w:type="auto"/>
            <w:tcBorders>
              <w:top w:val="single" w:sz="6" w:space="0" w:color="000000"/>
              <w:left w:val="single" w:sz="6" w:space="0" w:color="000000"/>
              <w:bottom w:val="single" w:sz="6" w:space="0" w:color="000000"/>
              <w:right w:val="single" w:sz="6" w:space="0" w:color="000000"/>
            </w:tcBorders>
            <w:hideMark/>
          </w:tcPr>
          <w:p w14:paraId="4F84353B" w14:textId="1A4B512C" w:rsidR="00A5507D" w:rsidRPr="00305E0F" w:rsidRDefault="00A5507D" w:rsidP="00A5507D">
            <w:pPr>
              <w:pStyle w:val="P68B1DB1-Normal27"/>
              <w:spacing w:before="60" w:after="60" w:line="240" w:lineRule="auto"/>
              <w:rPr>
                <w:lang w:val="en-GB"/>
              </w:rPr>
            </w:pPr>
            <w:r w:rsidRPr="00305E0F">
              <w:rPr>
                <w:lang w:val="en-GB"/>
              </w:rPr>
              <w:t>Shorter than average coverage period, reserve funds funded from operating cash flows</w:t>
            </w:r>
          </w:p>
        </w:tc>
      </w:tr>
    </w:tbl>
    <w:p w14:paraId="51D5A072" w14:textId="66B5FCE5" w:rsidR="00EB0050" w:rsidRPr="00305E0F" w:rsidRDefault="00B02122">
      <w:pPr>
        <w:pStyle w:val="P68B1DB1-Normal25"/>
        <w:shd w:val="clear" w:color="auto" w:fill="FFFFFF"/>
        <w:spacing w:before="240" w:after="120" w:line="240" w:lineRule="auto"/>
        <w:jc w:val="right"/>
        <w:rPr>
          <w:bCs/>
          <w:iCs/>
          <w:color w:val="auto"/>
          <w:lang w:val="en-GB"/>
        </w:rPr>
      </w:pPr>
      <w:r w:rsidRPr="00305E0F">
        <w:rPr>
          <w:color w:val="auto"/>
          <w:lang w:val="en-GB"/>
        </w:rPr>
        <w:t>Table 2</w:t>
      </w:r>
    </w:p>
    <w:p w14:paraId="0B792031" w14:textId="45843C34" w:rsidR="00EB0050" w:rsidRPr="00305E0F" w:rsidRDefault="00A5507D">
      <w:pPr>
        <w:pStyle w:val="P68B1DB1-Normal10"/>
        <w:shd w:val="clear" w:color="auto" w:fill="FFFFFF"/>
        <w:spacing w:before="240" w:after="120" w:line="240" w:lineRule="auto"/>
        <w:jc w:val="center"/>
        <w:rPr>
          <w:bCs/>
          <w:color w:val="auto"/>
          <w:lang w:val="en-GB"/>
        </w:rPr>
      </w:pPr>
      <w:r w:rsidRPr="00305E0F">
        <w:rPr>
          <w:color w:val="auto"/>
          <w:lang w:val="en-GB"/>
        </w:rPr>
        <w:t>Assessment criteria for real estate exposures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73"/>
        <w:gridCol w:w="1927"/>
        <w:gridCol w:w="1932"/>
        <w:gridCol w:w="1932"/>
        <w:gridCol w:w="1774"/>
      </w:tblGrid>
      <w:tr w:rsidR="00305E0F" w:rsidRPr="00305E0F" w14:paraId="0820F881" w14:textId="77777777">
        <w:tc>
          <w:tcPr>
            <w:tcW w:w="0" w:type="auto"/>
            <w:tcBorders>
              <w:top w:val="single" w:sz="6" w:space="0" w:color="000000"/>
              <w:left w:val="single" w:sz="6" w:space="0" w:color="000000"/>
              <w:bottom w:val="single" w:sz="6" w:space="0" w:color="000000"/>
              <w:right w:val="single" w:sz="6" w:space="0" w:color="000000"/>
            </w:tcBorders>
            <w:hideMark/>
          </w:tcPr>
          <w:p w14:paraId="40D4A50F"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8CCFF33" w14:textId="77777777" w:rsidR="00EB0050" w:rsidRPr="00305E0F" w:rsidRDefault="00B02122">
            <w:pPr>
              <w:pStyle w:val="P68B1DB1-Normal26"/>
              <w:spacing w:before="60" w:after="60" w:line="240" w:lineRule="auto"/>
              <w:ind w:right="195"/>
              <w:jc w:val="center"/>
              <w:rPr>
                <w:bCs/>
                <w:lang w:val="en-GB"/>
              </w:rPr>
            </w:pPr>
            <w:r w:rsidRPr="00305E0F">
              <w:rPr>
                <w:lang w:val="en-GB"/>
              </w:rPr>
              <w:t>Category 1</w:t>
            </w:r>
          </w:p>
        </w:tc>
        <w:tc>
          <w:tcPr>
            <w:tcW w:w="0" w:type="auto"/>
            <w:tcBorders>
              <w:top w:val="single" w:sz="6" w:space="0" w:color="000000"/>
              <w:left w:val="single" w:sz="6" w:space="0" w:color="000000"/>
              <w:bottom w:val="single" w:sz="6" w:space="0" w:color="000000"/>
              <w:right w:val="single" w:sz="6" w:space="0" w:color="000000"/>
            </w:tcBorders>
            <w:hideMark/>
          </w:tcPr>
          <w:p w14:paraId="2B671DB2" w14:textId="77777777" w:rsidR="00EB0050" w:rsidRPr="00305E0F" w:rsidRDefault="00B02122">
            <w:pPr>
              <w:pStyle w:val="P68B1DB1-Normal26"/>
              <w:spacing w:before="60" w:after="60" w:line="240" w:lineRule="auto"/>
              <w:ind w:right="195"/>
              <w:jc w:val="center"/>
              <w:rPr>
                <w:bCs/>
                <w:lang w:val="en-GB"/>
              </w:rPr>
            </w:pPr>
            <w:r w:rsidRPr="00305E0F">
              <w:rPr>
                <w:lang w:val="en-GB"/>
              </w:rPr>
              <w:t>Category 2</w:t>
            </w:r>
          </w:p>
        </w:tc>
        <w:tc>
          <w:tcPr>
            <w:tcW w:w="0" w:type="auto"/>
            <w:tcBorders>
              <w:top w:val="single" w:sz="6" w:space="0" w:color="000000"/>
              <w:left w:val="single" w:sz="6" w:space="0" w:color="000000"/>
              <w:bottom w:val="single" w:sz="6" w:space="0" w:color="000000"/>
              <w:right w:val="single" w:sz="6" w:space="0" w:color="000000"/>
            </w:tcBorders>
            <w:hideMark/>
          </w:tcPr>
          <w:p w14:paraId="2DEB0B29" w14:textId="77777777" w:rsidR="00EB0050" w:rsidRPr="00305E0F" w:rsidRDefault="00B02122">
            <w:pPr>
              <w:pStyle w:val="P68B1DB1-Normal26"/>
              <w:spacing w:before="60" w:after="60" w:line="240" w:lineRule="auto"/>
              <w:ind w:right="195"/>
              <w:jc w:val="center"/>
              <w:rPr>
                <w:bCs/>
                <w:lang w:val="en-GB"/>
              </w:rPr>
            </w:pPr>
            <w:r w:rsidRPr="00305E0F">
              <w:rPr>
                <w:lang w:val="en-GB"/>
              </w:rPr>
              <w:t>Category 3</w:t>
            </w:r>
          </w:p>
        </w:tc>
        <w:tc>
          <w:tcPr>
            <w:tcW w:w="0" w:type="auto"/>
            <w:tcBorders>
              <w:top w:val="single" w:sz="6" w:space="0" w:color="000000"/>
              <w:left w:val="single" w:sz="6" w:space="0" w:color="000000"/>
              <w:bottom w:val="single" w:sz="6" w:space="0" w:color="000000"/>
              <w:right w:val="single" w:sz="6" w:space="0" w:color="000000"/>
            </w:tcBorders>
            <w:hideMark/>
          </w:tcPr>
          <w:p w14:paraId="2D17E10A" w14:textId="77777777" w:rsidR="00EB0050" w:rsidRPr="00305E0F" w:rsidRDefault="00B02122">
            <w:pPr>
              <w:pStyle w:val="P68B1DB1-Normal26"/>
              <w:spacing w:before="60" w:after="60" w:line="240" w:lineRule="auto"/>
              <w:ind w:right="195"/>
              <w:jc w:val="center"/>
              <w:rPr>
                <w:bCs/>
                <w:lang w:val="en-GB"/>
              </w:rPr>
            </w:pPr>
            <w:r w:rsidRPr="00305E0F">
              <w:rPr>
                <w:lang w:val="en-GB"/>
              </w:rPr>
              <w:t>Category 4</w:t>
            </w:r>
          </w:p>
        </w:tc>
      </w:tr>
      <w:tr w:rsidR="00305E0F" w:rsidRPr="00305E0F" w14:paraId="13540660" w14:textId="77777777">
        <w:tc>
          <w:tcPr>
            <w:tcW w:w="0" w:type="auto"/>
            <w:tcBorders>
              <w:top w:val="single" w:sz="6" w:space="0" w:color="000000"/>
              <w:left w:val="single" w:sz="6" w:space="0" w:color="000000"/>
              <w:bottom w:val="single" w:sz="6" w:space="0" w:color="000000"/>
              <w:right w:val="single" w:sz="6" w:space="0" w:color="000000"/>
            </w:tcBorders>
            <w:hideMark/>
          </w:tcPr>
          <w:p w14:paraId="21D7F34D" w14:textId="77777777" w:rsidR="00EB0050" w:rsidRPr="00305E0F" w:rsidRDefault="00B02122">
            <w:pPr>
              <w:pStyle w:val="P68B1DB1-Normal26"/>
              <w:spacing w:before="60" w:after="60" w:line="240" w:lineRule="auto"/>
              <w:rPr>
                <w:bCs/>
                <w:lang w:val="en-GB"/>
              </w:rPr>
            </w:pPr>
            <w:r w:rsidRPr="00305E0F">
              <w:rPr>
                <w:lang w:val="en-GB"/>
              </w:rPr>
              <w:t>Factor:</w:t>
            </w:r>
          </w:p>
          <w:p w14:paraId="73EA255B" w14:textId="56FA0EAC" w:rsidR="00EB0050" w:rsidRPr="00305E0F" w:rsidRDefault="00B02122">
            <w:pPr>
              <w:pStyle w:val="P68B1DB1-Normal26"/>
              <w:spacing w:before="60" w:after="60" w:line="240" w:lineRule="auto"/>
              <w:rPr>
                <w:lang w:val="en-GB"/>
              </w:rPr>
            </w:pPr>
            <w:r w:rsidRPr="00305E0F">
              <w:rPr>
                <w:lang w:val="en-GB"/>
              </w:rPr>
              <w:t xml:space="preserve">financial </w:t>
            </w:r>
            <w:r w:rsidR="00A5507D" w:rsidRPr="00305E0F">
              <w:rPr>
                <w:bCs/>
                <w:lang w:val="en-GB"/>
              </w:rPr>
              <w:t>strength</w:t>
            </w:r>
          </w:p>
        </w:tc>
        <w:tc>
          <w:tcPr>
            <w:tcW w:w="0" w:type="auto"/>
            <w:tcBorders>
              <w:top w:val="single" w:sz="6" w:space="0" w:color="000000"/>
              <w:left w:val="single" w:sz="6" w:space="0" w:color="000000"/>
              <w:bottom w:val="single" w:sz="6" w:space="0" w:color="000000"/>
              <w:right w:val="single" w:sz="6" w:space="0" w:color="000000"/>
            </w:tcBorders>
            <w:hideMark/>
          </w:tcPr>
          <w:p w14:paraId="78A8129C"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62DEE2EE"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BB4B2D5"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E3D5E35"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5ECF1A3A"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38E3148C" w14:textId="77777777">
              <w:tc>
                <w:tcPr>
                  <w:tcW w:w="0" w:type="auto"/>
                  <w:hideMark/>
                </w:tcPr>
                <w:p w14:paraId="198552BD" w14:textId="1845B523" w:rsidR="00A5507D" w:rsidRPr="00305E0F" w:rsidRDefault="00A5507D" w:rsidP="00A5507D">
                  <w:pPr>
                    <w:pStyle w:val="P68B1DB1-Normal5"/>
                    <w:spacing w:before="120" w:after="0" w:line="240" w:lineRule="auto"/>
                    <w:ind w:right="-15"/>
                    <w:rPr>
                      <w:lang w:val="en-GB"/>
                    </w:rPr>
                  </w:pPr>
                  <w:r w:rsidRPr="00305E0F">
                    <w:rPr>
                      <w:lang w:val="en-GB"/>
                    </w:rPr>
                    <w:t>1.</w:t>
                  </w:r>
                </w:p>
              </w:tc>
              <w:tc>
                <w:tcPr>
                  <w:tcW w:w="0" w:type="auto"/>
                  <w:hideMark/>
                </w:tcPr>
                <w:p w14:paraId="2AC3E98A" w14:textId="77777777" w:rsidR="00A5507D" w:rsidRPr="00305E0F" w:rsidRDefault="00A5507D" w:rsidP="00A5507D">
                  <w:pPr>
                    <w:pStyle w:val="P68B1DB1-Normal5"/>
                    <w:spacing w:before="120" w:after="0" w:line="240" w:lineRule="auto"/>
                    <w:ind w:right="-15"/>
                    <w:rPr>
                      <w:lang w:val="en-GB"/>
                    </w:rPr>
                  </w:pPr>
                  <w:r w:rsidRPr="00305E0F">
                    <w:rPr>
                      <w:lang w:val="en-GB"/>
                    </w:rPr>
                    <w:t>Sub-factor: market conditions</w:t>
                  </w:r>
                </w:p>
              </w:tc>
            </w:tr>
          </w:tbl>
          <w:p w14:paraId="7A980849" w14:textId="77777777" w:rsidR="00A5507D" w:rsidRPr="00305E0F" w:rsidRDefault="00A5507D" w:rsidP="00A5507D">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582D906" w14:textId="1B1221EE" w:rsidR="00A5507D" w:rsidRPr="00305E0F" w:rsidRDefault="00A5507D" w:rsidP="00A5507D">
            <w:pPr>
              <w:pStyle w:val="P68B1DB1-Normal27"/>
              <w:tabs>
                <w:tab w:val="left" w:pos="1787"/>
              </w:tabs>
              <w:spacing w:before="60" w:after="60" w:line="240" w:lineRule="auto"/>
              <w:ind w:left="87"/>
              <w:rPr>
                <w:lang w:val="en-GB"/>
              </w:rPr>
            </w:pPr>
            <w:r w:rsidRPr="00305E0F">
              <w:rPr>
                <w:lang w:val="en-GB"/>
              </w:rPr>
              <w:t>The supply and demand for the project’s type and location are currently in equilibrium. The number of competitive properties coming to market is equal or lower than forecasted demand.</w:t>
            </w:r>
          </w:p>
        </w:tc>
        <w:tc>
          <w:tcPr>
            <w:tcW w:w="0" w:type="auto"/>
            <w:tcBorders>
              <w:top w:val="single" w:sz="6" w:space="0" w:color="000000"/>
              <w:left w:val="single" w:sz="6" w:space="0" w:color="000000"/>
              <w:bottom w:val="single" w:sz="6" w:space="0" w:color="000000"/>
              <w:right w:val="single" w:sz="6" w:space="0" w:color="000000"/>
            </w:tcBorders>
            <w:hideMark/>
          </w:tcPr>
          <w:p w14:paraId="77CC826F" w14:textId="6BA540CE" w:rsidR="00A5507D" w:rsidRPr="00305E0F" w:rsidRDefault="00A5507D" w:rsidP="00A5507D">
            <w:pPr>
              <w:pStyle w:val="P68B1DB1-Normal27"/>
              <w:spacing w:before="60" w:after="60" w:line="240" w:lineRule="auto"/>
              <w:rPr>
                <w:lang w:val="en-GB"/>
              </w:rPr>
            </w:pPr>
            <w:r w:rsidRPr="00305E0F">
              <w:rPr>
                <w:lang w:val="en-GB"/>
              </w:rPr>
              <w:t>The supply and demand for the project’s type and location are currently in equilibrium. The number of competitive properties coming to market is roughly equal to forecasted demand.</w:t>
            </w:r>
          </w:p>
        </w:tc>
        <w:tc>
          <w:tcPr>
            <w:tcW w:w="0" w:type="auto"/>
            <w:tcBorders>
              <w:top w:val="single" w:sz="6" w:space="0" w:color="000000"/>
              <w:left w:val="single" w:sz="6" w:space="0" w:color="000000"/>
              <w:bottom w:val="single" w:sz="6" w:space="0" w:color="000000"/>
              <w:right w:val="single" w:sz="6" w:space="0" w:color="000000"/>
            </w:tcBorders>
            <w:hideMark/>
          </w:tcPr>
          <w:p w14:paraId="7BB4D28F" w14:textId="41B01909" w:rsidR="00A5507D" w:rsidRPr="00305E0F" w:rsidRDefault="00A5507D" w:rsidP="00A5507D">
            <w:pPr>
              <w:pStyle w:val="P68B1DB1-Normal27"/>
              <w:spacing w:before="60" w:after="60" w:line="240" w:lineRule="auto"/>
              <w:rPr>
                <w:lang w:val="en-GB"/>
              </w:rPr>
            </w:pPr>
            <w:r w:rsidRPr="00305E0F">
              <w:rPr>
                <w:lang w:val="en-GB"/>
              </w:rPr>
              <w:t>Market conditions are roughly in equilibrium. Competitive properties are coming on the market and others are in the planning stages. The design and capabilities of existing comparable properties are not state of the art as compared to new projects.</w:t>
            </w:r>
          </w:p>
        </w:tc>
        <w:tc>
          <w:tcPr>
            <w:tcW w:w="0" w:type="auto"/>
            <w:tcBorders>
              <w:top w:val="single" w:sz="6" w:space="0" w:color="000000"/>
              <w:left w:val="single" w:sz="6" w:space="0" w:color="000000"/>
              <w:bottom w:val="single" w:sz="6" w:space="0" w:color="000000"/>
              <w:right w:val="single" w:sz="6" w:space="0" w:color="000000"/>
            </w:tcBorders>
            <w:hideMark/>
          </w:tcPr>
          <w:p w14:paraId="62FEAA10" w14:textId="47BAC963" w:rsidR="00A5507D" w:rsidRPr="00305E0F" w:rsidRDefault="00A5507D" w:rsidP="00A5507D">
            <w:pPr>
              <w:pStyle w:val="P68B1DB1-Normal27"/>
              <w:spacing w:before="60" w:after="60" w:line="240" w:lineRule="auto"/>
              <w:rPr>
                <w:lang w:val="en-GB"/>
              </w:rPr>
            </w:pPr>
            <w:r w:rsidRPr="00305E0F">
              <w:rPr>
                <w:lang w:val="en-GB"/>
              </w:rPr>
              <w:t>Market conditions are weak. It is uncertain when conditions will improve and return to equilibrium. Comparable properties in the market are losing tenants at lease expiration. New lease terms of comparable properties are less favourable compared to those existing.</w:t>
            </w:r>
          </w:p>
        </w:tc>
      </w:tr>
      <w:tr w:rsidR="00305E0F" w:rsidRPr="00305E0F" w14:paraId="47175173"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53EE7E5E" w14:textId="77777777">
              <w:trPr>
                <w:trHeight w:val="1939"/>
              </w:trPr>
              <w:tc>
                <w:tcPr>
                  <w:tcW w:w="0" w:type="auto"/>
                  <w:hideMark/>
                </w:tcPr>
                <w:p w14:paraId="4A2E0AEC" w14:textId="03CD320D" w:rsidR="00A5507D" w:rsidRPr="00305E0F" w:rsidRDefault="00A5507D" w:rsidP="00A5507D">
                  <w:pPr>
                    <w:pStyle w:val="P68B1DB1-Normal5"/>
                    <w:spacing w:before="120" w:after="0" w:line="240" w:lineRule="auto"/>
                    <w:rPr>
                      <w:lang w:val="en-GB"/>
                    </w:rPr>
                  </w:pPr>
                  <w:r w:rsidRPr="00305E0F">
                    <w:rPr>
                      <w:lang w:val="en-GB"/>
                    </w:rPr>
                    <w:t>2.</w:t>
                  </w:r>
                </w:p>
              </w:tc>
              <w:tc>
                <w:tcPr>
                  <w:tcW w:w="0" w:type="auto"/>
                  <w:hideMark/>
                </w:tcPr>
                <w:p w14:paraId="6365D021" w14:textId="6EABB234" w:rsidR="00A5507D" w:rsidRPr="00305E0F" w:rsidRDefault="00A5507D" w:rsidP="00A5507D">
                  <w:pPr>
                    <w:pStyle w:val="P68B1DB1-Normal5"/>
                    <w:spacing w:before="120" w:after="0" w:line="240" w:lineRule="auto"/>
                    <w:rPr>
                      <w:lang w:val="en-GB"/>
                    </w:rPr>
                  </w:pPr>
                  <w:r w:rsidRPr="00305E0F">
                    <w:rPr>
                      <w:lang w:val="en-GB"/>
                    </w:rPr>
                    <w:t>Sub-factor: financial ratios, i.e. Indicators of the borrower’s ability to repay</w:t>
                  </w:r>
                </w:p>
              </w:tc>
            </w:tr>
          </w:tbl>
          <w:p w14:paraId="7F72CA11" w14:textId="77777777" w:rsidR="00A5507D" w:rsidRPr="00305E0F" w:rsidRDefault="00A5507D" w:rsidP="00A5507D">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1BED9EC" w14:textId="4A71BB1D" w:rsidR="00A5507D" w:rsidRPr="00305E0F" w:rsidRDefault="00A5507D" w:rsidP="00402907">
            <w:pPr>
              <w:pStyle w:val="P68B1DB1-Normal27"/>
              <w:tabs>
                <w:tab w:val="left" w:pos="1787"/>
              </w:tabs>
              <w:spacing w:before="60" w:after="60" w:line="240" w:lineRule="auto"/>
              <w:ind w:firstLine="87"/>
              <w:rPr>
                <w:lang w:val="en-GB"/>
              </w:rPr>
            </w:pPr>
            <w:r w:rsidRPr="00305E0F">
              <w:rPr>
                <w:lang w:val="en-GB"/>
              </w:rPr>
              <w:t>The property’s financial ratios, measured by the property’s debt service coverage ratio (DSCR) or interest coverage ratio (ICR), are considered strong and are expected to remain strong taking into account the past evolution in financial ratios. DSCR or ICR is not relevant and should not be calculated for properties that are in the construction phase.</w:t>
            </w:r>
          </w:p>
        </w:tc>
        <w:tc>
          <w:tcPr>
            <w:tcW w:w="0" w:type="auto"/>
            <w:tcBorders>
              <w:top w:val="single" w:sz="6" w:space="0" w:color="000000"/>
              <w:left w:val="single" w:sz="6" w:space="0" w:color="000000"/>
              <w:bottom w:val="single" w:sz="6" w:space="0" w:color="000000"/>
              <w:right w:val="single" w:sz="6" w:space="0" w:color="000000"/>
            </w:tcBorders>
            <w:hideMark/>
          </w:tcPr>
          <w:p w14:paraId="41BB145E" w14:textId="0535C361" w:rsidR="00A5507D" w:rsidRPr="00305E0F" w:rsidRDefault="00A5507D" w:rsidP="00402907">
            <w:pPr>
              <w:pStyle w:val="P68B1DB1-Normal27"/>
              <w:spacing w:before="60" w:after="60" w:line="240" w:lineRule="auto"/>
              <w:rPr>
                <w:lang w:val="en-GB"/>
              </w:rPr>
            </w:pPr>
            <w:r w:rsidRPr="00305E0F">
              <w:rPr>
                <w:lang w:val="en-GB"/>
              </w:rPr>
              <w:t>The property’s financial ratios, measured by the property’s DSCR or ICR, are considered good and are expected to remain good taking into account the past evolution in financial ratios. The DSCR or ICR is not relevant and should not be calculated for properties that are in the construction phase.</w:t>
            </w:r>
          </w:p>
        </w:tc>
        <w:tc>
          <w:tcPr>
            <w:tcW w:w="0" w:type="auto"/>
            <w:tcBorders>
              <w:top w:val="single" w:sz="6" w:space="0" w:color="000000"/>
              <w:left w:val="single" w:sz="6" w:space="0" w:color="000000"/>
              <w:bottom w:val="single" w:sz="6" w:space="0" w:color="000000"/>
              <w:right w:val="single" w:sz="6" w:space="0" w:color="000000"/>
            </w:tcBorders>
            <w:hideMark/>
          </w:tcPr>
          <w:p w14:paraId="410927B3" w14:textId="4219DC8F" w:rsidR="00A5507D" w:rsidRPr="00305E0F" w:rsidRDefault="00A5507D" w:rsidP="00402907">
            <w:pPr>
              <w:pStyle w:val="P68B1DB1-Normal27"/>
              <w:spacing w:before="60" w:after="60" w:line="240" w:lineRule="auto"/>
              <w:rPr>
                <w:lang w:val="en-GB"/>
              </w:rPr>
            </w:pPr>
            <w:r w:rsidRPr="00305E0F">
              <w:rPr>
                <w:lang w:val="en-GB"/>
              </w:rPr>
              <w:t>The property’s financial ratios measured by the property’s DSCR or ICR are satisfactory and are expected to remain satisfactory taking into account the past evolution in financial ratios. The DSCR or ICR is not relevant and should not be calculated for properties that are in the construction phase.</w:t>
            </w:r>
          </w:p>
        </w:tc>
        <w:tc>
          <w:tcPr>
            <w:tcW w:w="0" w:type="auto"/>
            <w:tcBorders>
              <w:top w:val="single" w:sz="6" w:space="0" w:color="000000"/>
              <w:left w:val="single" w:sz="6" w:space="0" w:color="000000"/>
              <w:bottom w:val="single" w:sz="6" w:space="0" w:color="000000"/>
              <w:right w:val="single" w:sz="6" w:space="0" w:color="000000"/>
            </w:tcBorders>
            <w:hideMark/>
          </w:tcPr>
          <w:p w14:paraId="1744D7CB" w14:textId="3160C158" w:rsidR="00A5507D" w:rsidRPr="00305E0F" w:rsidRDefault="00A5507D" w:rsidP="00402907">
            <w:pPr>
              <w:pStyle w:val="P68B1DB1-Normal27"/>
              <w:spacing w:before="60" w:after="60" w:line="240" w:lineRule="auto"/>
              <w:rPr>
                <w:lang w:val="en-GB"/>
              </w:rPr>
            </w:pPr>
            <w:r w:rsidRPr="00305E0F">
              <w:rPr>
                <w:lang w:val="en-GB"/>
              </w:rPr>
              <w:t>The property’s financial ratios, measured by the property’s DSCR or ICR are weak and are expected to remain weak taking into account the past evolution in financial ratios. The DSCR or ICR is not relevant and should not be calculated for properties that are in the construction phase.</w:t>
            </w:r>
          </w:p>
        </w:tc>
      </w:tr>
      <w:tr w:rsidR="00305E0F" w:rsidRPr="00305E0F" w14:paraId="65AA9FEC"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06820593" w14:textId="77777777">
              <w:tc>
                <w:tcPr>
                  <w:tcW w:w="0" w:type="auto"/>
                  <w:hideMark/>
                </w:tcPr>
                <w:p w14:paraId="649C8649" w14:textId="6712F6B5" w:rsidR="00A5507D" w:rsidRPr="00305E0F" w:rsidRDefault="00A5507D" w:rsidP="00A5507D">
                  <w:pPr>
                    <w:pStyle w:val="P68B1DB1-Normal5"/>
                    <w:spacing w:before="120" w:after="0" w:line="240" w:lineRule="auto"/>
                    <w:jc w:val="both"/>
                    <w:rPr>
                      <w:lang w:val="en-GB"/>
                    </w:rPr>
                  </w:pPr>
                  <w:r w:rsidRPr="00305E0F">
                    <w:rPr>
                      <w:lang w:val="en-GB"/>
                    </w:rPr>
                    <w:t>3.</w:t>
                  </w:r>
                </w:p>
              </w:tc>
              <w:tc>
                <w:tcPr>
                  <w:tcW w:w="0" w:type="auto"/>
                  <w:hideMark/>
                </w:tcPr>
                <w:p w14:paraId="63D892BB" w14:textId="16FE4050" w:rsidR="00A5507D" w:rsidRPr="00305E0F" w:rsidRDefault="00A5507D" w:rsidP="00A5507D">
                  <w:pPr>
                    <w:pStyle w:val="P68B1DB1-Normal5"/>
                    <w:spacing w:before="120" w:after="0" w:line="240" w:lineRule="auto"/>
                    <w:rPr>
                      <w:lang w:val="en-GB"/>
                    </w:rPr>
                  </w:pPr>
                  <w:r w:rsidRPr="00305E0F">
                    <w:rPr>
                      <w:lang w:val="en-GB"/>
                    </w:rPr>
                    <w:t>Sub-factor: advance ratio, i.e. the loan-to-value (LTV) ratio as an indicators of the borrower’s willingness to repay</w:t>
                  </w:r>
                </w:p>
              </w:tc>
            </w:tr>
          </w:tbl>
          <w:p w14:paraId="451C929F" w14:textId="77777777" w:rsidR="00A5507D" w:rsidRPr="00305E0F" w:rsidRDefault="00A5507D" w:rsidP="00A5507D">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431BCC5" w14:textId="55C1DA68" w:rsidR="00A5507D" w:rsidRPr="00305E0F" w:rsidRDefault="00A5507D" w:rsidP="00402907">
            <w:pPr>
              <w:pStyle w:val="P68B1DB1-Normal27"/>
              <w:tabs>
                <w:tab w:val="left" w:pos="1787"/>
              </w:tabs>
              <w:spacing w:before="60" w:after="60" w:line="240" w:lineRule="auto"/>
              <w:ind w:firstLine="87"/>
              <w:rPr>
                <w:lang w:val="en-GB"/>
              </w:rPr>
            </w:pPr>
            <w:r w:rsidRPr="00305E0F">
              <w:rPr>
                <w:lang w:val="en-GB"/>
              </w:rPr>
              <w:t>The property’s loan to value ratio (LTV) is considered low given its property type. Where a secondary market exists, the transaction is underwritten to market standards.</w:t>
            </w:r>
          </w:p>
        </w:tc>
        <w:tc>
          <w:tcPr>
            <w:tcW w:w="0" w:type="auto"/>
            <w:tcBorders>
              <w:top w:val="single" w:sz="6" w:space="0" w:color="000000"/>
              <w:left w:val="single" w:sz="6" w:space="0" w:color="000000"/>
              <w:bottom w:val="single" w:sz="6" w:space="0" w:color="000000"/>
              <w:right w:val="single" w:sz="6" w:space="0" w:color="000000"/>
            </w:tcBorders>
            <w:hideMark/>
          </w:tcPr>
          <w:p w14:paraId="3323B7B2" w14:textId="46BCFB10" w:rsidR="00A5507D" w:rsidRPr="00305E0F" w:rsidRDefault="00A5507D" w:rsidP="00402907">
            <w:pPr>
              <w:pStyle w:val="P68B1DB1-Normal27"/>
              <w:spacing w:before="60" w:after="60" w:line="240" w:lineRule="auto"/>
              <w:rPr>
                <w:lang w:val="en-GB"/>
              </w:rPr>
            </w:pPr>
            <w:r w:rsidRPr="00305E0F">
              <w:rPr>
                <w:lang w:val="en-GB"/>
              </w:rPr>
              <w:t>The property’s LTV is considered satisfactory given its property type. Where a secondary market exists, the transaction is underwritten to market standards.</w:t>
            </w:r>
          </w:p>
        </w:tc>
        <w:tc>
          <w:tcPr>
            <w:tcW w:w="0" w:type="auto"/>
            <w:tcBorders>
              <w:top w:val="single" w:sz="6" w:space="0" w:color="000000"/>
              <w:left w:val="single" w:sz="6" w:space="0" w:color="000000"/>
              <w:bottom w:val="single" w:sz="6" w:space="0" w:color="000000"/>
              <w:right w:val="single" w:sz="6" w:space="0" w:color="000000"/>
            </w:tcBorders>
            <w:hideMark/>
          </w:tcPr>
          <w:p w14:paraId="7C4AF151" w14:textId="06F37744" w:rsidR="00A5507D" w:rsidRPr="00305E0F" w:rsidRDefault="00A5507D" w:rsidP="00402907">
            <w:pPr>
              <w:pStyle w:val="P68B1DB1-Normal27"/>
              <w:spacing w:before="60" w:after="60" w:line="240" w:lineRule="auto"/>
              <w:rPr>
                <w:lang w:val="en-GB"/>
              </w:rPr>
            </w:pPr>
            <w:r w:rsidRPr="00305E0F">
              <w:rPr>
                <w:lang w:val="en-GB"/>
              </w:rPr>
              <w:t>The property’s LTV is considered relatively high given its property type.</w:t>
            </w:r>
          </w:p>
        </w:tc>
        <w:tc>
          <w:tcPr>
            <w:tcW w:w="0" w:type="auto"/>
            <w:tcBorders>
              <w:top w:val="single" w:sz="6" w:space="0" w:color="000000"/>
              <w:left w:val="single" w:sz="6" w:space="0" w:color="000000"/>
              <w:bottom w:val="single" w:sz="6" w:space="0" w:color="000000"/>
              <w:right w:val="single" w:sz="6" w:space="0" w:color="000000"/>
            </w:tcBorders>
            <w:hideMark/>
          </w:tcPr>
          <w:p w14:paraId="62189F78" w14:textId="578D3EDF" w:rsidR="00A5507D" w:rsidRPr="00305E0F" w:rsidRDefault="00A5507D" w:rsidP="00402907">
            <w:pPr>
              <w:pStyle w:val="P68B1DB1-Normal27"/>
              <w:spacing w:before="60" w:after="60" w:line="240" w:lineRule="auto"/>
              <w:rPr>
                <w:lang w:val="en-GB"/>
              </w:rPr>
            </w:pPr>
            <w:r w:rsidRPr="00305E0F">
              <w:rPr>
                <w:lang w:val="en-GB"/>
              </w:rPr>
              <w:t>The property’s LTV ratio is well above underwriting standards for new loans.</w:t>
            </w:r>
          </w:p>
        </w:tc>
      </w:tr>
      <w:tr w:rsidR="00305E0F" w:rsidRPr="00305E0F" w14:paraId="35CD8A6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3AE5420C" w14:textId="77777777">
              <w:tc>
                <w:tcPr>
                  <w:tcW w:w="0" w:type="auto"/>
                  <w:hideMark/>
                </w:tcPr>
                <w:p w14:paraId="5DC61F10" w14:textId="72CF6361" w:rsidR="00FF05F2" w:rsidRPr="00305E0F" w:rsidRDefault="00FF05F2" w:rsidP="00FF05F2">
                  <w:pPr>
                    <w:pStyle w:val="P68B1DB1-Normal5"/>
                    <w:spacing w:before="120" w:after="0" w:line="240" w:lineRule="auto"/>
                    <w:jc w:val="both"/>
                    <w:rPr>
                      <w:lang w:val="en-GB"/>
                    </w:rPr>
                  </w:pPr>
                  <w:r w:rsidRPr="00305E0F">
                    <w:rPr>
                      <w:lang w:val="en-GB"/>
                    </w:rPr>
                    <w:t>4.</w:t>
                  </w:r>
                </w:p>
              </w:tc>
              <w:tc>
                <w:tcPr>
                  <w:tcW w:w="0" w:type="auto"/>
                  <w:hideMark/>
                </w:tcPr>
                <w:p w14:paraId="14A28C18" w14:textId="7759963B" w:rsidR="00FF05F2" w:rsidRPr="00305E0F" w:rsidRDefault="00FF05F2" w:rsidP="00FF05F2">
                  <w:pPr>
                    <w:pStyle w:val="P68B1DB1-Normal5"/>
                    <w:spacing w:before="120" w:after="0" w:line="240" w:lineRule="auto"/>
                    <w:rPr>
                      <w:lang w:val="en-GB"/>
                    </w:rPr>
                  </w:pPr>
                  <w:r w:rsidRPr="00305E0F">
                    <w:rPr>
                      <w:lang w:val="en-GB"/>
                    </w:rPr>
                    <w:t>Sub-factor: stress analysis on the basis of the income being generated during the tenor of the loan</w:t>
                  </w:r>
                </w:p>
              </w:tc>
            </w:tr>
          </w:tbl>
          <w:p w14:paraId="08238B39" w14:textId="77777777" w:rsidR="00FF05F2" w:rsidRPr="00305E0F" w:rsidRDefault="00FF05F2" w:rsidP="00FF05F2">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6A0BA69" w14:textId="37AAF0D6" w:rsidR="00FF05F2" w:rsidRPr="00305E0F" w:rsidRDefault="00FF05F2" w:rsidP="00402907">
            <w:pPr>
              <w:pStyle w:val="P68B1DB1-Normal27"/>
              <w:tabs>
                <w:tab w:val="left" w:pos="1787"/>
              </w:tabs>
              <w:spacing w:before="60" w:after="60" w:line="240" w:lineRule="auto"/>
              <w:ind w:firstLine="87"/>
              <w:rPr>
                <w:lang w:val="en-GB"/>
              </w:rPr>
            </w:pPr>
            <w:r w:rsidRPr="00305E0F">
              <w:rPr>
                <w:lang w:val="en-GB"/>
              </w:rPr>
              <w:t>The property’s resources, contingencies and liability structure allow it to meet its financial obligations during a period of severe financial stress (e.g. interest rates, economic growth).</w:t>
            </w:r>
          </w:p>
        </w:tc>
        <w:tc>
          <w:tcPr>
            <w:tcW w:w="0" w:type="auto"/>
            <w:tcBorders>
              <w:top w:val="single" w:sz="6" w:space="0" w:color="000000"/>
              <w:left w:val="single" w:sz="6" w:space="0" w:color="000000"/>
              <w:bottom w:val="single" w:sz="6" w:space="0" w:color="000000"/>
              <w:right w:val="single" w:sz="6" w:space="0" w:color="000000"/>
            </w:tcBorders>
            <w:hideMark/>
          </w:tcPr>
          <w:p w14:paraId="6F1C2A87" w14:textId="1DF0B27A" w:rsidR="00FF05F2" w:rsidRPr="00305E0F" w:rsidRDefault="00FF05F2" w:rsidP="00402907">
            <w:pPr>
              <w:pStyle w:val="P68B1DB1-Normal27"/>
              <w:spacing w:before="60" w:after="60" w:line="240" w:lineRule="auto"/>
              <w:rPr>
                <w:lang w:val="en-GB"/>
              </w:rPr>
            </w:pPr>
            <w:r w:rsidRPr="00305E0F">
              <w:rPr>
                <w:lang w:val="en-GB"/>
              </w:rPr>
              <w:t>The property can meet its financial obligations under a sustained period of financial stress (e.g. interest rates, economic growth). The property is likely to default only under severe economic conditions.</w:t>
            </w:r>
          </w:p>
        </w:tc>
        <w:tc>
          <w:tcPr>
            <w:tcW w:w="0" w:type="auto"/>
            <w:tcBorders>
              <w:top w:val="single" w:sz="6" w:space="0" w:color="000000"/>
              <w:left w:val="single" w:sz="6" w:space="0" w:color="000000"/>
              <w:bottom w:val="single" w:sz="6" w:space="0" w:color="000000"/>
              <w:right w:val="single" w:sz="6" w:space="0" w:color="000000"/>
            </w:tcBorders>
            <w:hideMark/>
          </w:tcPr>
          <w:p w14:paraId="26987BD3" w14:textId="1264D12A" w:rsidR="00FF05F2" w:rsidRPr="00305E0F" w:rsidRDefault="00FF05F2" w:rsidP="00402907">
            <w:pPr>
              <w:pStyle w:val="P68B1DB1-Normal27"/>
              <w:spacing w:before="60" w:after="60" w:line="240" w:lineRule="auto"/>
              <w:rPr>
                <w:lang w:val="en-GB"/>
              </w:rPr>
            </w:pPr>
            <w:r w:rsidRPr="00305E0F">
              <w:rPr>
                <w:lang w:val="en-GB"/>
              </w:rPr>
              <w:t>During an economic downturn, the property would suffer a decline in revenue that significantly increase the risk of default.</w:t>
            </w:r>
          </w:p>
        </w:tc>
        <w:tc>
          <w:tcPr>
            <w:tcW w:w="0" w:type="auto"/>
            <w:tcBorders>
              <w:top w:val="single" w:sz="6" w:space="0" w:color="000000"/>
              <w:left w:val="single" w:sz="6" w:space="0" w:color="000000"/>
              <w:bottom w:val="single" w:sz="6" w:space="0" w:color="000000"/>
              <w:right w:val="single" w:sz="6" w:space="0" w:color="000000"/>
            </w:tcBorders>
            <w:hideMark/>
          </w:tcPr>
          <w:p w14:paraId="42D30E04" w14:textId="111B9E44" w:rsidR="00FF05F2" w:rsidRPr="00305E0F" w:rsidRDefault="00FF05F2" w:rsidP="00402907">
            <w:pPr>
              <w:pStyle w:val="P68B1DB1-Normal27"/>
              <w:spacing w:before="60" w:after="60" w:line="240" w:lineRule="auto"/>
              <w:rPr>
                <w:lang w:val="en-GB"/>
              </w:rPr>
            </w:pPr>
            <w:r w:rsidRPr="00305E0F">
              <w:rPr>
                <w:lang w:val="en-GB"/>
              </w:rPr>
              <w:t>The property’s financial condition is strained and is likely to default unless conditions improve in the near term.</w:t>
            </w:r>
          </w:p>
        </w:tc>
      </w:tr>
      <w:tr w:rsidR="00305E0F" w:rsidRPr="00305E0F" w14:paraId="2BA531A2"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54BD351B" w14:textId="77777777">
              <w:tc>
                <w:tcPr>
                  <w:tcW w:w="0" w:type="auto"/>
                  <w:hideMark/>
                </w:tcPr>
                <w:p w14:paraId="2943F1FB" w14:textId="1F9D9EED" w:rsidR="00EB0050" w:rsidRPr="00305E0F" w:rsidRDefault="00B02122">
                  <w:pPr>
                    <w:pStyle w:val="P68B1DB1-Normal5"/>
                    <w:spacing w:before="120" w:after="0" w:line="240" w:lineRule="auto"/>
                    <w:jc w:val="both"/>
                    <w:rPr>
                      <w:lang w:val="en-GB"/>
                    </w:rPr>
                  </w:pPr>
                  <w:r w:rsidRPr="00305E0F">
                    <w:rPr>
                      <w:lang w:val="en-GB"/>
                    </w:rPr>
                    <w:t>5.</w:t>
                  </w:r>
                </w:p>
              </w:tc>
              <w:tc>
                <w:tcPr>
                  <w:tcW w:w="0" w:type="auto"/>
                  <w:hideMark/>
                </w:tcPr>
                <w:p w14:paraId="2EA6EC1F" w14:textId="02CCEBB2" w:rsidR="00EB0050" w:rsidRPr="00305E0F" w:rsidRDefault="00B02122">
                  <w:pPr>
                    <w:pStyle w:val="P68B1DB1-Normal5"/>
                    <w:spacing w:before="120" w:after="0" w:line="240" w:lineRule="auto"/>
                    <w:rPr>
                      <w:lang w:val="en-GB"/>
                    </w:rPr>
                  </w:pPr>
                  <w:r w:rsidRPr="00305E0F">
                    <w:rPr>
                      <w:lang w:val="en-GB"/>
                    </w:rPr>
                    <w:t xml:space="preserve">Sub-factor: </w:t>
                  </w:r>
                  <w:r w:rsidR="00FF05F2" w:rsidRPr="00305E0F">
                    <w:rPr>
                      <w:lang w:val="en-GB"/>
                    </w:rPr>
                    <w:t>cash-flow predictability</w:t>
                  </w:r>
                </w:p>
              </w:tc>
            </w:tr>
          </w:tbl>
          <w:p w14:paraId="79AB3076" w14:textId="77777777" w:rsidR="00EB0050" w:rsidRPr="00305E0F" w:rsidRDefault="00EB00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76F0F09" w14:textId="77777777" w:rsidR="00EB0050" w:rsidRPr="00305E0F" w:rsidRDefault="00B02122" w:rsidP="00402907">
            <w:pPr>
              <w:pStyle w:val="P68B1DB1-Normal5"/>
              <w:tabs>
                <w:tab w:val="left" w:pos="1787"/>
              </w:tabs>
              <w:spacing w:before="120" w:after="0" w:line="240" w:lineRule="auto"/>
              <w:ind w:firstLine="87"/>
              <w:jc w:val="both"/>
              <w:rPr>
                <w:sz w:val="22"/>
                <w:szCs w:val="22"/>
                <w:lang w:val="en-GB"/>
              </w:rPr>
            </w:pPr>
            <w:r w:rsidRPr="00305E0F">
              <w:rPr>
                <w:sz w:val="22"/>
                <w:szCs w:val="22"/>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AA0A2F6" w14:textId="77777777" w:rsidR="00EB0050" w:rsidRPr="00305E0F" w:rsidRDefault="00B02122" w:rsidP="00402907">
            <w:pPr>
              <w:pStyle w:val="P68B1DB1-Normal5"/>
              <w:spacing w:before="120" w:after="0" w:line="240" w:lineRule="auto"/>
              <w:jc w:val="both"/>
              <w:rPr>
                <w:sz w:val="22"/>
                <w:szCs w:val="22"/>
                <w:lang w:val="en-GB"/>
              </w:rPr>
            </w:pPr>
            <w:r w:rsidRPr="00305E0F">
              <w:rPr>
                <w:sz w:val="22"/>
                <w:szCs w:val="22"/>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F989747" w14:textId="77777777" w:rsidR="00EB0050" w:rsidRPr="00305E0F" w:rsidRDefault="00B02122" w:rsidP="00402907">
            <w:pPr>
              <w:pStyle w:val="P68B1DB1-Normal5"/>
              <w:spacing w:before="120" w:after="0" w:line="240" w:lineRule="auto"/>
              <w:jc w:val="both"/>
              <w:rPr>
                <w:sz w:val="22"/>
                <w:szCs w:val="22"/>
                <w:lang w:val="en-GB"/>
              </w:rPr>
            </w:pPr>
            <w:r w:rsidRPr="00305E0F">
              <w:rPr>
                <w:sz w:val="22"/>
                <w:szCs w:val="22"/>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5BF04573" w14:textId="77777777" w:rsidR="00EB0050" w:rsidRPr="00305E0F" w:rsidRDefault="00B02122" w:rsidP="00402907">
            <w:pPr>
              <w:pStyle w:val="P68B1DB1-Normal5"/>
              <w:spacing w:before="120" w:after="0" w:line="240" w:lineRule="auto"/>
              <w:jc w:val="both"/>
              <w:rPr>
                <w:sz w:val="22"/>
                <w:szCs w:val="22"/>
                <w:lang w:val="en-GB"/>
              </w:rPr>
            </w:pPr>
            <w:r w:rsidRPr="00305E0F">
              <w:rPr>
                <w:sz w:val="22"/>
                <w:szCs w:val="22"/>
                <w:lang w:val="en-GB"/>
              </w:rPr>
              <w:t> </w:t>
            </w:r>
          </w:p>
        </w:tc>
      </w:tr>
      <w:tr w:rsidR="00305E0F" w:rsidRPr="00305E0F" w14:paraId="046C350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1752"/>
            </w:tblGrid>
            <w:tr w:rsidR="00305E0F" w:rsidRPr="00305E0F" w14:paraId="579E7A7E" w14:textId="77777777">
              <w:tc>
                <w:tcPr>
                  <w:tcW w:w="0" w:type="auto"/>
                  <w:hideMark/>
                </w:tcPr>
                <w:p w14:paraId="7B6DDA0E" w14:textId="39ACE285" w:rsidR="00FF05F2" w:rsidRPr="00305E0F" w:rsidRDefault="00FF05F2" w:rsidP="00FF05F2">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405352DB" w14:textId="46CDE511" w:rsidR="00FF05F2" w:rsidRPr="00305E0F" w:rsidRDefault="00FF05F2" w:rsidP="00FF05F2">
                  <w:pPr>
                    <w:pStyle w:val="P68B1DB1-Normal5"/>
                    <w:spacing w:before="120" w:after="0" w:line="240" w:lineRule="auto"/>
                    <w:rPr>
                      <w:lang w:val="en-GB"/>
                    </w:rPr>
                  </w:pPr>
                  <w:r w:rsidRPr="00305E0F">
                    <w:rPr>
                      <w:lang w:val="en-GB"/>
                    </w:rPr>
                    <w:t>5.1.</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For complete and stabilised property (sub-factor component)</w:t>
                  </w:r>
                </w:p>
              </w:tc>
            </w:tr>
          </w:tbl>
          <w:p w14:paraId="75CE12EE" w14:textId="77777777" w:rsidR="00FF05F2" w:rsidRPr="00305E0F" w:rsidRDefault="00FF05F2" w:rsidP="00FF05F2">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56D546E" w14:textId="77777777" w:rsidR="00FF05F2" w:rsidRPr="00305E0F" w:rsidRDefault="00FF05F2" w:rsidP="00402907">
            <w:pPr>
              <w:pStyle w:val="oj-tbl-txt"/>
              <w:spacing w:before="60" w:beforeAutospacing="0" w:after="60" w:afterAutospacing="0"/>
              <w:rPr>
                <w:sz w:val="22"/>
                <w:szCs w:val="22"/>
                <w:lang w:val="en-GB"/>
              </w:rPr>
            </w:pPr>
            <w:r w:rsidRPr="00305E0F">
              <w:rPr>
                <w:sz w:val="22"/>
                <w:szCs w:val="22"/>
                <w:lang w:val="en-GB"/>
              </w:rPr>
              <w:t>The property’s leases are long-term with creditworthy tenants and their maturity dates are scattered, or a public private partnership guarantees a considerable part of the tenancy contracts.</w:t>
            </w:r>
          </w:p>
          <w:p w14:paraId="43548475" w14:textId="2E4CECFC" w:rsidR="00FF05F2" w:rsidRPr="00305E0F" w:rsidRDefault="00FF05F2" w:rsidP="00402907">
            <w:pPr>
              <w:pStyle w:val="P68B1DB1-Normal27"/>
              <w:tabs>
                <w:tab w:val="left" w:pos="1787"/>
              </w:tabs>
              <w:spacing w:before="60" w:after="60" w:line="240" w:lineRule="auto"/>
              <w:ind w:firstLine="87"/>
              <w:rPr>
                <w:lang w:val="en-GB"/>
              </w:rPr>
            </w:pPr>
            <w:r w:rsidRPr="00305E0F">
              <w:rPr>
                <w:lang w:val="en-GB"/>
              </w:rPr>
              <w:t>The property has a track record of tenant retention upon lease expiration. Its vacancy rate is low. Expenses (maintenance, insurance, security, and property taxes) are predictable.</w:t>
            </w:r>
          </w:p>
        </w:tc>
        <w:tc>
          <w:tcPr>
            <w:tcW w:w="0" w:type="auto"/>
            <w:tcBorders>
              <w:top w:val="single" w:sz="6" w:space="0" w:color="000000"/>
              <w:left w:val="single" w:sz="6" w:space="0" w:color="000000"/>
              <w:bottom w:val="single" w:sz="6" w:space="0" w:color="000000"/>
              <w:right w:val="single" w:sz="6" w:space="0" w:color="000000"/>
            </w:tcBorders>
            <w:hideMark/>
          </w:tcPr>
          <w:p w14:paraId="3454CBD7" w14:textId="77777777" w:rsidR="00FF05F2" w:rsidRPr="00305E0F" w:rsidRDefault="00FF05F2" w:rsidP="00402907">
            <w:pPr>
              <w:pStyle w:val="oj-tbl-txt"/>
              <w:spacing w:before="60" w:beforeAutospacing="0" w:after="60" w:afterAutospacing="0"/>
              <w:rPr>
                <w:sz w:val="22"/>
                <w:szCs w:val="22"/>
                <w:lang w:val="en-GB"/>
              </w:rPr>
            </w:pPr>
            <w:r w:rsidRPr="00305E0F">
              <w:rPr>
                <w:sz w:val="22"/>
                <w:szCs w:val="22"/>
                <w:lang w:val="en-GB"/>
              </w:rPr>
              <w:t>The majority of the property has several tenant lease contracts that are long-term, and with tenants that have on average a high creditworthiness, and with scattered maturity dates. A public private partnership may guarantee part of the tenancy contracts. Where the property has only one lease contract or one tenant has a very significant share in the income generated by the property, this tenant is of excellent creditworthiness and the contract includes covenants that ensure lease payments until the end of the project life or beyond.</w:t>
            </w:r>
          </w:p>
          <w:p w14:paraId="340C9BD6" w14:textId="341CD883" w:rsidR="00FF05F2" w:rsidRPr="00305E0F" w:rsidRDefault="00FF05F2" w:rsidP="00402907">
            <w:pPr>
              <w:pStyle w:val="P68B1DB1-Normal27"/>
              <w:spacing w:before="60" w:after="60" w:line="240" w:lineRule="auto"/>
              <w:rPr>
                <w:lang w:val="en-GB"/>
              </w:rPr>
            </w:pPr>
            <w:r w:rsidRPr="00305E0F">
              <w:rPr>
                <w:lang w:val="en-GB"/>
              </w:rPr>
              <w:t>The property experiences a normal level of tenant turnover upon lease expiration. Its vacancy rate is low. Expenses are predictable.</w:t>
            </w:r>
          </w:p>
        </w:tc>
        <w:tc>
          <w:tcPr>
            <w:tcW w:w="0" w:type="auto"/>
            <w:tcBorders>
              <w:top w:val="single" w:sz="6" w:space="0" w:color="000000"/>
              <w:left w:val="single" w:sz="6" w:space="0" w:color="000000"/>
              <w:bottom w:val="single" w:sz="6" w:space="0" w:color="000000"/>
              <w:right w:val="single" w:sz="6" w:space="0" w:color="000000"/>
            </w:tcBorders>
            <w:hideMark/>
          </w:tcPr>
          <w:p w14:paraId="270D0BD7" w14:textId="77777777" w:rsidR="00FF05F2" w:rsidRPr="00305E0F" w:rsidRDefault="00FF05F2" w:rsidP="00402907">
            <w:pPr>
              <w:pStyle w:val="oj-tbl-txt"/>
              <w:spacing w:before="60" w:beforeAutospacing="0" w:after="60" w:afterAutospacing="0"/>
              <w:rPr>
                <w:sz w:val="22"/>
                <w:szCs w:val="22"/>
                <w:lang w:val="en-GB"/>
              </w:rPr>
            </w:pPr>
            <w:r w:rsidRPr="00305E0F">
              <w:rPr>
                <w:sz w:val="22"/>
                <w:szCs w:val="22"/>
                <w:lang w:val="en-GB"/>
              </w:rPr>
              <w:t>Most of the property’s leases are medium rather than long-term with tenants that range in creditworthiness. A public private partnership may guarantee only a minor part of the tenancy contracts. Where the property has only one lease contract or one tenant has a very significant share in the income generated by the property, this one tenant, the contract includes covenants that ensure lease payments until the end of the project life or beyond but the tenant has moderate creditworthiness.</w:t>
            </w:r>
          </w:p>
          <w:p w14:paraId="73415F1D" w14:textId="3A8C04CF" w:rsidR="00FF05F2" w:rsidRPr="00305E0F" w:rsidRDefault="00FF05F2" w:rsidP="00402907">
            <w:pPr>
              <w:pStyle w:val="P68B1DB1-Normal27"/>
              <w:spacing w:before="60" w:after="60" w:line="240" w:lineRule="auto"/>
              <w:rPr>
                <w:lang w:val="en-GB"/>
              </w:rPr>
            </w:pPr>
            <w:r w:rsidRPr="00305E0F">
              <w:rPr>
                <w:lang w:val="en-GB"/>
              </w:rPr>
              <w:t>The property experiences a moderate level of tenant turnover upon lease expiration. Its vacancy rate is moderate. Expenses are relatively predictable but vary in relation to revenue.</w:t>
            </w:r>
          </w:p>
        </w:tc>
        <w:tc>
          <w:tcPr>
            <w:tcW w:w="0" w:type="auto"/>
            <w:tcBorders>
              <w:top w:val="single" w:sz="6" w:space="0" w:color="000000"/>
              <w:left w:val="single" w:sz="6" w:space="0" w:color="000000"/>
              <w:bottom w:val="single" w:sz="6" w:space="0" w:color="000000"/>
              <w:right w:val="single" w:sz="6" w:space="0" w:color="000000"/>
            </w:tcBorders>
            <w:hideMark/>
          </w:tcPr>
          <w:p w14:paraId="4C4F8298" w14:textId="77777777" w:rsidR="00FF05F2" w:rsidRPr="00305E0F" w:rsidRDefault="00FF05F2" w:rsidP="00402907">
            <w:pPr>
              <w:pStyle w:val="oj-tbl-txt"/>
              <w:spacing w:before="60" w:beforeAutospacing="0" w:after="60" w:afterAutospacing="0"/>
              <w:rPr>
                <w:sz w:val="22"/>
                <w:szCs w:val="22"/>
                <w:lang w:val="en-GB"/>
              </w:rPr>
            </w:pPr>
            <w:r w:rsidRPr="00305E0F">
              <w:rPr>
                <w:sz w:val="22"/>
                <w:szCs w:val="22"/>
                <w:lang w:val="en-GB"/>
              </w:rPr>
              <w:t>The proportion of short term leases is significant with tenants that range in creditworthiness, or the property has only one lease contract, or one tenant has a very significant share in the income generated by the property, where that tenant has a low creditworthiness and/or the contract does not include the necessary covenants that ensure lease payments until the end of the project life or beyond.</w:t>
            </w:r>
          </w:p>
          <w:p w14:paraId="23F18AF2" w14:textId="2151DF7B" w:rsidR="00FF05F2" w:rsidRPr="00305E0F" w:rsidRDefault="00FF05F2" w:rsidP="00402907">
            <w:pPr>
              <w:pStyle w:val="P68B1DB1-Normal27"/>
              <w:spacing w:before="60" w:after="60" w:line="240" w:lineRule="auto"/>
              <w:rPr>
                <w:lang w:val="en-GB"/>
              </w:rPr>
            </w:pPr>
            <w:r w:rsidRPr="00305E0F">
              <w:rPr>
                <w:lang w:val="en-GB"/>
              </w:rPr>
              <w:t>The property experiences a very high level of tenant turnover upon lease expiration. Its vacancy rate is high. Significant expenses are incurred preparing space for new tenants.</w:t>
            </w:r>
          </w:p>
        </w:tc>
      </w:tr>
      <w:tr w:rsidR="00305E0F" w:rsidRPr="00305E0F" w14:paraId="647E18E9"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1752"/>
            </w:tblGrid>
            <w:tr w:rsidR="00305E0F" w:rsidRPr="00305E0F" w14:paraId="3E8B7560" w14:textId="77777777">
              <w:tc>
                <w:tcPr>
                  <w:tcW w:w="0" w:type="auto"/>
                  <w:hideMark/>
                </w:tcPr>
                <w:p w14:paraId="463B9347" w14:textId="24D5D082" w:rsidR="00FF05F2" w:rsidRPr="00305E0F" w:rsidRDefault="00FF05F2" w:rsidP="00FF05F2">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25304E2D" w14:textId="77777777" w:rsidR="00FF05F2" w:rsidRPr="00305E0F" w:rsidRDefault="00FF05F2" w:rsidP="00FF05F2">
                  <w:pPr>
                    <w:pStyle w:val="P68B1DB1-Normal5"/>
                    <w:spacing w:before="120" w:after="0" w:line="240" w:lineRule="auto"/>
                    <w:rPr>
                      <w:lang w:val="en-GB"/>
                    </w:rPr>
                  </w:pPr>
                  <w:r w:rsidRPr="00305E0F">
                    <w:rPr>
                      <w:lang w:val="en-GB"/>
                    </w:rPr>
                    <w:t xml:space="preserve">5.2.For </w:t>
                  </w:r>
                </w:p>
                <w:p w14:paraId="1E67F72E" w14:textId="77777777" w:rsidR="00FF05F2" w:rsidRPr="00305E0F" w:rsidRDefault="00FF05F2" w:rsidP="00FF05F2">
                  <w:pPr>
                    <w:pStyle w:val="oj-normal"/>
                    <w:spacing w:before="120" w:beforeAutospacing="0" w:after="0" w:afterAutospacing="0" w:line="312" w:lineRule="atLeast"/>
                    <w:rPr>
                      <w:lang w:val="en-GB"/>
                    </w:rPr>
                  </w:pPr>
                  <w:r w:rsidRPr="00305E0F">
                    <w:rPr>
                      <w:lang w:val="en-GB"/>
                    </w:rPr>
                    <w:t>complete but not stabilised property (sub-factor component)</w:t>
                  </w:r>
                </w:p>
                <w:p w14:paraId="768DF20B" w14:textId="4933E8DE" w:rsidR="00FF05F2" w:rsidRPr="00305E0F" w:rsidRDefault="00FF05F2" w:rsidP="00FF05F2">
                  <w:pPr>
                    <w:pStyle w:val="P68B1DB1-Normal5"/>
                    <w:spacing w:before="120" w:after="0" w:line="240" w:lineRule="auto"/>
                    <w:rPr>
                      <w:lang w:val="en-GB"/>
                    </w:rPr>
                  </w:pPr>
                </w:p>
              </w:tc>
            </w:tr>
          </w:tbl>
          <w:p w14:paraId="0722B494" w14:textId="77777777" w:rsidR="00FF05F2" w:rsidRPr="00305E0F" w:rsidRDefault="00FF05F2" w:rsidP="00FF05F2">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97636EE" w14:textId="5152AFFC" w:rsidR="00FF05F2" w:rsidRPr="00305E0F" w:rsidRDefault="00FF05F2" w:rsidP="00FF05F2">
            <w:pPr>
              <w:pStyle w:val="P68B1DB1-Normal27"/>
              <w:tabs>
                <w:tab w:val="left" w:pos="1787"/>
              </w:tabs>
              <w:spacing w:before="60" w:after="60" w:line="240" w:lineRule="auto"/>
              <w:ind w:firstLine="87"/>
              <w:rPr>
                <w:lang w:val="en-GB"/>
              </w:rPr>
            </w:pPr>
            <w:r w:rsidRPr="00305E0F">
              <w:rPr>
                <w:lang w:val="en-GB"/>
              </w:rPr>
              <w:t>The cashflows obtained from the leasing activity, for instance obtained from a public private partnership, meet or exceed the expected cashflows used in the valuation of the property. The project should achieve stabilisation in the near future.</w:t>
            </w:r>
          </w:p>
        </w:tc>
        <w:tc>
          <w:tcPr>
            <w:tcW w:w="0" w:type="auto"/>
            <w:tcBorders>
              <w:top w:val="single" w:sz="6" w:space="0" w:color="000000"/>
              <w:left w:val="single" w:sz="6" w:space="0" w:color="000000"/>
              <w:bottom w:val="single" w:sz="6" w:space="0" w:color="000000"/>
              <w:right w:val="single" w:sz="6" w:space="0" w:color="000000"/>
            </w:tcBorders>
            <w:hideMark/>
          </w:tcPr>
          <w:p w14:paraId="272625E6" w14:textId="74EE2304" w:rsidR="00FF05F2" w:rsidRPr="00305E0F" w:rsidRDefault="00FF05F2" w:rsidP="00FF05F2">
            <w:pPr>
              <w:pStyle w:val="P68B1DB1-Normal27"/>
              <w:spacing w:before="60" w:after="60" w:line="240" w:lineRule="auto"/>
              <w:rPr>
                <w:lang w:val="en-GB"/>
              </w:rPr>
            </w:pPr>
            <w:r w:rsidRPr="00305E0F">
              <w:rPr>
                <w:lang w:val="en-GB"/>
              </w:rPr>
              <w:t>The cashflows obtained from the leasing activity, for instance obtained from a public private partnership, meet or exceed the expected cashflows used in the valuation of the property. The project should achieve stabilisation in the near future.</w:t>
            </w:r>
          </w:p>
        </w:tc>
        <w:tc>
          <w:tcPr>
            <w:tcW w:w="0" w:type="auto"/>
            <w:tcBorders>
              <w:top w:val="single" w:sz="6" w:space="0" w:color="000000"/>
              <w:left w:val="single" w:sz="6" w:space="0" w:color="000000"/>
              <w:bottom w:val="single" w:sz="6" w:space="0" w:color="000000"/>
              <w:right w:val="single" w:sz="6" w:space="0" w:color="000000"/>
            </w:tcBorders>
            <w:hideMark/>
          </w:tcPr>
          <w:p w14:paraId="7D88AF6F" w14:textId="2C6CB382" w:rsidR="00FF05F2" w:rsidRPr="00305E0F" w:rsidRDefault="00FF05F2" w:rsidP="00FF05F2">
            <w:pPr>
              <w:pStyle w:val="P68B1DB1-Normal27"/>
              <w:spacing w:before="60" w:after="60" w:line="240" w:lineRule="auto"/>
              <w:rPr>
                <w:lang w:val="en-GB"/>
              </w:rPr>
            </w:pPr>
            <w:r w:rsidRPr="00305E0F">
              <w:rPr>
                <w:lang w:val="en-GB"/>
              </w:rPr>
              <w:t>Most of the cashflows obtained from the leasing activity meet the expected cashflows used in the valuation of the property, however, stabilisation will not occur for some time.</w:t>
            </w:r>
          </w:p>
        </w:tc>
        <w:tc>
          <w:tcPr>
            <w:tcW w:w="0" w:type="auto"/>
            <w:tcBorders>
              <w:top w:val="single" w:sz="6" w:space="0" w:color="000000"/>
              <w:left w:val="single" w:sz="6" w:space="0" w:color="000000"/>
              <w:bottom w:val="single" w:sz="6" w:space="0" w:color="000000"/>
              <w:right w:val="single" w:sz="6" w:space="0" w:color="000000"/>
            </w:tcBorders>
            <w:hideMark/>
          </w:tcPr>
          <w:p w14:paraId="7FBF2F14" w14:textId="6F145F0E" w:rsidR="00FF05F2" w:rsidRPr="00305E0F" w:rsidRDefault="00FF05F2" w:rsidP="00FF05F2">
            <w:pPr>
              <w:pStyle w:val="P68B1DB1-Normal27"/>
              <w:spacing w:before="60" w:after="60" w:line="240" w:lineRule="auto"/>
              <w:rPr>
                <w:lang w:val="en-GB"/>
              </w:rPr>
            </w:pPr>
            <w:r w:rsidRPr="00305E0F">
              <w:rPr>
                <w:lang w:val="en-GB"/>
              </w:rPr>
              <w:t>The cashflows obtained from the leasing activity do not meet the expected cashflows used in the valuation of the property. Despite achieving target occupancy rate, cash flow coverage is tight due to disappointing revenue.</w:t>
            </w:r>
          </w:p>
        </w:tc>
      </w:tr>
      <w:tr w:rsidR="00305E0F" w:rsidRPr="00305E0F" w14:paraId="6AFF1343"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1752"/>
            </w:tblGrid>
            <w:tr w:rsidR="00305E0F" w:rsidRPr="00305E0F" w14:paraId="2DE2B346" w14:textId="77777777">
              <w:tc>
                <w:tcPr>
                  <w:tcW w:w="0" w:type="auto"/>
                  <w:hideMark/>
                </w:tcPr>
                <w:p w14:paraId="548E8C38" w14:textId="64DA46AA" w:rsidR="00FF05F2" w:rsidRPr="00305E0F" w:rsidRDefault="00FF05F2" w:rsidP="00FF05F2">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7BA6178F" w14:textId="72E28DA6" w:rsidR="00FF05F2" w:rsidRPr="00305E0F" w:rsidRDefault="00FF05F2" w:rsidP="00FF05F2">
                  <w:pPr>
                    <w:pStyle w:val="P68B1DB1-Normal5"/>
                    <w:spacing w:before="120" w:after="0" w:line="240" w:lineRule="auto"/>
                    <w:rPr>
                      <w:lang w:val="en-GB"/>
                    </w:rPr>
                  </w:pPr>
                  <w:r w:rsidRPr="00305E0F">
                    <w:rPr>
                      <w:lang w:val="en-GB"/>
                    </w:rPr>
                    <w:t>5.3.For construction phase (sub-factor component</w:t>
                  </w:r>
                </w:p>
              </w:tc>
            </w:tr>
          </w:tbl>
          <w:p w14:paraId="6D0454AD" w14:textId="77777777" w:rsidR="00FF05F2" w:rsidRPr="00305E0F" w:rsidRDefault="00FF05F2" w:rsidP="00FF05F2">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A315F4A" w14:textId="3DC3B594" w:rsidR="00FF05F2" w:rsidRPr="00305E0F" w:rsidRDefault="00FF05F2" w:rsidP="00FF05F2">
            <w:pPr>
              <w:pStyle w:val="P68B1DB1-Normal27"/>
              <w:tabs>
                <w:tab w:val="left" w:pos="1787"/>
              </w:tabs>
              <w:spacing w:before="60" w:after="60" w:line="240" w:lineRule="auto"/>
              <w:ind w:firstLine="87"/>
              <w:rPr>
                <w:lang w:val="en-GB"/>
              </w:rPr>
            </w:pPr>
            <w:r w:rsidRPr="00305E0F">
              <w:rPr>
                <w:lang w:val="en-GB"/>
              </w:rPr>
              <w:t>The property is entirely preleased through the tenor of the loan or pre-sold to a tenant or buyer of high creditworthiness, or the bank has a binding commitment for take-out financing from a tenant or buyer of high creditworthiness, for instance through a public private partnership.</w:t>
            </w:r>
          </w:p>
        </w:tc>
        <w:tc>
          <w:tcPr>
            <w:tcW w:w="0" w:type="auto"/>
            <w:tcBorders>
              <w:top w:val="single" w:sz="6" w:space="0" w:color="000000"/>
              <w:left w:val="single" w:sz="6" w:space="0" w:color="000000"/>
              <w:bottom w:val="single" w:sz="6" w:space="0" w:color="000000"/>
              <w:right w:val="single" w:sz="6" w:space="0" w:color="000000"/>
            </w:tcBorders>
            <w:hideMark/>
          </w:tcPr>
          <w:p w14:paraId="33219032" w14:textId="53FD199A" w:rsidR="00FF05F2" w:rsidRPr="00305E0F" w:rsidRDefault="00FF05F2" w:rsidP="00FF05F2">
            <w:pPr>
              <w:pStyle w:val="P68B1DB1-Normal27"/>
              <w:spacing w:before="60" w:after="60" w:line="240" w:lineRule="auto"/>
              <w:rPr>
                <w:lang w:val="en-GB"/>
              </w:rPr>
            </w:pPr>
            <w:r w:rsidRPr="00305E0F">
              <w:rPr>
                <w:lang w:val="en-GB"/>
              </w:rPr>
              <w:t>The property is entirely pre-leased or pre-sold to a creditworthy tenant or buyer, or the bank has a binding commitment for permanent financing from a creditworthy lender, for instance through a public private partnership.</w:t>
            </w:r>
          </w:p>
        </w:tc>
        <w:tc>
          <w:tcPr>
            <w:tcW w:w="0" w:type="auto"/>
            <w:tcBorders>
              <w:top w:val="single" w:sz="6" w:space="0" w:color="000000"/>
              <w:left w:val="single" w:sz="6" w:space="0" w:color="000000"/>
              <w:bottom w:val="single" w:sz="6" w:space="0" w:color="000000"/>
              <w:right w:val="single" w:sz="6" w:space="0" w:color="000000"/>
            </w:tcBorders>
            <w:hideMark/>
          </w:tcPr>
          <w:p w14:paraId="29A5A0BD" w14:textId="41CFDC77" w:rsidR="00FF05F2" w:rsidRPr="00305E0F" w:rsidRDefault="00FF05F2" w:rsidP="00FF05F2">
            <w:pPr>
              <w:pStyle w:val="P68B1DB1-Normal27"/>
              <w:spacing w:before="60" w:after="60" w:line="240" w:lineRule="auto"/>
              <w:rPr>
                <w:lang w:val="en-GB"/>
              </w:rPr>
            </w:pPr>
            <w:r w:rsidRPr="00305E0F">
              <w:rPr>
                <w:lang w:val="en-GB"/>
              </w:rPr>
              <w:t>Leasing activity is within projections but the building may not be pre-leased and there may not exist a take-out financing. The bank may be the permanent lender.</w:t>
            </w:r>
          </w:p>
        </w:tc>
        <w:tc>
          <w:tcPr>
            <w:tcW w:w="0" w:type="auto"/>
            <w:tcBorders>
              <w:top w:val="single" w:sz="6" w:space="0" w:color="000000"/>
              <w:left w:val="single" w:sz="6" w:space="0" w:color="000000"/>
              <w:bottom w:val="single" w:sz="6" w:space="0" w:color="000000"/>
              <w:right w:val="single" w:sz="6" w:space="0" w:color="000000"/>
            </w:tcBorders>
            <w:hideMark/>
          </w:tcPr>
          <w:p w14:paraId="52142C94" w14:textId="49CBC7D4" w:rsidR="00FF05F2" w:rsidRPr="00305E0F" w:rsidRDefault="00FF05F2" w:rsidP="00FF05F2">
            <w:pPr>
              <w:pStyle w:val="P68B1DB1-Normal27"/>
              <w:spacing w:before="60" w:after="60" w:line="240" w:lineRule="auto"/>
              <w:rPr>
                <w:lang w:val="en-GB"/>
              </w:rPr>
            </w:pPr>
            <w:r w:rsidRPr="00305E0F">
              <w:rPr>
                <w:lang w:val="en-GB"/>
              </w:rPr>
              <w:t>The property is deteriorating due to cost overruns, market deterioration, tenant cancellations or other factors. There may be a dispute with the party providing the permanent financing.</w:t>
            </w:r>
          </w:p>
        </w:tc>
      </w:tr>
      <w:tr w:rsidR="00305E0F" w:rsidRPr="00305E0F" w14:paraId="37C10A09" w14:textId="77777777">
        <w:tc>
          <w:tcPr>
            <w:tcW w:w="0" w:type="auto"/>
            <w:tcBorders>
              <w:top w:val="single" w:sz="6" w:space="0" w:color="000000"/>
              <w:left w:val="single" w:sz="6" w:space="0" w:color="000000"/>
              <w:bottom w:val="single" w:sz="6" w:space="0" w:color="000000"/>
              <w:right w:val="single" w:sz="6" w:space="0" w:color="000000"/>
            </w:tcBorders>
            <w:hideMark/>
          </w:tcPr>
          <w:p w14:paraId="3861EBA5" w14:textId="77777777" w:rsidR="00EB0050" w:rsidRPr="00305E0F" w:rsidRDefault="00B02122">
            <w:pPr>
              <w:pStyle w:val="P68B1DB1-Normal26"/>
              <w:spacing w:before="60" w:after="60" w:line="240" w:lineRule="auto"/>
              <w:rPr>
                <w:bCs/>
                <w:lang w:val="en-GB"/>
              </w:rPr>
            </w:pPr>
            <w:r w:rsidRPr="00305E0F">
              <w:rPr>
                <w:lang w:val="en-GB"/>
              </w:rPr>
              <w:t>Factor:</w:t>
            </w:r>
          </w:p>
          <w:p w14:paraId="5692E7F3" w14:textId="3E96C074" w:rsidR="00EB0050" w:rsidRPr="00305E0F" w:rsidRDefault="00B02122">
            <w:pPr>
              <w:pStyle w:val="P68B1DB1-Normal26"/>
              <w:spacing w:before="60" w:after="60" w:line="240" w:lineRule="auto"/>
              <w:rPr>
                <w:lang w:val="en-GB"/>
              </w:rPr>
            </w:pPr>
            <w:r w:rsidRPr="00305E0F">
              <w:rPr>
                <w:lang w:val="en-GB"/>
              </w:rPr>
              <w:t>political and legal environment</w:t>
            </w:r>
          </w:p>
        </w:tc>
        <w:tc>
          <w:tcPr>
            <w:tcW w:w="0" w:type="auto"/>
            <w:tcBorders>
              <w:top w:val="single" w:sz="6" w:space="0" w:color="000000"/>
              <w:left w:val="single" w:sz="6" w:space="0" w:color="000000"/>
              <w:bottom w:val="single" w:sz="6" w:space="0" w:color="000000"/>
              <w:right w:val="single" w:sz="6" w:space="0" w:color="000000"/>
            </w:tcBorders>
            <w:hideMark/>
          </w:tcPr>
          <w:p w14:paraId="5CD943CC" w14:textId="77777777" w:rsidR="00EB0050" w:rsidRPr="00305E0F" w:rsidRDefault="00B02122">
            <w:pPr>
              <w:pStyle w:val="P68B1DB1-Normal5"/>
              <w:tabs>
                <w:tab w:val="left" w:pos="1787"/>
              </w:tabs>
              <w:spacing w:before="120" w:after="0" w:line="240" w:lineRule="auto"/>
              <w:ind w:firstLine="87"/>
              <w:jc w:val="both"/>
              <w:rPr>
                <w:sz w:val="22"/>
                <w:szCs w:val="22"/>
                <w:lang w:val="en-GB"/>
              </w:rPr>
            </w:pPr>
            <w:r w:rsidRPr="00305E0F">
              <w:rPr>
                <w:sz w:val="22"/>
                <w:szCs w:val="22"/>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60ABFE1" w14:textId="77777777" w:rsidR="00EB0050" w:rsidRPr="00305E0F" w:rsidRDefault="00B02122">
            <w:pPr>
              <w:pStyle w:val="P68B1DB1-Normal5"/>
              <w:spacing w:before="120" w:after="0" w:line="240" w:lineRule="auto"/>
              <w:jc w:val="both"/>
              <w:rPr>
                <w:sz w:val="22"/>
                <w:szCs w:val="22"/>
                <w:lang w:val="en-GB"/>
              </w:rPr>
            </w:pPr>
            <w:r w:rsidRPr="00305E0F">
              <w:rPr>
                <w:sz w:val="22"/>
                <w:szCs w:val="22"/>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56FDB41" w14:textId="77777777" w:rsidR="00EB0050" w:rsidRPr="00305E0F" w:rsidRDefault="00B02122">
            <w:pPr>
              <w:pStyle w:val="P68B1DB1-Normal5"/>
              <w:spacing w:before="120" w:after="0" w:line="240" w:lineRule="auto"/>
              <w:jc w:val="both"/>
              <w:rPr>
                <w:sz w:val="22"/>
                <w:szCs w:val="22"/>
                <w:lang w:val="en-GB"/>
              </w:rPr>
            </w:pPr>
            <w:r w:rsidRPr="00305E0F">
              <w:rPr>
                <w:sz w:val="22"/>
                <w:szCs w:val="22"/>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F3B0F27" w14:textId="77777777" w:rsidR="00EB0050" w:rsidRPr="00305E0F" w:rsidRDefault="00B02122">
            <w:pPr>
              <w:pStyle w:val="P68B1DB1-Normal5"/>
              <w:spacing w:before="120" w:after="0" w:line="240" w:lineRule="auto"/>
              <w:jc w:val="both"/>
              <w:rPr>
                <w:sz w:val="22"/>
                <w:szCs w:val="22"/>
                <w:lang w:val="en-GB"/>
              </w:rPr>
            </w:pPr>
            <w:r w:rsidRPr="00305E0F">
              <w:rPr>
                <w:sz w:val="22"/>
                <w:szCs w:val="22"/>
                <w:lang w:val="en-GB"/>
              </w:rPr>
              <w:t> </w:t>
            </w:r>
          </w:p>
        </w:tc>
      </w:tr>
      <w:tr w:rsidR="00305E0F" w:rsidRPr="00305E0F" w14:paraId="72E50B80"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4731BBA5" w14:textId="77777777">
              <w:tc>
                <w:tcPr>
                  <w:tcW w:w="0" w:type="auto"/>
                  <w:hideMark/>
                </w:tcPr>
                <w:p w14:paraId="03AABDF6" w14:textId="4F4EB794" w:rsidR="00FF05F2" w:rsidRPr="00305E0F" w:rsidRDefault="00FF05F2" w:rsidP="00FF05F2">
                  <w:pPr>
                    <w:pStyle w:val="P68B1DB1-Normal5"/>
                    <w:spacing w:before="120" w:after="0" w:line="240" w:lineRule="auto"/>
                    <w:jc w:val="both"/>
                    <w:rPr>
                      <w:lang w:val="en-GB"/>
                    </w:rPr>
                  </w:pPr>
                  <w:r w:rsidRPr="00305E0F">
                    <w:rPr>
                      <w:lang w:val="en-GB"/>
                    </w:rPr>
                    <w:t>1.</w:t>
                  </w:r>
                </w:p>
              </w:tc>
              <w:tc>
                <w:tcPr>
                  <w:tcW w:w="0" w:type="auto"/>
                  <w:hideMark/>
                </w:tcPr>
                <w:p w14:paraId="48462CCE" w14:textId="77777777" w:rsidR="00FF05F2" w:rsidRPr="00305E0F" w:rsidRDefault="00FF05F2" w:rsidP="00FF05F2">
                  <w:pPr>
                    <w:pStyle w:val="P68B1DB1-Normal5"/>
                    <w:spacing w:before="120" w:after="0" w:line="240" w:lineRule="auto"/>
                    <w:rPr>
                      <w:lang w:val="en-GB"/>
                    </w:rPr>
                  </w:pPr>
                  <w:r w:rsidRPr="00305E0F">
                    <w:rPr>
                      <w:lang w:val="en-GB"/>
                    </w:rPr>
                    <w:t>Sub-factor: legal and regulatory risks</w:t>
                  </w:r>
                </w:p>
              </w:tc>
            </w:tr>
          </w:tbl>
          <w:p w14:paraId="59F8767E" w14:textId="77777777" w:rsidR="00FF05F2" w:rsidRPr="00305E0F" w:rsidRDefault="00FF05F2" w:rsidP="00FF05F2">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2BE6998A" w14:textId="17E242C0" w:rsidR="00FF05F2" w:rsidRPr="00305E0F" w:rsidRDefault="00FF05F2" w:rsidP="00FF05F2">
            <w:pPr>
              <w:pStyle w:val="P68B1DB1-Normal27"/>
              <w:tabs>
                <w:tab w:val="left" w:pos="1787"/>
              </w:tabs>
              <w:spacing w:before="60" w:after="60" w:line="240" w:lineRule="auto"/>
              <w:ind w:firstLine="87"/>
              <w:rPr>
                <w:lang w:val="en-GB"/>
              </w:rPr>
            </w:pPr>
            <w:r w:rsidRPr="00305E0F">
              <w:rPr>
                <w:lang w:val="en-GB"/>
              </w:rPr>
              <w:t>Jurisdiction is very favourable to repossession and enforcement of contracts.</w:t>
            </w:r>
          </w:p>
        </w:tc>
        <w:tc>
          <w:tcPr>
            <w:tcW w:w="0" w:type="auto"/>
            <w:tcBorders>
              <w:top w:val="single" w:sz="6" w:space="0" w:color="000000"/>
              <w:left w:val="single" w:sz="6" w:space="0" w:color="000000"/>
              <w:bottom w:val="single" w:sz="6" w:space="0" w:color="000000"/>
              <w:right w:val="single" w:sz="6" w:space="0" w:color="000000"/>
            </w:tcBorders>
            <w:hideMark/>
          </w:tcPr>
          <w:p w14:paraId="489D0DD6" w14:textId="297F6C21" w:rsidR="00FF05F2" w:rsidRPr="00305E0F" w:rsidRDefault="00FF05F2" w:rsidP="00FF05F2">
            <w:pPr>
              <w:pStyle w:val="P68B1DB1-Normal27"/>
              <w:spacing w:before="60" w:after="60" w:line="240" w:lineRule="auto"/>
              <w:rPr>
                <w:lang w:val="en-GB"/>
              </w:rPr>
            </w:pPr>
            <w:r w:rsidRPr="00305E0F">
              <w:rPr>
                <w:lang w:val="en-GB"/>
              </w:rPr>
              <w:t>Jurisdiction is generally favourable to repossession and enforcement of contracts.</w:t>
            </w:r>
          </w:p>
        </w:tc>
        <w:tc>
          <w:tcPr>
            <w:tcW w:w="0" w:type="auto"/>
            <w:tcBorders>
              <w:top w:val="single" w:sz="6" w:space="0" w:color="000000"/>
              <w:left w:val="single" w:sz="6" w:space="0" w:color="000000"/>
              <w:bottom w:val="single" w:sz="6" w:space="0" w:color="000000"/>
              <w:right w:val="single" w:sz="6" w:space="0" w:color="000000"/>
            </w:tcBorders>
            <w:hideMark/>
          </w:tcPr>
          <w:p w14:paraId="4C28A841" w14:textId="4BFB3653" w:rsidR="00FF05F2" w:rsidRPr="00305E0F" w:rsidRDefault="00FF05F2" w:rsidP="00FF05F2">
            <w:pPr>
              <w:pStyle w:val="P68B1DB1-Normal27"/>
              <w:spacing w:before="60" w:after="60" w:line="240" w:lineRule="auto"/>
              <w:rPr>
                <w:lang w:val="en-GB"/>
              </w:rPr>
            </w:pPr>
            <w:r w:rsidRPr="00305E0F">
              <w:rPr>
                <w:lang w:val="en-GB"/>
              </w:rPr>
              <w:t>Jurisdiction is generally favourable to repossession and enforcement of contracts, but repossession might be long and/or difficult.</w:t>
            </w:r>
          </w:p>
        </w:tc>
        <w:tc>
          <w:tcPr>
            <w:tcW w:w="0" w:type="auto"/>
            <w:tcBorders>
              <w:top w:val="single" w:sz="6" w:space="0" w:color="000000"/>
              <w:left w:val="single" w:sz="6" w:space="0" w:color="000000"/>
              <w:bottom w:val="single" w:sz="6" w:space="0" w:color="000000"/>
              <w:right w:val="single" w:sz="6" w:space="0" w:color="000000"/>
            </w:tcBorders>
            <w:hideMark/>
          </w:tcPr>
          <w:p w14:paraId="4ECB9377" w14:textId="1BA78038" w:rsidR="00FF05F2" w:rsidRPr="00305E0F" w:rsidRDefault="00FF05F2" w:rsidP="00FF05F2">
            <w:pPr>
              <w:pStyle w:val="P68B1DB1-Normal27"/>
              <w:spacing w:before="60" w:after="60" w:line="240" w:lineRule="auto"/>
              <w:rPr>
                <w:lang w:val="en-GB"/>
              </w:rPr>
            </w:pPr>
            <w:r w:rsidRPr="00305E0F">
              <w:rPr>
                <w:lang w:val="en-GB"/>
              </w:rPr>
              <w:t>Poor or unstable legal and regulatory environment. Jurisdiction may make repossession and enforcement of contracts lengthy or impossible.</w:t>
            </w:r>
          </w:p>
        </w:tc>
      </w:tr>
      <w:tr w:rsidR="00305E0F" w:rsidRPr="00305E0F" w14:paraId="5A5AD95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45B56D3B" w14:textId="77777777">
              <w:tc>
                <w:tcPr>
                  <w:tcW w:w="0" w:type="auto"/>
                  <w:hideMark/>
                </w:tcPr>
                <w:p w14:paraId="57F73472" w14:textId="722FD9F5" w:rsidR="00FF05F2" w:rsidRPr="00305E0F" w:rsidRDefault="00FF05F2" w:rsidP="00FF05F2">
                  <w:pPr>
                    <w:pStyle w:val="P68B1DB1-Normal5"/>
                    <w:spacing w:before="120" w:after="0" w:line="240" w:lineRule="auto"/>
                    <w:jc w:val="both"/>
                    <w:rPr>
                      <w:lang w:val="en-GB"/>
                    </w:rPr>
                  </w:pPr>
                  <w:r w:rsidRPr="00305E0F">
                    <w:rPr>
                      <w:lang w:val="en-GB"/>
                    </w:rPr>
                    <w:t>2.</w:t>
                  </w:r>
                </w:p>
              </w:tc>
              <w:tc>
                <w:tcPr>
                  <w:tcW w:w="0" w:type="auto"/>
                  <w:hideMark/>
                </w:tcPr>
                <w:p w14:paraId="41A3D880" w14:textId="14762596" w:rsidR="00FF05F2" w:rsidRPr="00305E0F" w:rsidRDefault="00FF05F2" w:rsidP="00FF05F2">
                  <w:pPr>
                    <w:pStyle w:val="P68B1DB1-Normal5"/>
                    <w:spacing w:before="120" w:after="0" w:line="240" w:lineRule="auto"/>
                    <w:ind w:right="182"/>
                    <w:rPr>
                      <w:lang w:val="en-GB"/>
                    </w:rPr>
                  </w:pPr>
                  <w:r w:rsidRPr="00305E0F">
                    <w:rPr>
                      <w:lang w:val="en-GB"/>
                    </w:rPr>
                    <w:t>Sub-factor: political risk, including transfer risk, considering property type and mitigants</w:t>
                  </w:r>
                </w:p>
              </w:tc>
            </w:tr>
          </w:tbl>
          <w:p w14:paraId="5C2C5C41" w14:textId="77777777" w:rsidR="00FF05F2" w:rsidRPr="00305E0F" w:rsidRDefault="00FF05F2" w:rsidP="00FF05F2">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2CDC1211" w14:textId="609116E1" w:rsidR="00FF05F2" w:rsidRPr="00305E0F" w:rsidRDefault="00FF05F2" w:rsidP="00FF05F2">
            <w:pPr>
              <w:pStyle w:val="P68B1DB1-Normal27"/>
              <w:tabs>
                <w:tab w:val="left" w:pos="1787"/>
              </w:tabs>
              <w:spacing w:before="60" w:after="60" w:line="240" w:lineRule="auto"/>
              <w:ind w:firstLine="87"/>
              <w:rPr>
                <w:lang w:val="en-GB"/>
              </w:rPr>
            </w:pPr>
            <w:r w:rsidRPr="00305E0F">
              <w:rPr>
                <w:lang w:val="en-GB"/>
              </w:rPr>
              <w:t>Very low exposure; strong mitigation instruments, if needed</w:t>
            </w:r>
          </w:p>
        </w:tc>
        <w:tc>
          <w:tcPr>
            <w:tcW w:w="0" w:type="auto"/>
            <w:tcBorders>
              <w:top w:val="single" w:sz="6" w:space="0" w:color="000000"/>
              <w:left w:val="single" w:sz="6" w:space="0" w:color="000000"/>
              <w:bottom w:val="single" w:sz="6" w:space="0" w:color="000000"/>
              <w:right w:val="single" w:sz="6" w:space="0" w:color="000000"/>
            </w:tcBorders>
            <w:hideMark/>
          </w:tcPr>
          <w:p w14:paraId="11ADD199" w14:textId="403FD578" w:rsidR="00FF05F2" w:rsidRPr="00305E0F" w:rsidRDefault="00FF05F2" w:rsidP="00FF05F2">
            <w:pPr>
              <w:pStyle w:val="P68B1DB1-Normal27"/>
              <w:spacing w:before="60" w:after="60" w:line="240" w:lineRule="auto"/>
              <w:rPr>
                <w:lang w:val="en-GB"/>
              </w:rPr>
            </w:pPr>
            <w:r w:rsidRPr="00305E0F">
              <w:rPr>
                <w:lang w:val="en-GB"/>
              </w:rPr>
              <w:t>Low exposure; satisfactory mitigation instruments, if needed</w:t>
            </w:r>
          </w:p>
        </w:tc>
        <w:tc>
          <w:tcPr>
            <w:tcW w:w="0" w:type="auto"/>
            <w:tcBorders>
              <w:top w:val="single" w:sz="6" w:space="0" w:color="000000"/>
              <w:left w:val="single" w:sz="6" w:space="0" w:color="000000"/>
              <w:bottom w:val="single" w:sz="6" w:space="0" w:color="000000"/>
              <w:right w:val="single" w:sz="6" w:space="0" w:color="000000"/>
            </w:tcBorders>
            <w:hideMark/>
          </w:tcPr>
          <w:p w14:paraId="544E8FA1" w14:textId="05E0D6EA" w:rsidR="00FF05F2" w:rsidRPr="00305E0F" w:rsidRDefault="00FF05F2" w:rsidP="00FF05F2">
            <w:pPr>
              <w:pStyle w:val="P68B1DB1-Normal27"/>
              <w:spacing w:before="60" w:after="60" w:line="240" w:lineRule="auto"/>
              <w:rPr>
                <w:lang w:val="en-GB"/>
              </w:rPr>
            </w:pPr>
            <w:r w:rsidRPr="00305E0F">
              <w:rPr>
                <w:lang w:val="en-GB"/>
              </w:rPr>
              <w:t>Moderate exposure; fair mitigation instruments</w:t>
            </w:r>
          </w:p>
        </w:tc>
        <w:tc>
          <w:tcPr>
            <w:tcW w:w="0" w:type="auto"/>
            <w:tcBorders>
              <w:top w:val="single" w:sz="6" w:space="0" w:color="000000"/>
              <w:left w:val="single" w:sz="6" w:space="0" w:color="000000"/>
              <w:bottom w:val="single" w:sz="6" w:space="0" w:color="000000"/>
              <w:right w:val="single" w:sz="6" w:space="0" w:color="000000"/>
            </w:tcBorders>
            <w:hideMark/>
          </w:tcPr>
          <w:p w14:paraId="64E90467" w14:textId="587F1C10" w:rsidR="00FF05F2" w:rsidRPr="00305E0F" w:rsidRDefault="00FF05F2" w:rsidP="00FF05F2">
            <w:pPr>
              <w:pStyle w:val="P68B1DB1-Normal27"/>
              <w:spacing w:before="60" w:after="60" w:line="240" w:lineRule="auto"/>
              <w:rPr>
                <w:lang w:val="en-GB"/>
              </w:rPr>
            </w:pPr>
            <w:r w:rsidRPr="00305E0F">
              <w:rPr>
                <w:lang w:val="en-GB"/>
              </w:rPr>
              <w:t>High exposure; no or weak mitigation instruments</w:t>
            </w:r>
          </w:p>
        </w:tc>
      </w:tr>
      <w:tr w:rsidR="00305E0F" w:rsidRPr="00305E0F" w14:paraId="6F249D9C" w14:textId="77777777">
        <w:tc>
          <w:tcPr>
            <w:tcW w:w="0" w:type="auto"/>
            <w:tcBorders>
              <w:top w:val="single" w:sz="6" w:space="0" w:color="000000"/>
              <w:left w:val="single" w:sz="6" w:space="0" w:color="000000"/>
              <w:bottom w:val="single" w:sz="6" w:space="0" w:color="000000"/>
              <w:right w:val="single" w:sz="6" w:space="0" w:color="000000"/>
            </w:tcBorders>
            <w:hideMark/>
          </w:tcPr>
          <w:p w14:paraId="53DF00DB" w14:textId="77777777" w:rsidR="00EB0050" w:rsidRPr="00305E0F" w:rsidRDefault="00B02122">
            <w:pPr>
              <w:pStyle w:val="P68B1DB1-Normal26"/>
              <w:spacing w:before="60" w:after="60" w:line="240" w:lineRule="auto"/>
              <w:rPr>
                <w:bCs/>
                <w:lang w:val="en-GB"/>
              </w:rPr>
            </w:pPr>
            <w:r w:rsidRPr="00305E0F">
              <w:rPr>
                <w:lang w:val="en-GB"/>
              </w:rPr>
              <w:t>Factor:</w:t>
            </w:r>
          </w:p>
          <w:p w14:paraId="6A514E26" w14:textId="71548E2B" w:rsidR="00EB0050" w:rsidRPr="00305E0F" w:rsidRDefault="00B02122">
            <w:pPr>
              <w:pStyle w:val="P68B1DB1-Normal26"/>
              <w:spacing w:before="60" w:after="60" w:line="240" w:lineRule="auto"/>
              <w:rPr>
                <w:lang w:val="en-GB"/>
              </w:rPr>
            </w:pPr>
            <w:r w:rsidRPr="00305E0F">
              <w:rPr>
                <w:lang w:val="en-GB"/>
              </w:rPr>
              <w:t>asset/transaction characteristics</w:t>
            </w:r>
          </w:p>
        </w:tc>
        <w:tc>
          <w:tcPr>
            <w:tcW w:w="0" w:type="auto"/>
            <w:tcBorders>
              <w:top w:val="single" w:sz="6" w:space="0" w:color="000000"/>
              <w:left w:val="single" w:sz="6" w:space="0" w:color="000000"/>
              <w:bottom w:val="single" w:sz="6" w:space="0" w:color="000000"/>
              <w:right w:val="single" w:sz="6" w:space="0" w:color="000000"/>
            </w:tcBorders>
            <w:hideMark/>
          </w:tcPr>
          <w:p w14:paraId="4C2FFCB1" w14:textId="77777777" w:rsidR="00EB0050" w:rsidRPr="00305E0F" w:rsidRDefault="00B02122">
            <w:pPr>
              <w:pStyle w:val="P68B1DB1-Normal5"/>
              <w:tabs>
                <w:tab w:val="left" w:pos="1787"/>
              </w:tabs>
              <w:spacing w:before="120" w:after="0" w:line="240" w:lineRule="auto"/>
              <w:ind w:firstLine="87"/>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67FDF9ED"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569DAF5"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901A506"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45B7B17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791D540C" w14:textId="77777777">
              <w:tc>
                <w:tcPr>
                  <w:tcW w:w="0" w:type="auto"/>
                  <w:hideMark/>
                </w:tcPr>
                <w:p w14:paraId="6ABF5FFB" w14:textId="40206D57" w:rsidR="00FF05F2" w:rsidRPr="00305E0F" w:rsidRDefault="00FF05F2" w:rsidP="00FF05F2">
                  <w:pPr>
                    <w:pStyle w:val="P68B1DB1-Normal5"/>
                    <w:spacing w:before="120" w:after="0" w:line="240" w:lineRule="auto"/>
                    <w:rPr>
                      <w:lang w:val="en-GB"/>
                    </w:rPr>
                  </w:pPr>
                  <w:r w:rsidRPr="00305E0F">
                    <w:rPr>
                      <w:lang w:val="en-GB"/>
                    </w:rPr>
                    <w:t>1.</w:t>
                  </w:r>
                </w:p>
              </w:tc>
              <w:tc>
                <w:tcPr>
                  <w:tcW w:w="0" w:type="auto"/>
                  <w:hideMark/>
                </w:tcPr>
                <w:p w14:paraId="4AD21931" w14:textId="77777777" w:rsidR="00FF05F2" w:rsidRPr="00305E0F" w:rsidRDefault="00FF05F2" w:rsidP="00FF05F2">
                  <w:pPr>
                    <w:pStyle w:val="P68B1DB1-Normal5"/>
                    <w:spacing w:before="120" w:after="0" w:line="240" w:lineRule="auto"/>
                    <w:rPr>
                      <w:lang w:val="en-GB"/>
                    </w:rPr>
                  </w:pPr>
                  <w:r w:rsidRPr="00305E0F">
                    <w:rPr>
                      <w:lang w:val="en-GB"/>
                    </w:rPr>
                    <w:t>Sub-factor: location</w:t>
                  </w:r>
                </w:p>
              </w:tc>
            </w:tr>
          </w:tbl>
          <w:p w14:paraId="752E5C19" w14:textId="77777777" w:rsidR="00FF05F2" w:rsidRPr="00305E0F" w:rsidRDefault="00FF05F2" w:rsidP="00FF05F2">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0E902225" w14:textId="24A09597" w:rsidR="00FF05F2" w:rsidRPr="00305E0F" w:rsidRDefault="00FF05F2" w:rsidP="00FF05F2">
            <w:pPr>
              <w:pStyle w:val="P68B1DB1-Normal27"/>
              <w:tabs>
                <w:tab w:val="left" w:pos="1787"/>
              </w:tabs>
              <w:spacing w:before="60" w:after="60" w:line="240" w:lineRule="auto"/>
              <w:ind w:firstLine="87"/>
              <w:rPr>
                <w:lang w:val="en-GB"/>
              </w:rPr>
            </w:pPr>
            <w:r w:rsidRPr="00305E0F">
              <w:rPr>
                <w:lang w:val="en-GB"/>
              </w:rPr>
              <w:t>Property is located in highly desirable location that is convenient to services that tenants desire.</w:t>
            </w:r>
          </w:p>
        </w:tc>
        <w:tc>
          <w:tcPr>
            <w:tcW w:w="0" w:type="auto"/>
            <w:tcBorders>
              <w:top w:val="single" w:sz="6" w:space="0" w:color="000000"/>
              <w:left w:val="single" w:sz="6" w:space="0" w:color="000000"/>
              <w:bottom w:val="single" w:sz="6" w:space="0" w:color="000000"/>
              <w:right w:val="single" w:sz="6" w:space="0" w:color="000000"/>
            </w:tcBorders>
            <w:hideMark/>
          </w:tcPr>
          <w:p w14:paraId="4A7AB10B" w14:textId="32E15401" w:rsidR="00FF05F2" w:rsidRPr="00305E0F" w:rsidRDefault="00FF05F2" w:rsidP="00FF05F2">
            <w:pPr>
              <w:pStyle w:val="P68B1DB1-Normal27"/>
              <w:spacing w:before="60" w:after="60" w:line="240" w:lineRule="auto"/>
              <w:rPr>
                <w:lang w:val="en-GB"/>
              </w:rPr>
            </w:pPr>
            <w:r w:rsidRPr="00305E0F">
              <w:rPr>
                <w:lang w:val="en-GB"/>
              </w:rPr>
              <w:t>Property is located in desirable location that is convenient to services that tenants desire.</w:t>
            </w:r>
          </w:p>
        </w:tc>
        <w:tc>
          <w:tcPr>
            <w:tcW w:w="0" w:type="auto"/>
            <w:tcBorders>
              <w:top w:val="single" w:sz="6" w:space="0" w:color="000000"/>
              <w:left w:val="single" w:sz="6" w:space="0" w:color="000000"/>
              <w:bottom w:val="single" w:sz="6" w:space="0" w:color="000000"/>
              <w:right w:val="single" w:sz="6" w:space="0" w:color="000000"/>
            </w:tcBorders>
            <w:hideMark/>
          </w:tcPr>
          <w:p w14:paraId="5FE6D766" w14:textId="575AA973" w:rsidR="00FF05F2" w:rsidRPr="00305E0F" w:rsidRDefault="00FF05F2" w:rsidP="00FF05F2">
            <w:pPr>
              <w:pStyle w:val="P68B1DB1-Normal27"/>
              <w:spacing w:before="60" w:after="60" w:line="240" w:lineRule="auto"/>
              <w:rPr>
                <w:lang w:val="en-GB"/>
              </w:rPr>
            </w:pPr>
            <w:r w:rsidRPr="00305E0F">
              <w:rPr>
                <w:lang w:val="en-GB"/>
              </w:rPr>
              <w:t>The property location lacks a competitive advantage.</w:t>
            </w:r>
          </w:p>
        </w:tc>
        <w:tc>
          <w:tcPr>
            <w:tcW w:w="0" w:type="auto"/>
            <w:tcBorders>
              <w:top w:val="single" w:sz="6" w:space="0" w:color="000000"/>
              <w:left w:val="single" w:sz="6" w:space="0" w:color="000000"/>
              <w:bottom w:val="single" w:sz="6" w:space="0" w:color="000000"/>
              <w:right w:val="single" w:sz="6" w:space="0" w:color="000000"/>
            </w:tcBorders>
            <w:hideMark/>
          </w:tcPr>
          <w:p w14:paraId="35E24D2E" w14:textId="0899ABC6" w:rsidR="00FF05F2" w:rsidRPr="00305E0F" w:rsidRDefault="00FF05F2" w:rsidP="00FF05F2">
            <w:pPr>
              <w:pStyle w:val="P68B1DB1-Normal27"/>
              <w:spacing w:before="60" w:after="60" w:line="240" w:lineRule="auto"/>
              <w:rPr>
                <w:lang w:val="en-GB"/>
              </w:rPr>
            </w:pPr>
            <w:r w:rsidRPr="00305E0F">
              <w:rPr>
                <w:lang w:val="en-GB"/>
              </w:rPr>
              <w:t>The property is located in an undesirable location.</w:t>
            </w:r>
          </w:p>
        </w:tc>
      </w:tr>
      <w:tr w:rsidR="00305E0F" w:rsidRPr="00305E0F" w14:paraId="6711FA03"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143B98EF" w14:textId="77777777">
              <w:tc>
                <w:tcPr>
                  <w:tcW w:w="0" w:type="auto"/>
                  <w:hideMark/>
                </w:tcPr>
                <w:p w14:paraId="3320985F" w14:textId="415F01BF" w:rsidR="00FF05F2" w:rsidRPr="00305E0F" w:rsidRDefault="00FF05F2" w:rsidP="00FF05F2">
                  <w:pPr>
                    <w:pStyle w:val="P68B1DB1-Normal5"/>
                    <w:spacing w:before="120" w:after="0" w:line="240" w:lineRule="auto"/>
                    <w:rPr>
                      <w:lang w:val="en-GB"/>
                    </w:rPr>
                  </w:pPr>
                  <w:r w:rsidRPr="00305E0F">
                    <w:rPr>
                      <w:lang w:val="en-GB"/>
                    </w:rPr>
                    <w:t>2.</w:t>
                  </w:r>
                </w:p>
              </w:tc>
              <w:tc>
                <w:tcPr>
                  <w:tcW w:w="0" w:type="auto"/>
                  <w:hideMark/>
                </w:tcPr>
                <w:p w14:paraId="04824271" w14:textId="35F2BC6F" w:rsidR="00FF05F2" w:rsidRPr="00305E0F" w:rsidRDefault="00FF05F2" w:rsidP="00FF05F2">
                  <w:pPr>
                    <w:pStyle w:val="P68B1DB1-Normal5"/>
                    <w:spacing w:before="120" w:after="0" w:line="240" w:lineRule="auto"/>
                    <w:rPr>
                      <w:lang w:val="en-GB"/>
                    </w:rPr>
                  </w:pPr>
                  <w:r w:rsidRPr="00305E0F">
                    <w:rPr>
                      <w:lang w:val="en-GB"/>
                    </w:rPr>
                    <w:t>Sub-factor: design and condition</w:t>
                  </w:r>
                </w:p>
              </w:tc>
            </w:tr>
          </w:tbl>
          <w:p w14:paraId="4D66BEEC" w14:textId="77777777" w:rsidR="00FF05F2" w:rsidRPr="00305E0F" w:rsidRDefault="00FF05F2" w:rsidP="00FF05F2">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9B7431D" w14:textId="38CC9FAF" w:rsidR="00FF05F2" w:rsidRPr="00305E0F" w:rsidRDefault="00FF05F2" w:rsidP="00FF05F2">
            <w:pPr>
              <w:pStyle w:val="P68B1DB1-Normal27"/>
              <w:tabs>
                <w:tab w:val="left" w:pos="1787"/>
              </w:tabs>
              <w:spacing w:before="60" w:after="60" w:line="240" w:lineRule="auto"/>
              <w:ind w:firstLine="87"/>
              <w:rPr>
                <w:lang w:val="en-GB"/>
              </w:rPr>
            </w:pPr>
            <w:r w:rsidRPr="00305E0F">
              <w:rPr>
                <w:lang w:val="en-GB"/>
              </w:rPr>
              <w:t>Property is favoured due to its design, configuration, and maintenance, and is highly competitive with new properties.</w:t>
            </w:r>
          </w:p>
        </w:tc>
        <w:tc>
          <w:tcPr>
            <w:tcW w:w="0" w:type="auto"/>
            <w:tcBorders>
              <w:top w:val="single" w:sz="6" w:space="0" w:color="000000"/>
              <w:left w:val="single" w:sz="6" w:space="0" w:color="000000"/>
              <w:bottom w:val="single" w:sz="6" w:space="0" w:color="000000"/>
              <w:right w:val="single" w:sz="6" w:space="0" w:color="000000"/>
            </w:tcBorders>
            <w:hideMark/>
          </w:tcPr>
          <w:p w14:paraId="0696B882" w14:textId="0E88C511" w:rsidR="00FF05F2" w:rsidRPr="00305E0F" w:rsidRDefault="00FF05F2" w:rsidP="00FF05F2">
            <w:pPr>
              <w:pStyle w:val="P68B1DB1-Normal27"/>
              <w:spacing w:before="60" w:after="60" w:line="240" w:lineRule="auto"/>
              <w:rPr>
                <w:lang w:val="en-GB"/>
              </w:rPr>
            </w:pPr>
            <w:r w:rsidRPr="00305E0F">
              <w:rPr>
                <w:lang w:val="en-GB"/>
              </w:rPr>
              <w:t>Property is appropriate in terms of its design, configuration and maintenance. The property’s design and capabilities are competitive with new properties.</w:t>
            </w:r>
          </w:p>
        </w:tc>
        <w:tc>
          <w:tcPr>
            <w:tcW w:w="0" w:type="auto"/>
            <w:tcBorders>
              <w:top w:val="single" w:sz="6" w:space="0" w:color="000000"/>
              <w:left w:val="single" w:sz="6" w:space="0" w:color="000000"/>
              <w:bottom w:val="single" w:sz="6" w:space="0" w:color="000000"/>
              <w:right w:val="single" w:sz="6" w:space="0" w:color="000000"/>
            </w:tcBorders>
            <w:hideMark/>
          </w:tcPr>
          <w:p w14:paraId="5F310833" w14:textId="0EFA7E12" w:rsidR="00FF05F2" w:rsidRPr="00305E0F" w:rsidRDefault="00FF05F2" w:rsidP="00FF05F2">
            <w:pPr>
              <w:pStyle w:val="P68B1DB1-Normal27"/>
              <w:spacing w:before="60" w:after="60" w:line="240" w:lineRule="auto"/>
              <w:rPr>
                <w:lang w:val="en-GB"/>
              </w:rPr>
            </w:pPr>
            <w:r w:rsidRPr="00305E0F">
              <w:rPr>
                <w:lang w:val="en-GB"/>
              </w:rPr>
              <w:t>Property is adequate in terms of its configuration, design and maintenance.</w:t>
            </w:r>
          </w:p>
        </w:tc>
        <w:tc>
          <w:tcPr>
            <w:tcW w:w="0" w:type="auto"/>
            <w:tcBorders>
              <w:top w:val="single" w:sz="6" w:space="0" w:color="000000"/>
              <w:left w:val="single" w:sz="6" w:space="0" w:color="000000"/>
              <w:bottom w:val="single" w:sz="6" w:space="0" w:color="000000"/>
              <w:right w:val="single" w:sz="6" w:space="0" w:color="000000"/>
            </w:tcBorders>
            <w:hideMark/>
          </w:tcPr>
          <w:p w14:paraId="77147679" w14:textId="6CB024CB" w:rsidR="00FF05F2" w:rsidRPr="00305E0F" w:rsidRDefault="00FF05F2" w:rsidP="00FF05F2">
            <w:pPr>
              <w:pStyle w:val="P68B1DB1-Normal27"/>
              <w:spacing w:before="60" w:after="60" w:line="240" w:lineRule="auto"/>
              <w:rPr>
                <w:lang w:val="en-GB"/>
              </w:rPr>
            </w:pPr>
            <w:r w:rsidRPr="00305E0F">
              <w:rPr>
                <w:lang w:val="en-GB"/>
              </w:rPr>
              <w:t>The property’s configuration, design and maintenance have contributed to the property’s difficulties. Weaknesses exist in the property’s configuration, design or maintenance.</w:t>
            </w:r>
          </w:p>
        </w:tc>
      </w:tr>
      <w:tr w:rsidR="00305E0F" w:rsidRPr="00305E0F" w14:paraId="0F7C0775"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5746FDAA" w14:textId="77777777">
              <w:trPr>
                <w:trHeight w:val="745"/>
              </w:trPr>
              <w:tc>
                <w:tcPr>
                  <w:tcW w:w="0" w:type="auto"/>
                  <w:hideMark/>
                </w:tcPr>
                <w:p w14:paraId="37B1413F" w14:textId="6DE7E1AC" w:rsidR="00FF05F2" w:rsidRPr="00305E0F" w:rsidRDefault="00FF05F2" w:rsidP="00FF05F2">
                  <w:pPr>
                    <w:pStyle w:val="P68B1DB1-Normal5"/>
                    <w:spacing w:before="120" w:after="0" w:line="240" w:lineRule="auto"/>
                    <w:jc w:val="both"/>
                    <w:rPr>
                      <w:lang w:val="en-GB"/>
                    </w:rPr>
                  </w:pPr>
                  <w:r w:rsidRPr="00305E0F">
                    <w:rPr>
                      <w:lang w:val="en-GB"/>
                    </w:rPr>
                    <w:t>3.</w:t>
                  </w:r>
                </w:p>
              </w:tc>
              <w:tc>
                <w:tcPr>
                  <w:tcW w:w="0" w:type="auto"/>
                  <w:hideMark/>
                </w:tcPr>
                <w:p w14:paraId="2620E6E7" w14:textId="2ED9968A" w:rsidR="00FF05F2" w:rsidRPr="00305E0F" w:rsidRDefault="00FF05F2" w:rsidP="00FF05F2">
                  <w:pPr>
                    <w:pStyle w:val="P68B1DB1-Normal5"/>
                    <w:spacing w:before="120" w:after="0" w:line="240" w:lineRule="auto"/>
                    <w:rPr>
                      <w:lang w:val="en-GB"/>
                    </w:rPr>
                  </w:pPr>
                  <w:r w:rsidRPr="00305E0F">
                    <w:rPr>
                      <w:lang w:val="en-GB"/>
                    </w:rPr>
                    <w:t>Sub-factor: property is under construction</w:t>
                  </w:r>
                </w:p>
              </w:tc>
            </w:tr>
          </w:tbl>
          <w:p w14:paraId="597E431D" w14:textId="77777777" w:rsidR="00FF05F2" w:rsidRPr="00305E0F" w:rsidRDefault="00FF05F2" w:rsidP="00FF05F2">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BE1A000" w14:textId="5FF454F4" w:rsidR="00FF05F2" w:rsidRPr="00305E0F" w:rsidRDefault="00FF05F2" w:rsidP="00FF05F2">
            <w:pPr>
              <w:pStyle w:val="P68B1DB1-Normal27"/>
              <w:tabs>
                <w:tab w:val="left" w:pos="1787"/>
              </w:tabs>
              <w:spacing w:before="60" w:after="60" w:line="240" w:lineRule="auto"/>
              <w:ind w:firstLine="87"/>
              <w:rPr>
                <w:lang w:val="en-GB"/>
              </w:rPr>
            </w:pPr>
            <w:r w:rsidRPr="00305E0F">
              <w:rPr>
                <w:lang w:val="en-GB"/>
              </w:rPr>
              <w:t>Construction budget is conservative and technical hazards are limited. Contractors are highly qualified and have high credit standing.</w:t>
            </w:r>
          </w:p>
        </w:tc>
        <w:tc>
          <w:tcPr>
            <w:tcW w:w="0" w:type="auto"/>
            <w:tcBorders>
              <w:top w:val="single" w:sz="6" w:space="0" w:color="000000"/>
              <w:left w:val="single" w:sz="6" w:space="0" w:color="000000"/>
              <w:bottom w:val="single" w:sz="6" w:space="0" w:color="000000"/>
              <w:right w:val="single" w:sz="6" w:space="0" w:color="000000"/>
            </w:tcBorders>
            <w:hideMark/>
          </w:tcPr>
          <w:p w14:paraId="79C4127D" w14:textId="3821456A" w:rsidR="00FF05F2" w:rsidRPr="00305E0F" w:rsidRDefault="00FF05F2" w:rsidP="00FF05F2">
            <w:pPr>
              <w:pStyle w:val="P68B1DB1-Normal27"/>
              <w:spacing w:before="60" w:after="60" w:line="240" w:lineRule="auto"/>
              <w:rPr>
                <w:lang w:val="en-GB"/>
              </w:rPr>
            </w:pPr>
            <w:r w:rsidRPr="00305E0F">
              <w:rPr>
                <w:lang w:val="en-GB"/>
              </w:rPr>
              <w:t>Construction budget is conservative and technical hazards are limited. Contractors are highly qualified and have good credit standing.</w:t>
            </w:r>
          </w:p>
        </w:tc>
        <w:tc>
          <w:tcPr>
            <w:tcW w:w="0" w:type="auto"/>
            <w:tcBorders>
              <w:top w:val="single" w:sz="6" w:space="0" w:color="000000"/>
              <w:left w:val="single" w:sz="6" w:space="0" w:color="000000"/>
              <w:bottom w:val="single" w:sz="6" w:space="0" w:color="000000"/>
              <w:right w:val="single" w:sz="6" w:space="0" w:color="000000"/>
            </w:tcBorders>
            <w:hideMark/>
          </w:tcPr>
          <w:p w14:paraId="7206343A" w14:textId="55070690" w:rsidR="00FF05F2" w:rsidRPr="00305E0F" w:rsidRDefault="00FF05F2" w:rsidP="00FF05F2">
            <w:pPr>
              <w:pStyle w:val="P68B1DB1-Normal27"/>
              <w:spacing w:before="60" w:after="60" w:line="240" w:lineRule="auto"/>
              <w:rPr>
                <w:lang w:val="en-GB"/>
              </w:rPr>
            </w:pPr>
            <w:r w:rsidRPr="00305E0F">
              <w:rPr>
                <w:lang w:val="en-GB"/>
              </w:rPr>
              <w:t>Construction budget is adequate and contractors are ordinarily qualified and have average credit standing.</w:t>
            </w:r>
          </w:p>
        </w:tc>
        <w:tc>
          <w:tcPr>
            <w:tcW w:w="0" w:type="auto"/>
            <w:tcBorders>
              <w:top w:val="single" w:sz="6" w:space="0" w:color="000000"/>
              <w:left w:val="single" w:sz="6" w:space="0" w:color="000000"/>
              <w:bottom w:val="single" w:sz="6" w:space="0" w:color="000000"/>
              <w:right w:val="single" w:sz="6" w:space="0" w:color="000000"/>
            </w:tcBorders>
            <w:hideMark/>
          </w:tcPr>
          <w:p w14:paraId="730E87C8" w14:textId="025B2D7F" w:rsidR="00FF05F2" w:rsidRPr="00305E0F" w:rsidRDefault="00FF05F2" w:rsidP="00FF05F2">
            <w:pPr>
              <w:pStyle w:val="P68B1DB1-Normal27"/>
              <w:spacing w:before="60" w:after="60" w:line="240" w:lineRule="auto"/>
              <w:rPr>
                <w:lang w:val="en-GB"/>
              </w:rPr>
            </w:pPr>
            <w:r w:rsidRPr="00305E0F">
              <w:rPr>
                <w:lang w:val="en-GB"/>
              </w:rPr>
              <w:t>Project is over budget or unrealistic given its technical hazards. Contractors may be under qualified and have low credit standing.</w:t>
            </w:r>
          </w:p>
        </w:tc>
      </w:tr>
      <w:tr w:rsidR="00305E0F" w:rsidRPr="00305E0F" w14:paraId="404A63E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1186A286" w14:textId="77777777">
              <w:tc>
                <w:tcPr>
                  <w:tcW w:w="0" w:type="auto"/>
                  <w:hideMark/>
                </w:tcPr>
                <w:p w14:paraId="2436DA77" w14:textId="6DF6E29C" w:rsidR="00EB0050" w:rsidRPr="00305E0F" w:rsidRDefault="00B02122">
                  <w:pPr>
                    <w:pStyle w:val="P68B1DB1-Normal5"/>
                    <w:spacing w:before="120" w:after="0" w:line="240" w:lineRule="auto"/>
                    <w:jc w:val="both"/>
                    <w:rPr>
                      <w:lang w:val="en-GB"/>
                    </w:rPr>
                  </w:pPr>
                  <w:r w:rsidRPr="00305E0F">
                    <w:rPr>
                      <w:lang w:val="en-GB"/>
                    </w:rPr>
                    <w:t>4.</w:t>
                  </w:r>
                </w:p>
              </w:tc>
              <w:tc>
                <w:tcPr>
                  <w:tcW w:w="0" w:type="auto"/>
                  <w:hideMark/>
                </w:tcPr>
                <w:p w14:paraId="6767BB3B" w14:textId="77777777" w:rsidR="00EB0050" w:rsidRPr="00305E0F" w:rsidRDefault="00B02122">
                  <w:pPr>
                    <w:pStyle w:val="P68B1DB1-Normal5"/>
                    <w:spacing w:before="120" w:after="0" w:line="240" w:lineRule="auto"/>
                    <w:jc w:val="both"/>
                    <w:rPr>
                      <w:lang w:val="en-GB"/>
                    </w:rPr>
                  </w:pPr>
                  <w:r w:rsidRPr="00305E0F">
                    <w:rPr>
                      <w:lang w:val="en-GB"/>
                    </w:rPr>
                    <w:t>Sub-factor: financial structure:</w:t>
                  </w:r>
                </w:p>
              </w:tc>
            </w:tr>
          </w:tbl>
          <w:p w14:paraId="7515AB38" w14:textId="77777777" w:rsidR="00EB0050" w:rsidRPr="00305E0F" w:rsidRDefault="00EB00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B567A8E" w14:textId="77777777" w:rsidR="00EB0050" w:rsidRPr="00305E0F" w:rsidRDefault="00B02122">
            <w:pPr>
              <w:pStyle w:val="P68B1DB1-Normal5"/>
              <w:tabs>
                <w:tab w:val="left" w:pos="1787"/>
              </w:tabs>
              <w:spacing w:before="120" w:after="0" w:line="240" w:lineRule="auto"/>
              <w:ind w:firstLine="87"/>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FA87321"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C556ECA"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487FEE5"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5F0FE4F6"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1752"/>
            </w:tblGrid>
            <w:tr w:rsidR="00305E0F" w:rsidRPr="00305E0F" w14:paraId="085CDD47" w14:textId="77777777">
              <w:tc>
                <w:tcPr>
                  <w:tcW w:w="0" w:type="auto"/>
                  <w:hideMark/>
                </w:tcPr>
                <w:p w14:paraId="00E80837" w14:textId="521E3C55" w:rsidR="00FF05F2" w:rsidRPr="00305E0F" w:rsidRDefault="00FF05F2" w:rsidP="00FF05F2">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608FD14A" w14:textId="30AAE34D" w:rsidR="00FF05F2" w:rsidRPr="00305E0F" w:rsidRDefault="00FF05F2" w:rsidP="00FF05F2">
                  <w:pPr>
                    <w:pStyle w:val="P68B1DB1-Normal5"/>
                    <w:spacing w:before="120" w:after="0" w:line="240" w:lineRule="auto"/>
                    <w:rPr>
                      <w:lang w:val="en-GB"/>
                    </w:rPr>
                  </w:pPr>
                  <w:r w:rsidRPr="00305E0F">
                    <w:rPr>
                      <w:lang w:val="en-GB"/>
                    </w:rPr>
                    <w:t>4.1.Amortisation schedule (sub-factor component)</w:t>
                  </w:r>
                </w:p>
              </w:tc>
            </w:tr>
          </w:tbl>
          <w:p w14:paraId="6DA1A01E" w14:textId="77777777" w:rsidR="00FF05F2" w:rsidRPr="00305E0F" w:rsidRDefault="00FF05F2" w:rsidP="00FF05F2">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C8888FF" w14:textId="78FACC6A" w:rsidR="00FF05F2" w:rsidRPr="00305E0F" w:rsidRDefault="00FF05F2" w:rsidP="00FF05F2">
            <w:pPr>
              <w:pStyle w:val="P68B1DB1-Normal27"/>
              <w:tabs>
                <w:tab w:val="left" w:pos="1787"/>
              </w:tabs>
              <w:spacing w:before="60" w:after="60" w:line="240" w:lineRule="auto"/>
              <w:ind w:firstLine="87"/>
              <w:rPr>
                <w:lang w:val="en-GB"/>
              </w:rPr>
            </w:pPr>
            <w:r w:rsidRPr="00305E0F">
              <w:rPr>
                <w:lang w:val="en-GB"/>
              </w:rPr>
              <w:t>Amortising debt without bullet repayment</w:t>
            </w:r>
          </w:p>
        </w:tc>
        <w:tc>
          <w:tcPr>
            <w:tcW w:w="0" w:type="auto"/>
            <w:tcBorders>
              <w:top w:val="single" w:sz="6" w:space="0" w:color="000000"/>
              <w:left w:val="single" w:sz="6" w:space="0" w:color="000000"/>
              <w:bottom w:val="single" w:sz="6" w:space="0" w:color="000000"/>
              <w:right w:val="single" w:sz="6" w:space="0" w:color="000000"/>
            </w:tcBorders>
            <w:hideMark/>
          </w:tcPr>
          <w:p w14:paraId="4CFC8045" w14:textId="15068872" w:rsidR="00FF05F2" w:rsidRPr="00305E0F" w:rsidRDefault="00FF05F2" w:rsidP="00FF05F2">
            <w:pPr>
              <w:pStyle w:val="P68B1DB1-Normal27"/>
              <w:spacing w:before="60" w:after="60" w:line="240" w:lineRule="auto"/>
              <w:rPr>
                <w:lang w:val="en-GB"/>
              </w:rPr>
            </w:pPr>
            <w:r w:rsidRPr="00305E0F">
              <w:rPr>
                <w:lang w:val="en-GB"/>
              </w:rPr>
              <w:t>Amortising debt with no or insignificant bullet repayment</w:t>
            </w:r>
          </w:p>
        </w:tc>
        <w:tc>
          <w:tcPr>
            <w:tcW w:w="0" w:type="auto"/>
            <w:tcBorders>
              <w:top w:val="single" w:sz="6" w:space="0" w:color="000000"/>
              <w:left w:val="single" w:sz="6" w:space="0" w:color="000000"/>
              <w:bottom w:val="single" w:sz="6" w:space="0" w:color="000000"/>
              <w:right w:val="single" w:sz="6" w:space="0" w:color="000000"/>
            </w:tcBorders>
            <w:hideMark/>
          </w:tcPr>
          <w:p w14:paraId="0DD1A49F" w14:textId="2CC9518C" w:rsidR="00FF05F2" w:rsidRPr="00305E0F" w:rsidRDefault="00FF05F2" w:rsidP="00FF05F2">
            <w:pPr>
              <w:pStyle w:val="P68B1DB1-Normal27"/>
              <w:spacing w:before="60" w:after="60" w:line="240" w:lineRule="auto"/>
              <w:rPr>
                <w:lang w:val="en-GB"/>
              </w:rPr>
            </w:pPr>
            <w:r w:rsidRPr="00305E0F">
              <w:rPr>
                <w:lang w:val="en-GB"/>
              </w:rPr>
              <w:t>Amortising debt repayments with limited bullet payment</w:t>
            </w:r>
          </w:p>
        </w:tc>
        <w:tc>
          <w:tcPr>
            <w:tcW w:w="0" w:type="auto"/>
            <w:tcBorders>
              <w:top w:val="single" w:sz="6" w:space="0" w:color="000000"/>
              <w:left w:val="single" w:sz="6" w:space="0" w:color="000000"/>
              <w:bottom w:val="single" w:sz="6" w:space="0" w:color="000000"/>
              <w:right w:val="single" w:sz="6" w:space="0" w:color="000000"/>
            </w:tcBorders>
            <w:hideMark/>
          </w:tcPr>
          <w:p w14:paraId="3EA51B2A" w14:textId="310D1826" w:rsidR="00FF05F2" w:rsidRPr="00305E0F" w:rsidRDefault="00FF05F2" w:rsidP="00FF05F2">
            <w:pPr>
              <w:pStyle w:val="P68B1DB1-Normal27"/>
              <w:spacing w:before="60" w:after="60" w:line="240" w:lineRule="auto"/>
              <w:rPr>
                <w:lang w:val="en-GB"/>
              </w:rPr>
            </w:pPr>
            <w:r w:rsidRPr="00305E0F">
              <w:rPr>
                <w:lang w:val="en-GB"/>
              </w:rPr>
              <w:t>Bullet repayment or amortising debt repayments with high bullet repayment</w:t>
            </w:r>
          </w:p>
        </w:tc>
      </w:tr>
      <w:tr w:rsidR="00305E0F" w:rsidRPr="00305E0F" w14:paraId="72467CB8"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1752"/>
            </w:tblGrid>
            <w:tr w:rsidR="00305E0F" w:rsidRPr="00305E0F" w14:paraId="6A943F34" w14:textId="77777777">
              <w:tc>
                <w:tcPr>
                  <w:tcW w:w="0" w:type="auto"/>
                  <w:hideMark/>
                </w:tcPr>
                <w:p w14:paraId="7FCF8EE0" w14:textId="385C9072" w:rsidR="001B66B0" w:rsidRPr="00305E0F" w:rsidRDefault="001B66B0" w:rsidP="001B66B0">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58A91B96" w14:textId="5753E1B3" w:rsidR="001B66B0" w:rsidRPr="00305E0F" w:rsidRDefault="001B66B0" w:rsidP="001B66B0">
                  <w:pPr>
                    <w:pStyle w:val="P68B1DB1-Normal5"/>
                    <w:spacing w:before="120" w:after="0" w:line="240" w:lineRule="auto"/>
                    <w:rPr>
                      <w:lang w:val="en-GB"/>
                    </w:rPr>
                  </w:pPr>
                  <w:r w:rsidRPr="00305E0F">
                    <w:rPr>
                      <w:lang w:val="en-GB"/>
                    </w:rPr>
                    <w:t>4.2.Market/cycle and refinancing risk (sub-factor component)</w:t>
                  </w:r>
                </w:p>
              </w:tc>
            </w:tr>
          </w:tbl>
          <w:p w14:paraId="54499571" w14:textId="77777777" w:rsidR="001B66B0" w:rsidRPr="00305E0F" w:rsidRDefault="001B66B0" w:rsidP="001B66B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09AD6CC8" w14:textId="77777777" w:rsidR="001B66B0" w:rsidRPr="00305E0F" w:rsidRDefault="001B66B0" w:rsidP="001B66B0">
            <w:pPr>
              <w:pStyle w:val="oj-tbl-txt"/>
              <w:spacing w:before="60" w:beforeAutospacing="0" w:after="60" w:afterAutospacing="0" w:line="312" w:lineRule="atLeast"/>
              <w:rPr>
                <w:sz w:val="22"/>
                <w:szCs w:val="22"/>
                <w:lang w:val="en-GB"/>
              </w:rPr>
            </w:pPr>
            <w:r w:rsidRPr="00305E0F">
              <w:rPr>
                <w:sz w:val="22"/>
                <w:szCs w:val="22"/>
                <w:lang w:val="en-GB"/>
              </w:rPr>
              <w:t>There is no or very limited exposure to market or cycle risk since the expected cashflows cover all future loan repayments during the tenor of the loan and there are no significant delays between the cashflows and the loan repayments.</w:t>
            </w:r>
          </w:p>
          <w:p w14:paraId="0C9FDFB1" w14:textId="5D32FA43" w:rsidR="001B66B0" w:rsidRPr="00305E0F" w:rsidRDefault="001B66B0" w:rsidP="001B66B0">
            <w:pPr>
              <w:pStyle w:val="P68B1DB1-Normal27"/>
              <w:tabs>
                <w:tab w:val="left" w:pos="1787"/>
              </w:tabs>
              <w:spacing w:before="60" w:after="60" w:line="240" w:lineRule="auto"/>
              <w:ind w:firstLine="87"/>
              <w:rPr>
                <w:lang w:val="en-GB"/>
              </w:rPr>
            </w:pPr>
            <w:r w:rsidRPr="00305E0F">
              <w:rPr>
                <w:lang w:val="en-GB"/>
              </w:rPr>
              <w:t>There is no or very low refinancing risk.</w:t>
            </w:r>
          </w:p>
        </w:tc>
        <w:tc>
          <w:tcPr>
            <w:tcW w:w="0" w:type="auto"/>
            <w:tcBorders>
              <w:top w:val="single" w:sz="6" w:space="0" w:color="000000"/>
              <w:left w:val="single" w:sz="6" w:space="0" w:color="000000"/>
              <w:bottom w:val="single" w:sz="6" w:space="0" w:color="000000"/>
              <w:right w:val="single" w:sz="6" w:space="0" w:color="000000"/>
            </w:tcBorders>
            <w:hideMark/>
          </w:tcPr>
          <w:p w14:paraId="321C031C" w14:textId="77777777" w:rsidR="001B66B0" w:rsidRPr="00305E0F" w:rsidRDefault="001B66B0" w:rsidP="001B66B0">
            <w:pPr>
              <w:pStyle w:val="oj-tbl-txt"/>
              <w:spacing w:before="60" w:beforeAutospacing="0" w:after="60" w:afterAutospacing="0" w:line="312" w:lineRule="atLeast"/>
              <w:rPr>
                <w:sz w:val="22"/>
                <w:szCs w:val="22"/>
                <w:lang w:val="en-GB"/>
              </w:rPr>
            </w:pPr>
            <w:r w:rsidRPr="00305E0F">
              <w:rPr>
                <w:sz w:val="22"/>
                <w:szCs w:val="22"/>
                <w:lang w:val="en-GB"/>
              </w:rPr>
              <w:t>The exposure to market or cycle risk is limited since the expected cashflows cover the majority of future loan repayments during the tenor of the loan and there are no significant delays between the cashflows and the loan repayments.</w:t>
            </w:r>
          </w:p>
          <w:p w14:paraId="1FD24FE5" w14:textId="77B02555" w:rsidR="001B66B0" w:rsidRPr="00305E0F" w:rsidRDefault="001B66B0" w:rsidP="001B66B0">
            <w:pPr>
              <w:pStyle w:val="P68B1DB1-Normal27"/>
              <w:spacing w:before="60" w:after="60" w:line="240" w:lineRule="auto"/>
              <w:rPr>
                <w:lang w:val="en-GB"/>
              </w:rPr>
            </w:pPr>
            <w:r w:rsidRPr="00305E0F">
              <w:rPr>
                <w:lang w:val="en-GB"/>
              </w:rPr>
              <w:t>There is low refinancing risk.</w:t>
            </w:r>
          </w:p>
        </w:tc>
        <w:tc>
          <w:tcPr>
            <w:tcW w:w="0" w:type="auto"/>
            <w:tcBorders>
              <w:top w:val="single" w:sz="6" w:space="0" w:color="000000"/>
              <w:left w:val="single" w:sz="6" w:space="0" w:color="000000"/>
              <w:bottom w:val="single" w:sz="6" w:space="0" w:color="000000"/>
              <w:right w:val="single" w:sz="6" w:space="0" w:color="000000"/>
            </w:tcBorders>
            <w:hideMark/>
          </w:tcPr>
          <w:p w14:paraId="61BD13EA" w14:textId="77777777" w:rsidR="001B66B0" w:rsidRPr="00305E0F" w:rsidRDefault="001B66B0" w:rsidP="001B66B0">
            <w:pPr>
              <w:pStyle w:val="oj-tbl-txt"/>
              <w:spacing w:before="60" w:beforeAutospacing="0" w:after="60" w:afterAutospacing="0" w:line="312" w:lineRule="atLeast"/>
              <w:rPr>
                <w:sz w:val="22"/>
                <w:szCs w:val="22"/>
                <w:lang w:val="en-GB"/>
              </w:rPr>
            </w:pPr>
            <w:r w:rsidRPr="00305E0F">
              <w:rPr>
                <w:sz w:val="22"/>
                <w:szCs w:val="22"/>
                <w:lang w:val="en-GB"/>
              </w:rPr>
              <w:t>There is moderate exposure to market or cycle risk since the expected cashflows cover only a part of future loan repayments during the tenor of the loan or there are some significant delays between the cashflows and the loan repayments.</w:t>
            </w:r>
          </w:p>
          <w:p w14:paraId="294B5584" w14:textId="2DB1D8D1" w:rsidR="001B66B0" w:rsidRPr="00305E0F" w:rsidRDefault="001B66B0" w:rsidP="001B66B0">
            <w:pPr>
              <w:pStyle w:val="P68B1DB1-Normal27"/>
              <w:spacing w:before="60" w:after="60" w:line="240" w:lineRule="auto"/>
              <w:rPr>
                <w:lang w:val="en-GB"/>
              </w:rPr>
            </w:pPr>
            <w:r w:rsidRPr="00305E0F">
              <w:rPr>
                <w:lang w:val="en-GB"/>
              </w:rPr>
              <w:t>Average refinancing risk.</w:t>
            </w:r>
          </w:p>
        </w:tc>
        <w:tc>
          <w:tcPr>
            <w:tcW w:w="0" w:type="auto"/>
            <w:tcBorders>
              <w:top w:val="single" w:sz="6" w:space="0" w:color="000000"/>
              <w:left w:val="single" w:sz="6" w:space="0" w:color="000000"/>
              <w:bottom w:val="single" w:sz="6" w:space="0" w:color="000000"/>
              <w:right w:val="single" w:sz="6" w:space="0" w:color="000000"/>
            </w:tcBorders>
            <w:hideMark/>
          </w:tcPr>
          <w:p w14:paraId="5BDAFD15" w14:textId="77777777" w:rsidR="001B66B0" w:rsidRPr="00305E0F" w:rsidRDefault="001B66B0" w:rsidP="001B66B0">
            <w:pPr>
              <w:pStyle w:val="oj-tbl-txt"/>
              <w:spacing w:before="60" w:beforeAutospacing="0" w:after="60" w:afterAutospacing="0" w:line="312" w:lineRule="atLeast"/>
              <w:rPr>
                <w:sz w:val="22"/>
                <w:szCs w:val="22"/>
                <w:lang w:val="en-GB"/>
              </w:rPr>
            </w:pPr>
            <w:r w:rsidRPr="00305E0F">
              <w:rPr>
                <w:sz w:val="22"/>
                <w:szCs w:val="22"/>
                <w:lang w:val="en-GB"/>
              </w:rPr>
              <w:t>There is significant exposure to market or cycle risk since the expected cashflows cover only a small part of future loan repayments during the tenor of the loan or there are some significant delays between the cashflows and the loan repayments.</w:t>
            </w:r>
          </w:p>
          <w:p w14:paraId="40D2CE70" w14:textId="7B2BFFB1" w:rsidR="001B66B0" w:rsidRPr="00305E0F" w:rsidRDefault="001B66B0" w:rsidP="001B66B0">
            <w:pPr>
              <w:pStyle w:val="P68B1DB1-Normal27"/>
              <w:spacing w:before="60" w:after="60" w:line="240" w:lineRule="auto"/>
              <w:rPr>
                <w:lang w:val="en-GB"/>
              </w:rPr>
            </w:pPr>
            <w:r w:rsidRPr="00305E0F">
              <w:rPr>
                <w:lang w:val="en-GB"/>
              </w:rPr>
              <w:t>High refinancing risk.</w:t>
            </w:r>
          </w:p>
        </w:tc>
      </w:tr>
      <w:tr w:rsidR="00305E0F" w:rsidRPr="00305E0F" w14:paraId="429134D1" w14:textId="77777777">
        <w:tc>
          <w:tcPr>
            <w:tcW w:w="0" w:type="auto"/>
            <w:tcBorders>
              <w:top w:val="single" w:sz="6" w:space="0" w:color="000000"/>
              <w:left w:val="single" w:sz="6" w:space="0" w:color="000000"/>
              <w:bottom w:val="single" w:sz="6" w:space="0" w:color="000000"/>
              <w:right w:val="single" w:sz="6" w:space="0" w:color="000000"/>
            </w:tcBorders>
            <w:hideMark/>
          </w:tcPr>
          <w:p w14:paraId="152B9D7A" w14:textId="6D0E611C" w:rsidR="00EB0050" w:rsidRPr="00305E0F" w:rsidRDefault="00B02122">
            <w:pPr>
              <w:pStyle w:val="P68B1DB1-Normal26"/>
              <w:spacing w:before="60" w:after="60" w:line="240" w:lineRule="auto"/>
              <w:rPr>
                <w:bCs/>
                <w:lang w:val="en-GB"/>
              </w:rPr>
            </w:pPr>
            <w:r w:rsidRPr="00305E0F">
              <w:rPr>
                <w:lang w:val="en-GB"/>
              </w:rPr>
              <w:t>Factor:</w:t>
            </w:r>
            <w:r w:rsidR="001B66B0" w:rsidRPr="00305E0F">
              <w:rPr>
                <w:bCs/>
                <w:lang w:val="en-GB"/>
              </w:rPr>
              <w:t xml:space="preserve"> strength of sponsor/developer (including any public private partnership)</w:t>
            </w:r>
          </w:p>
        </w:tc>
        <w:tc>
          <w:tcPr>
            <w:tcW w:w="0" w:type="auto"/>
            <w:tcBorders>
              <w:top w:val="single" w:sz="6" w:space="0" w:color="000000"/>
              <w:left w:val="single" w:sz="6" w:space="0" w:color="000000"/>
              <w:bottom w:val="single" w:sz="6" w:space="0" w:color="000000"/>
              <w:right w:val="single" w:sz="6" w:space="0" w:color="000000"/>
            </w:tcBorders>
            <w:hideMark/>
          </w:tcPr>
          <w:p w14:paraId="454503E6" w14:textId="77777777" w:rsidR="00EB0050" w:rsidRPr="00305E0F" w:rsidRDefault="00B02122">
            <w:pPr>
              <w:pStyle w:val="P68B1DB1-Normal5"/>
              <w:tabs>
                <w:tab w:val="left" w:pos="1787"/>
              </w:tabs>
              <w:spacing w:before="120" w:after="0" w:line="240" w:lineRule="auto"/>
              <w:ind w:firstLine="87"/>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3B35956"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276F65C"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8D5F126"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63EDDDFF"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509ED4F4" w14:textId="77777777">
              <w:tc>
                <w:tcPr>
                  <w:tcW w:w="0" w:type="auto"/>
                  <w:hideMark/>
                </w:tcPr>
                <w:p w14:paraId="57A4130F" w14:textId="3AA072B0" w:rsidR="001B66B0" w:rsidRPr="00305E0F" w:rsidRDefault="001B66B0" w:rsidP="001B66B0">
                  <w:pPr>
                    <w:pStyle w:val="P68B1DB1-Normal5"/>
                    <w:spacing w:before="120" w:after="0" w:line="240" w:lineRule="auto"/>
                    <w:rPr>
                      <w:lang w:val="en-GB"/>
                    </w:rPr>
                  </w:pPr>
                  <w:r w:rsidRPr="00305E0F">
                    <w:rPr>
                      <w:lang w:val="en-GB"/>
                    </w:rPr>
                    <w:t>1.</w:t>
                  </w:r>
                </w:p>
              </w:tc>
              <w:tc>
                <w:tcPr>
                  <w:tcW w:w="0" w:type="auto"/>
                  <w:hideMark/>
                </w:tcPr>
                <w:p w14:paraId="4C7C1E2F" w14:textId="4ED767A5" w:rsidR="001B66B0" w:rsidRPr="00305E0F" w:rsidRDefault="001B66B0" w:rsidP="001B66B0">
                  <w:pPr>
                    <w:pStyle w:val="P68B1DB1-Normal5"/>
                    <w:spacing w:before="120" w:after="0" w:line="240" w:lineRule="auto"/>
                    <w:rPr>
                      <w:lang w:val="en-GB"/>
                    </w:rPr>
                  </w:pPr>
                  <w:r w:rsidRPr="00305E0F">
                    <w:rPr>
                      <w:lang w:val="en-GB"/>
                    </w:rPr>
                    <w:t>Sub-factor: financial capacity and willingness to support the property</w:t>
                  </w:r>
                </w:p>
              </w:tc>
            </w:tr>
          </w:tbl>
          <w:p w14:paraId="785C7359" w14:textId="77777777" w:rsidR="001B66B0" w:rsidRPr="00305E0F" w:rsidRDefault="001B66B0" w:rsidP="001B66B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0DC20DF4" w14:textId="6CB0B9F0" w:rsidR="001B66B0" w:rsidRPr="00305E0F" w:rsidRDefault="001B66B0" w:rsidP="001B66B0">
            <w:pPr>
              <w:pStyle w:val="P68B1DB1-Normal27"/>
              <w:tabs>
                <w:tab w:val="left" w:pos="1787"/>
              </w:tabs>
              <w:spacing w:before="60" w:after="60" w:line="240" w:lineRule="auto"/>
              <w:ind w:firstLine="87"/>
              <w:rPr>
                <w:lang w:val="en-GB"/>
              </w:rPr>
            </w:pPr>
            <w:r w:rsidRPr="00305E0F">
              <w:rPr>
                <w:lang w:val="en-GB"/>
              </w:rPr>
              <w:t>The sponsor/developer made a substantial cash contribution to the construction or purchase of the property. The sponsor/developer has substantial resources and limited direct and contingent liabilities. The sponsor/developer’s properties are diversified geographically and by property type.</w:t>
            </w:r>
          </w:p>
        </w:tc>
        <w:tc>
          <w:tcPr>
            <w:tcW w:w="0" w:type="auto"/>
            <w:tcBorders>
              <w:top w:val="single" w:sz="6" w:space="0" w:color="000000"/>
              <w:left w:val="single" w:sz="6" w:space="0" w:color="000000"/>
              <w:bottom w:val="single" w:sz="6" w:space="0" w:color="000000"/>
              <w:right w:val="single" w:sz="6" w:space="0" w:color="000000"/>
            </w:tcBorders>
            <w:hideMark/>
          </w:tcPr>
          <w:p w14:paraId="689DFD6A" w14:textId="16B7CC26" w:rsidR="001B66B0" w:rsidRPr="00305E0F" w:rsidRDefault="001B66B0" w:rsidP="001B66B0">
            <w:pPr>
              <w:pStyle w:val="P68B1DB1-Normal27"/>
              <w:spacing w:before="60" w:after="60" w:line="240" w:lineRule="auto"/>
              <w:rPr>
                <w:lang w:val="en-GB"/>
              </w:rPr>
            </w:pPr>
            <w:r w:rsidRPr="00305E0F">
              <w:rPr>
                <w:lang w:val="en-GB"/>
              </w:rPr>
              <w:t>The sponsor/developer made a material cash contribution to the construction or purchase of the property. The sponsor/developer’s financial condition allows it to support the property in the event of a cash flow shortfall. The sponsor/developer’s properties are located in several geographic regions.</w:t>
            </w:r>
          </w:p>
        </w:tc>
        <w:tc>
          <w:tcPr>
            <w:tcW w:w="0" w:type="auto"/>
            <w:tcBorders>
              <w:top w:val="single" w:sz="6" w:space="0" w:color="000000"/>
              <w:left w:val="single" w:sz="6" w:space="0" w:color="000000"/>
              <w:bottom w:val="single" w:sz="6" w:space="0" w:color="000000"/>
              <w:right w:val="single" w:sz="6" w:space="0" w:color="000000"/>
            </w:tcBorders>
            <w:hideMark/>
          </w:tcPr>
          <w:p w14:paraId="100FB90E" w14:textId="670BA033" w:rsidR="001B66B0" w:rsidRPr="00305E0F" w:rsidRDefault="001B66B0" w:rsidP="001B66B0">
            <w:pPr>
              <w:pStyle w:val="P68B1DB1-Normal27"/>
              <w:spacing w:before="60" w:after="60" w:line="240" w:lineRule="auto"/>
              <w:rPr>
                <w:lang w:val="en-GB"/>
              </w:rPr>
            </w:pPr>
            <w:r w:rsidRPr="00305E0F">
              <w:rPr>
                <w:lang w:val="en-GB"/>
              </w:rPr>
              <w:t>The sponsor/developer’s contribution may be immaterial or non-cash. The sponsor/developer is average to below average in financial resources.</w:t>
            </w:r>
          </w:p>
        </w:tc>
        <w:tc>
          <w:tcPr>
            <w:tcW w:w="0" w:type="auto"/>
            <w:tcBorders>
              <w:top w:val="single" w:sz="6" w:space="0" w:color="000000"/>
              <w:left w:val="single" w:sz="6" w:space="0" w:color="000000"/>
              <w:bottom w:val="single" w:sz="6" w:space="0" w:color="000000"/>
              <w:right w:val="single" w:sz="6" w:space="0" w:color="000000"/>
            </w:tcBorders>
            <w:hideMark/>
          </w:tcPr>
          <w:p w14:paraId="463B16FE" w14:textId="5A252673" w:rsidR="001B66B0" w:rsidRPr="00305E0F" w:rsidRDefault="001B66B0" w:rsidP="001B66B0">
            <w:pPr>
              <w:pStyle w:val="P68B1DB1-Normal27"/>
              <w:spacing w:before="60" w:after="60" w:line="240" w:lineRule="auto"/>
              <w:rPr>
                <w:lang w:val="en-GB"/>
              </w:rPr>
            </w:pPr>
            <w:r w:rsidRPr="00305E0F">
              <w:rPr>
                <w:lang w:val="en-GB"/>
              </w:rPr>
              <w:t>The sponsor/developer lacks capacity or willingness to support the proper</w:t>
            </w:r>
          </w:p>
        </w:tc>
      </w:tr>
      <w:tr w:rsidR="00305E0F" w:rsidRPr="00305E0F" w14:paraId="56300EA8"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15D220CC" w14:textId="77777777">
              <w:tc>
                <w:tcPr>
                  <w:tcW w:w="0" w:type="auto"/>
                  <w:hideMark/>
                </w:tcPr>
                <w:p w14:paraId="376A63AB" w14:textId="1976DC0C" w:rsidR="001B66B0" w:rsidRPr="00305E0F" w:rsidRDefault="001B66B0" w:rsidP="001B66B0">
                  <w:pPr>
                    <w:pStyle w:val="P68B1DB1-Normal5"/>
                    <w:spacing w:before="120" w:after="0" w:line="240" w:lineRule="auto"/>
                    <w:rPr>
                      <w:lang w:val="en-GB"/>
                    </w:rPr>
                  </w:pPr>
                  <w:r w:rsidRPr="00305E0F">
                    <w:rPr>
                      <w:lang w:val="en-GB"/>
                    </w:rPr>
                    <w:t>2.</w:t>
                  </w:r>
                </w:p>
              </w:tc>
              <w:tc>
                <w:tcPr>
                  <w:tcW w:w="0" w:type="auto"/>
                  <w:hideMark/>
                </w:tcPr>
                <w:p w14:paraId="077E5D68" w14:textId="639BEABE" w:rsidR="001B66B0" w:rsidRPr="00305E0F" w:rsidRDefault="001B66B0" w:rsidP="001B66B0">
                  <w:pPr>
                    <w:pStyle w:val="P68B1DB1-Normal5"/>
                    <w:spacing w:before="120" w:after="0" w:line="240" w:lineRule="auto"/>
                    <w:rPr>
                      <w:lang w:val="en-GB"/>
                    </w:rPr>
                  </w:pPr>
                  <w:r w:rsidRPr="00305E0F">
                    <w:rPr>
                      <w:lang w:val="en-GB"/>
                    </w:rPr>
                    <w:t>Sub-factor: reputation and track record with similar properties.</w:t>
                  </w:r>
                </w:p>
              </w:tc>
            </w:tr>
          </w:tbl>
          <w:p w14:paraId="3940E68F" w14:textId="77777777" w:rsidR="001B66B0" w:rsidRPr="00305E0F" w:rsidRDefault="001B66B0" w:rsidP="001B66B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09D9DB7D" w14:textId="495532A9" w:rsidR="001B66B0" w:rsidRPr="00305E0F" w:rsidRDefault="001B66B0" w:rsidP="001B66B0">
            <w:pPr>
              <w:pStyle w:val="P68B1DB1-Normal27"/>
              <w:tabs>
                <w:tab w:val="left" w:pos="1787"/>
              </w:tabs>
              <w:spacing w:before="60" w:after="60" w:line="240" w:lineRule="auto"/>
              <w:ind w:firstLine="87"/>
              <w:rPr>
                <w:lang w:val="en-GB"/>
              </w:rPr>
            </w:pPr>
            <w:r w:rsidRPr="00305E0F">
              <w:rPr>
                <w:lang w:val="en-GB"/>
              </w:rPr>
              <w:t>Experienced management and high sponsors’ quality; strong reputation and lengthy and successful record with similar properties</w:t>
            </w:r>
          </w:p>
        </w:tc>
        <w:tc>
          <w:tcPr>
            <w:tcW w:w="0" w:type="auto"/>
            <w:tcBorders>
              <w:top w:val="single" w:sz="6" w:space="0" w:color="000000"/>
              <w:left w:val="single" w:sz="6" w:space="0" w:color="000000"/>
              <w:bottom w:val="single" w:sz="6" w:space="0" w:color="000000"/>
              <w:right w:val="single" w:sz="6" w:space="0" w:color="000000"/>
            </w:tcBorders>
            <w:hideMark/>
          </w:tcPr>
          <w:p w14:paraId="05C5EE3B" w14:textId="68E0DC71" w:rsidR="001B66B0" w:rsidRPr="00305E0F" w:rsidRDefault="001B66B0" w:rsidP="001B66B0">
            <w:pPr>
              <w:pStyle w:val="P68B1DB1-Normal27"/>
              <w:spacing w:before="60" w:after="60" w:line="240" w:lineRule="auto"/>
              <w:rPr>
                <w:lang w:val="en-GB"/>
              </w:rPr>
            </w:pPr>
            <w:r w:rsidRPr="00305E0F">
              <w:rPr>
                <w:lang w:val="en-GB"/>
              </w:rPr>
              <w:t>Appropriate management and sponsors’ quality. The sponsor or management has a successful record with similar properties.</w:t>
            </w:r>
          </w:p>
        </w:tc>
        <w:tc>
          <w:tcPr>
            <w:tcW w:w="0" w:type="auto"/>
            <w:tcBorders>
              <w:top w:val="single" w:sz="6" w:space="0" w:color="000000"/>
              <w:left w:val="single" w:sz="6" w:space="0" w:color="000000"/>
              <w:bottom w:val="single" w:sz="6" w:space="0" w:color="000000"/>
              <w:right w:val="single" w:sz="6" w:space="0" w:color="000000"/>
            </w:tcBorders>
            <w:hideMark/>
          </w:tcPr>
          <w:p w14:paraId="1550FA2B" w14:textId="64F34396" w:rsidR="001B66B0" w:rsidRPr="00305E0F" w:rsidRDefault="001B66B0" w:rsidP="001B66B0">
            <w:pPr>
              <w:pStyle w:val="P68B1DB1-Normal27"/>
              <w:spacing w:before="60" w:after="60" w:line="240" w:lineRule="auto"/>
              <w:rPr>
                <w:lang w:val="en-GB"/>
              </w:rPr>
            </w:pPr>
            <w:r w:rsidRPr="00305E0F">
              <w:rPr>
                <w:lang w:val="en-GB"/>
              </w:rPr>
              <w:t>Moderate management and sponsors’ quality. Management or sponsor track record does not raise serious concerns.</w:t>
            </w:r>
          </w:p>
        </w:tc>
        <w:tc>
          <w:tcPr>
            <w:tcW w:w="0" w:type="auto"/>
            <w:tcBorders>
              <w:top w:val="single" w:sz="6" w:space="0" w:color="000000"/>
              <w:left w:val="single" w:sz="6" w:space="0" w:color="000000"/>
              <w:bottom w:val="single" w:sz="6" w:space="0" w:color="000000"/>
              <w:right w:val="single" w:sz="6" w:space="0" w:color="000000"/>
            </w:tcBorders>
            <w:hideMark/>
          </w:tcPr>
          <w:p w14:paraId="5E9A07F4" w14:textId="101F738F" w:rsidR="001B66B0" w:rsidRPr="00305E0F" w:rsidRDefault="001B66B0" w:rsidP="001B66B0">
            <w:pPr>
              <w:pStyle w:val="P68B1DB1-Normal27"/>
              <w:spacing w:before="60" w:after="60" w:line="240" w:lineRule="auto"/>
              <w:rPr>
                <w:lang w:val="en-GB"/>
              </w:rPr>
            </w:pPr>
            <w:r w:rsidRPr="00305E0F">
              <w:rPr>
                <w:lang w:val="en-GB"/>
              </w:rPr>
              <w:t>Ineffective management and substandard sponsors’ quality. Management and sponsor difficulties have contributed to difficulties in managing properties in the past.</w:t>
            </w:r>
          </w:p>
        </w:tc>
      </w:tr>
      <w:tr w:rsidR="00305E0F" w:rsidRPr="00305E0F" w14:paraId="4E2EA3C5"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696F6321" w14:textId="77777777">
              <w:tc>
                <w:tcPr>
                  <w:tcW w:w="0" w:type="auto"/>
                  <w:hideMark/>
                </w:tcPr>
                <w:p w14:paraId="0CAF15E8" w14:textId="023C1AF3" w:rsidR="001B66B0" w:rsidRPr="00305E0F" w:rsidRDefault="001B66B0" w:rsidP="001B66B0">
                  <w:pPr>
                    <w:pStyle w:val="P68B1DB1-Normal5"/>
                    <w:spacing w:before="120" w:after="0" w:line="240" w:lineRule="auto"/>
                    <w:jc w:val="both"/>
                    <w:rPr>
                      <w:lang w:val="en-GB"/>
                    </w:rPr>
                  </w:pPr>
                  <w:r w:rsidRPr="00305E0F">
                    <w:rPr>
                      <w:lang w:val="en-GB"/>
                    </w:rPr>
                    <w:t>3.</w:t>
                  </w:r>
                </w:p>
              </w:tc>
              <w:tc>
                <w:tcPr>
                  <w:tcW w:w="0" w:type="auto"/>
                  <w:hideMark/>
                </w:tcPr>
                <w:p w14:paraId="33E814B6" w14:textId="0375D76F" w:rsidR="001B66B0" w:rsidRPr="00305E0F" w:rsidRDefault="001B66B0" w:rsidP="001B66B0">
                  <w:pPr>
                    <w:pStyle w:val="P68B1DB1-Normal5"/>
                    <w:spacing w:before="120" w:after="0" w:line="240" w:lineRule="auto"/>
                    <w:rPr>
                      <w:lang w:val="en-GB"/>
                    </w:rPr>
                  </w:pPr>
                  <w:r w:rsidRPr="00305E0F">
                    <w:rPr>
                      <w:lang w:val="en-GB"/>
                    </w:rPr>
                    <w:t>Sub-factor: relationships with relevant real estate actors</w:t>
                  </w:r>
                </w:p>
              </w:tc>
            </w:tr>
          </w:tbl>
          <w:p w14:paraId="713AE118" w14:textId="77777777" w:rsidR="001B66B0" w:rsidRPr="00305E0F" w:rsidRDefault="001B66B0" w:rsidP="001B66B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ADA5C70" w14:textId="535CA59A" w:rsidR="001B66B0" w:rsidRPr="00305E0F" w:rsidRDefault="001B66B0" w:rsidP="001B66B0">
            <w:pPr>
              <w:pStyle w:val="P68B1DB1-Normal27"/>
              <w:tabs>
                <w:tab w:val="left" w:pos="1787"/>
              </w:tabs>
              <w:spacing w:before="60" w:after="60" w:line="240" w:lineRule="auto"/>
              <w:ind w:firstLine="87"/>
              <w:rPr>
                <w:lang w:val="en-GB"/>
              </w:rPr>
            </w:pPr>
            <w:r w:rsidRPr="00305E0F">
              <w:rPr>
                <w:lang w:val="en-GB"/>
              </w:rPr>
              <w:t>Strong relationships with leading actors such as leasing agents</w:t>
            </w:r>
          </w:p>
        </w:tc>
        <w:tc>
          <w:tcPr>
            <w:tcW w:w="0" w:type="auto"/>
            <w:tcBorders>
              <w:top w:val="single" w:sz="6" w:space="0" w:color="000000"/>
              <w:left w:val="single" w:sz="6" w:space="0" w:color="000000"/>
              <w:bottom w:val="single" w:sz="6" w:space="0" w:color="000000"/>
              <w:right w:val="single" w:sz="6" w:space="0" w:color="000000"/>
            </w:tcBorders>
            <w:hideMark/>
          </w:tcPr>
          <w:p w14:paraId="2619254E" w14:textId="44083342" w:rsidR="001B66B0" w:rsidRPr="00305E0F" w:rsidRDefault="001B66B0" w:rsidP="001B66B0">
            <w:pPr>
              <w:pStyle w:val="P68B1DB1-Normal27"/>
              <w:spacing w:before="60" w:after="60" w:line="240" w:lineRule="auto"/>
              <w:rPr>
                <w:lang w:val="en-GB"/>
              </w:rPr>
            </w:pPr>
            <w:r w:rsidRPr="00305E0F">
              <w:rPr>
                <w:lang w:val="en-GB"/>
              </w:rPr>
              <w:t>Proven relationships with leading actors such as leasing agents</w:t>
            </w:r>
          </w:p>
        </w:tc>
        <w:tc>
          <w:tcPr>
            <w:tcW w:w="0" w:type="auto"/>
            <w:tcBorders>
              <w:top w:val="single" w:sz="6" w:space="0" w:color="000000"/>
              <w:left w:val="single" w:sz="6" w:space="0" w:color="000000"/>
              <w:bottom w:val="single" w:sz="6" w:space="0" w:color="000000"/>
              <w:right w:val="single" w:sz="6" w:space="0" w:color="000000"/>
            </w:tcBorders>
            <w:hideMark/>
          </w:tcPr>
          <w:p w14:paraId="2DB8FB7A" w14:textId="55047515" w:rsidR="001B66B0" w:rsidRPr="00305E0F" w:rsidRDefault="001B66B0" w:rsidP="001B66B0">
            <w:pPr>
              <w:pStyle w:val="P68B1DB1-Normal27"/>
              <w:spacing w:before="60" w:after="60" w:line="240" w:lineRule="auto"/>
              <w:rPr>
                <w:lang w:val="en-GB"/>
              </w:rPr>
            </w:pPr>
            <w:r w:rsidRPr="00305E0F">
              <w:rPr>
                <w:lang w:val="en-GB"/>
              </w:rPr>
              <w:t>Adequate relationships with leasing agents and other parties providing important real estate services</w:t>
            </w:r>
          </w:p>
        </w:tc>
        <w:tc>
          <w:tcPr>
            <w:tcW w:w="0" w:type="auto"/>
            <w:tcBorders>
              <w:top w:val="single" w:sz="6" w:space="0" w:color="000000"/>
              <w:left w:val="single" w:sz="6" w:space="0" w:color="000000"/>
              <w:bottom w:val="single" w:sz="6" w:space="0" w:color="000000"/>
              <w:right w:val="single" w:sz="6" w:space="0" w:color="000000"/>
            </w:tcBorders>
            <w:hideMark/>
          </w:tcPr>
          <w:p w14:paraId="2C943E81" w14:textId="286C6D74" w:rsidR="001B66B0" w:rsidRPr="00305E0F" w:rsidRDefault="001B66B0" w:rsidP="001B66B0">
            <w:pPr>
              <w:pStyle w:val="P68B1DB1-Normal27"/>
              <w:spacing w:before="60" w:after="60" w:line="240" w:lineRule="auto"/>
              <w:rPr>
                <w:lang w:val="en-GB"/>
              </w:rPr>
            </w:pPr>
            <w:r w:rsidRPr="00305E0F">
              <w:rPr>
                <w:lang w:val="en-GB"/>
              </w:rPr>
              <w:t>Poor relationships with leasing agents and/or other parties providing important real estate services</w:t>
            </w:r>
          </w:p>
        </w:tc>
      </w:tr>
      <w:tr w:rsidR="00305E0F" w:rsidRPr="00305E0F" w14:paraId="6DB39B1E" w14:textId="77777777">
        <w:tc>
          <w:tcPr>
            <w:tcW w:w="0" w:type="auto"/>
            <w:tcBorders>
              <w:top w:val="single" w:sz="6" w:space="0" w:color="000000"/>
              <w:left w:val="single" w:sz="6" w:space="0" w:color="000000"/>
              <w:bottom w:val="single" w:sz="6" w:space="0" w:color="000000"/>
              <w:right w:val="single" w:sz="6" w:space="0" w:color="000000"/>
            </w:tcBorders>
            <w:hideMark/>
          </w:tcPr>
          <w:p w14:paraId="176C926F" w14:textId="3B3A75FB" w:rsidR="00EB0050" w:rsidRPr="00305E0F" w:rsidRDefault="00B02122">
            <w:pPr>
              <w:pStyle w:val="P68B1DB1-Normal26"/>
              <w:spacing w:before="60" w:after="60" w:line="240" w:lineRule="auto"/>
              <w:rPr>
                <w:bCs/>
                <w:lang w:val="en-GB"/>
              </w:rPr>
            </w:pPr>
            <w:r w:rsidRPr="00305E0F">
              <w:rPr>
                <w:lang w:val="en-GB"/>
              </w:rPr>
              <w:t>Factor:</w:t>
            </w:r>
          </w:p>
          <w:p w14:paraId="6E4D8C4A" w14:textId="2A29DD0D" w:rsidR="00EB0050" w:rsidRPr="00305E0F" w:rsidRDefault="001B66B0">
            <w:pPr>
              <w:pStyle w:val="P68B1DB1-Normal26"/>
              <w:spacing w:before="60" w:after="60" w:line="240" w:lineRule="auto"/>
              <w:rPr>
                <w:lang w:val="en-GB"/>
              </w:rPr>
            </w:pPr>
            <w:r w:rsidRPr="00305E0F">
              <w:rPr>
                <w:bCs/>
                <w:lang w:val="en-GB"/>
              </w:rPr>
              <w:t xml:space="preserve">security package </w:t>
            </w:r>
          </w:p>
        </w:tc>
        <w:tc>
          <w:tcPr>
            <w:tcW w:w="0" w:type="auto"/>
            <w:tcBorders>
              <w:top w:val="single" w:sz="6" w:space="0" w:color="000000"/>
              <w:left w:val="single" w:sz="6" w:space="0" w:color="000000"/>
              <w:bottom w:val="single" w:sz="6" w:space="0" w:color="000000"/>
              <w:right w:val="single" w:sz="6" w:space="0" w:color="000000"/>
            </w:tcBorders>
            <w:hideMark/>
          </w:tcPr>
          <w:p w14:paraId="300BD6EA" w14:textId="77777777" w:rsidR="00EB0050" w:rsidRPr="00305E0F" w:rsidRDefault="00B02122">
            <w:pPr>
              <w:pStyle w:val="P68B1DB1-Normal5"/>
              <w:tabs>
                <w:tab w:val="left" w:pos="1787"/>
              </w:tabs>
              <w:spacing w:before="120" w:after="0" w:line="240" w:lineRule="auto"/>
              <w:ind w:firstLine="87"/>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5140955D"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5AF0021"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5A4C8AF"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19383375"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578"/>
            </w:tblGrid>
            <w:tr w:rsidR="00305E0F" w:rsidRPr="00305E0F" w14:paraId="48008D26" w14:textId="77777777">
              <w:tc>
                <w:tcPr>
                  <w:tcW w:w="0" w:type="auto"/>
                  <w:hideMark/>
                </w:tcPr>
                <w:p w14:paraId="1E52BAEC" w14:textId="3CD1D006" w:rsidR="001B66B0" w:rsidRPr="00305E0F" w:rsidRDefault="001B66B0" w:rsidP="001B66B0">
                  <w:pPr>
                    <w:pStyle w:val="P68B1DB1-Normal5"/>
                    <w:spacing w:before="120" w:after="0" w:line="240" w:lineRule="auto"/>
                    <w:jc w:val="both"/>
                    <w:rPr>
                      <w:lang w:val="en-GB"/>
                    </w:rPr>
                  </w:pPr>
                  <w:r w:rsidRPr="00305E0F">
                    <w:rPr>
                      <w:lang w:val="en-GB"/>
                    </w:rPr>
                    <w:t>1.</w:t>
                  </w:r>
                </w:p>
              </w:tc>
              <w:tc>
                <w:tcPr>
                  <w:tcW w:w="0" w:type="auto"/>
                  <w:hideMark/>
                </w:tcPr>
                <w:p w14:paraId="66D9AE4C" w14:textId="231211E4" w:rsidR="001B66B0" w:rsidRPr="00305E0F" w:rsidRDefault="001B66B0" w:rsidP="001B66B0">
                  <w:pPr>
                    <w:pStyle w:val="P68B1DB1-Normal5"/>
                    <w:spacing w:before="120" w:after="0" w:line="240" w:lineRule="auto"/>
                    <w:rPr>
                      <w:lang w:val="en-GB"/>
                    </w:rPr>
                  </w:pPr>
                  <w:r w:rsidRPr="00305E0F">
                    <w:rPr>
                      <w:lang w:val="en-GB"/>
                    </w:rPr>
                    <w:t>Sub-factor: nature of the lien</w:t>
                  </w:r>
                </w:p>
              </w:tc>
            </w:tr>
          </w:tbl>
          <w:p w14:paraId="5833C817" w14:textId="77777777" w:rsidR="001B66B0" w:rsidRPr="00305E0F" w:rsidRDefault="001B66B0" w:rsidP="001B66B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58FF9AA" w14:textId="77831948" w:rsidR="001B66B0" w:rsidRPr="00305E0F" w:rsidRDefault="001B66B0" w:rsidP="001B66B0">
            <w:pPr>
              <w:pStyle w:val="P68B1DB1-Normal27"/>
              <w:tabs>
                <w:tab w:val="left" w:pos="1787"/>
              </w:tabs>
              <w:spacing w:before="60" w:after="60" w:line="240" w:lineRule="auto"/>
              <w:ind w:firstLine="87"/>
              <w:rPr>
                <w:lang w:val="en-GB"/>
              </w:rPr>
            </w:pPr>
            <w:r w:rsidRPr="00305E0F">
              <w:rPr>
                <w:lang w:val="en-GB"/>
              </w:rPr>
              <w:t>Perfected first lien</w:t>
            </w:r>
          </w:p>
        </w:tc>
        <w:tc>
          <w:tcPr>
            <w:tcW w:w="0" w:type="auto"/>
            <w:tcBorders>
              <w:top w:val="single" w:sz="6" w:space="0" w:color="000000"/>
              <w:left w:val="single" w:sz="6" w:space="0" w:color="000000"/>
              <w:bottom w:val="single" w:sz="6" w:space="0" w:color="000000"/>
              <w:right w:val="single" w:sz="6" w:space="0" w:color="000000"/>
            </w:tcBorders>
            <w:hideMark/>
          </w:tcPr>
          <w:p w14:paraId="0F69CA66" w14:textId="2EC4576C" w:rsidR="001B66B0" w:rsidRPr="00305E0F" w:rsidRDefault="001B66B0" w:rsidP="001B66B0">
            <w:pPr>
              <w:pStyle w:val="P68B1DB1-Normal27"/>
              <w:spacing w:before="60" w:after="60" w:line="240" w:lineRule="auto"/>
              <w:rPr>
                <w:lang w:val="en-GB"/>
              </w:rPr>
            </w:pPr>
            <w:r w:rsidRPr="00305E0F">
              <w:rPr>
                <w:lang w:val="en-GB"/>
              </w:rPr>
              <w:t>Perfected first lien</w:t>
            </w:r>
          </w:p>
        </w:tc>
        <w:tc>
          <w:tcPr>
            <w:tcW w:w="0" w:type="auto"/>
            <w:tcBorders>
              <w:top w:val="single" w:sz="6" w:space="0" w:color="000000"/>
              <w:left w:val="single" w:sz="6" w:space="0" w:color="000000"/>
              <w:bottom w:val="single" w:sz="6" w:space="0" w:color="000000"/>
              <w:right w:val="single" w:sz="6" w:space="0" w:color="000000"/>
            </w:tcBorders>
            <w:hideMark/>
          </w:tcPr>
          <w:p w14:paraId="68866426" w14:textId="58B445D1" w:rsidR="001B66B0" w:rsidRPr="00305E0F" w:rsidRDefault="001B66B0" w:rsidP="001B66B0">
            <w:pPr>
              <w:pStyle w:val="P68B1DB1-Normal27"/>
              <w:spacing w:before="60" w:after="60" w:line="240" w:lineRule="auto"/>
              <w:rPr>
                <w:lang w:val="en-GB"/>
              </w:rPr>
            </w:pPr>
            <w:r w:rsidRPr="00305E0F">
              <w:rPr>
                <w:lang w:val="en-GB"/>
              </w:rPr>
              <w:t>Perfected first lien</w:t>
            </w:r>
          </w:p>
        </w:tc>
        <w:tc>
          <w:tcPr>
            <w:tcW w:w="0" w:type="auto"/>
            <w:tcBorders>
              <w:top w:val="single" w:sz="6" w:space="0" w:color="000000"/>
              <w:left w:val="single" w:sz="6" w:space="0" w:color="000000"/>
              <w:bottom w:val="single" w:sz="6" w:space="0" w:color="000000"/>
              <w:right w:val="single" w:sz="6" w:space="0" w:color="000000"/>
            </w:tcBorders>
            <w:hideMark/>
          </w:tcPr>
          <w:p w14:paraId="06BCEF62" w14:textId="4018BC9E" w:rsidR="001B66B0" w:rsidRPr="00305E0F" w:rsidRDefault="001B66B0" w:rsidP="001B66B0">
            <w:pPr>
              <w:pStyle w:val="P68B1DB1-Normal27"/>
              <w:spacing w:before="60" w:after="60" w:line="240" w:lineRule="auto"/>
              <w:rPr>
                <w:lang w:val="en-GB"/>
              </w:rPr>
            </w:pPr>
            <w:r w:rsidRPr="00305E0F">
              <w:rPr>
                <w:lang w:val="en-GB"/>
              </w:rPr>
              <w:t>Ability of lender to foreclose is constrained.</w:t>
            </w:r>
          </w:p>
        </w:tc>
      </w:tr>
      <w:tr w:rsidR="00305E0F" w:rsidRPr="00305E0F" w14:paraId="2A089297"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9"/>
              <w:gridCol w:w="1509"/>
            </w:tblGrid>
            <w:tr w:rsidR="00305E0F" w:rsidRPr="00305E0F" w14:paraId="4D92F2E5" w14:textId="77777777">
              <w:tc>
                <w:tcPr>
                  <w:tcW w:w="0" w:type="auto"/>
                  <w:hideMark/>
                </w:tcPr>
                <w:p w14:paraId="1C1AD377" w14:textId="50980A0B" w:rsidR="001B66B0" w:rsidRPr="00305E0F" w:rsidRDefault="001B66B0" w:rsidP="00284240">
                  <w:pPr>
                    <w:pStyle w:val="P68B1DB1-Normal5"/>
                    <w:spacing w:before="120" w:after="0" w:line="240" w:lineRule="auto"/>
                    <w:ind w:right="69"/>
                    <w:jc w:val="both"/>
                    <w:rPr>
                      <w:lang w:val="en-GB"/>
                    </w:rPr>
                  </w:pPr>
                  <w:r w:rsidRPr="00305E0F">
                    <w:rPr>
                      <w:lang w:val="en-GB"/>
                    </w:rPr>
                    <w:t>2.</w:t>
                  </w:r>
                </w:p>
              </w:tc>
              <w:tc>
                <w:tcPr>
                  <w:tcW w:w="0" w:type="auto"/>
                  <w:hideMark/>
                </w:tcPr>
                <w:p w14:paraId="4C2F4C67" w14:textId="3ECB98DD" w:rsidR="001B66B0" w:rsidRPr="00305E0F" w:rsidRDefault="001B66B0" w:rsidP="00284240">
                  <w:pPr>
                    <w:pStyle w:val="P68B1DB1-Normal5"/>
                    <w:spacing w:before="120" w:after="0" w:line="240" w:lineRule="auto"/>
                    <w:ind w:right="69"/>
                    <w:jc w:val="both"/>
                    <w:rPr>
                      <w:lang w:val="en-GB"/>
                    </w:rPr>
                  </w:pPr>
                  <w:r w:rsidRPr="00305E0F">
                    <w:rPr>
                      <w:lang w:val="en-GB"/>
                    </w:rPr>
                    <w:t>Sub-factor: assignment of rents</w:t>
                  </w:r>
                </w:p>
              </w:tc>
            </w:tr>
          </w:tbl>
          <w:p w14:paraId="197D0F1D" w14:textId="77777777" w:rsidR="001B66B0" w:rsidRPr="00305E0F" w:rsidRDefault="001B66B0" w:rsidP="00284240">
            <w:pPr>
              <w:spacing w:after="0" w:line="240" w:lineRule="auto"/>
              <w:ind w:right="69"/>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DB98FCB" w14:textId="35379C9F" w:rsidR="001B66B0" w:rsidRPr="00305E0F" w:rsidRDefault="001B66B0" w:rsidP="001B66B0">
            <w:pPr>
              <w:pStyle w:val="P68B1DB1-Normal27"/>
              <w:spacing w:before="60" w:after="60" w:line="240" w:lineRule="auto"/>
              <w:ind w:left="87" w:right="102"/>
              <w:rPr>
                <w:lang w:val="en-GB"/>
              </w:rPr>
            </w:pPr>
            <w:r w:rsidRPr="00305E0F">
              <w:rPr>
                <w:lang w:val="en-GB"/>
              </w:rPr>
              <w:t>The lender has obtained an assignment for the majority of the rents. They maintain current tenant information that would facilitate providing notice to remit rents directly to the lender, such as a current rent roll and copies of the project’s leases.</w:t>
            </w:r>
          </w:p>
        </w:tc>
        <w:tc>
          <w:tcPr>
            <w:tcW w:w="0" w:type="auto"/>
            <w:tcBorders>
              <w:top w:val="single" w:sz="6" w:space="0" w:color="000000"/>
              <w:left w:val="single" w:sz="6" w:space="0" w:color="000000"/>
              <w:bottom w:val="single" w:sz="6" w:space="0" w:color="000000"/>
              <w:right w:val="single" w:sz="6" w:space="0" w:color="000000"/>
            </w:tcBorders>
            <w:hideMark/>
          </w:tcPr>
          <w:p w14:paraId="02CE4ACC" w14:textId="22734C35" w:rsidR="001B66B0" w:rsidRPr="00305E0F" w:rsidRDefault="001B66B0" w:rsidP="001B66B0">
            <w:pPr>
              <w:pStyle w:val="P68B1DB1-Normal27"/>
              <w:spacing w:before="60" w:after="60" w:line="240" w:lineRule="auto"/>
              <w:rPr>
                <w:lang w:val="en-GB"/>
              </w:rPr>
            </w:pPr>
            <w:r w:rsidRPr="00305E0F">
              <w:rPr>
                <w:lang w:val="en-GB"/>
              </w:rPr>
              <w:t>The lender has obtained an assignment for a significant part of the rents. They maintain current tenant information that would facilitate providing notice to the tenants to remit rents directly to the lender, such as current rent roll and copies of the project’s leases.</w:t>
            </w:r>
          </w:p>
        </w:tc>
        <w:tc>
          <w:tcPr>
            <w:tcW w:w="0" w:type="auto"/>
            <w:tcBorders>
              <w:top w:val="single" w:sz="6" w:space="0" w:color="000000"/>
              <w:left w:val="single" w:sz="6" w:space="0" w:color="000000"/>
              <w:bottom w:val="single" w:sz="6" w:space="0" w:color="000000"/>
              <w:right w:val="single" w:sz="6" w:space="0" w:color="000000"/>
            </w:tcBorders>
            <w:hideMark/>
          </w:tcPr>
          <w:p w14:paraId="3F1824E3" w14:textId="6512B008" w:rsidR="001B66B0" w:rsidRPr="00305E0F" w:rsidRDefault="001B66B0" w:rsidP="001B66B0">
            <w:pPr>
              <w:pStyle w:val="P68B1DB1-Normal27"/>
              <w:spacing w:before="60" w:after="60" w:line="240" w:lineRule="auto"/>
              <w:rPr>
                <w:lang w:val="en-GB"/>
              </w:rPr>
            </w:pPr>
            <w:r w:rsidRPr="00305E0F">
              <w:rPr>
                <w:lang w:val="en-GB"/>
              </w:rPr>
              <w:t>The lender has obtained an assignment for a relatively small part of the rent. The lender has not maintained current tenant information that would facilitate providing notice to the tenants to remit rents directly to the lender, such as current rent roll and copies of the project’s leases.</w:t>
            </w:r>
          </w:p>
        </w:tc>
        <w:tc>
          <w:tcPr>
            <w:tcW w:w="0" w:type="auto"/>
            <w:tcBorders>
              <w:top w:val="single" w:sz="6" w:space="0" w:color="000000"/>
              <w:left w:val="single" w:sz="6" w:space="0" w:color="000000"/>
              <w:bottom w:val="single" w:sz="6" w:space="0" w:color="000000"/>
              <w:right w:val="single" w:sz="6" w:space="0" w:color="000000"/>
            </w:tcBorders>
            <w:hideMark/>
          </w:tcPr>
          <w:p w14:paraId="1C4BFBD3" w14:textId="7D54754C" w:rsidR="001B66B0" w:rsidRPr="00305E0F" w:rsidRDefault="001B66B0" w:rsidP="001B66B0">
            <w:pPr>
              <w:pStyle w:val="P68B1DB1-Normal27"/>
              <w:spacing w:before="60" w:after="60" w:line="240" w:lineRule="auto"/>
              <w:rPr>
                <w:lang w:val="en-GB"/>
              </w:rPr>
            </w:pPr>
            <w:r w:rsidRPr="00305E0F">
              <w:rPr>
                <w:lang w:val="en-GB"/>
              </w:rPr>
              <w:t>The lender has not obtained an assignment of the leases.</w:t>
            </w:r>
          </w:p>
        </w:tc>
      </w:tr>
      <w:tr w:rsidR="001B66B0" w:rsidRPr="00305E0F" w14:paraId="6A8F5777"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249"/>
              <w:gridCol w:w="1509"/>
            </w:tblGrid>
            <w:tr w:rsidR="00305E0F" w:rsidRPr="00305E0F" w14:paraId="47E1887D" w14:textId="77777777">
              <w:tc>
                <w:tcPr>
                  <w:tcW w:w="0" w:type="auto"/>
                  <w:hideMark/>
                </w:tcPr>
                <w:p w14:paraId="25EC6287" w14:textId="031BB19C" w:rsidR="001B66B0" w:rsidRPr="00305E0F" w:rsidRDefault="001B66B0" w:rsidP="00284240">
                  <w:pPr>
                    <w:pStyle w:val="P68B1DB1-Normal5"/>
                    <w:spacing w:before="120" w:after="0" w:line="240" w:lineRule="auto"/>
                    <w:ind w:right="69"/>
                    <w:jc w:val="both"/>
                    <w:rPr>
                      <w:lang w:val="en-GB"/>
                    </w:rPr>
                  </w:pPr>
                  <w:r w:rsidRPr="00305E0F">
                    <w:rPr>
                      <w:lang w:val="en-GB"/>
                    </w:rPr>
                    <w:t>3.</w:t>
                  </w:r>
                </w:p>
              </w:tc>
              <w:tc>
                <w:tcPr>
                  <w:tcW w:w="0" w:type="auto"/>
                  <w:hideMark/>
                </w:tcPr>
                <w:p w14:paraId="788CAD4E" w14:textId="05503978" w:rsidR="001B66B0" w:rsidRPr="00305E0F" w:rsidRDefault="001B66B0" w:rsidP="00284240">
                  <w:pPr>
                    <w:pStyle w:val="P68B1DB1-Normal5"/>
                    <w:spacing w:before="120" w:after="0" w:line="240" w:lineRule="auto"/>
                    <w:ind w:right="69"/>
                    <w:jc w:val="both"/>
                    <w:rPr>
                      <w:lang w:val="en-GB"/>
                    </w:rPr>
                  </w:pPr>
                  <w:r w:rsidRPr="00305E0F">
                    <w:rPr>
                      <w:lang w:val="en-GB"/>
                    </w:rPr>
                    <w:t>Sub-factor: quality of the insurance coverage</w:t>
                  </w:r>
                </w:p>
              </w:tc>
            </w:tr>
          </w:tbl>
          <w:p w14:paraId="323E06B1" w14:textId="77777777" w:rsidR="001B66B0" w:rsidRPr="00305E0F" w:rsidRDefault="001B66B0" w:rsidP="00284240">
            <w:pPr>
              <w:spacing w:after="0" w:line="240" w:lineRule="auto"/>
              <w:ind w:right="69"/>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109381A1" w14:textId="6641B824" w:rsidR="001B66B0" w:rsidRPr="00305E0F" w:rsidRDefault="001B66B0" w:rsidP="001B66B0">
            <w:pPr>
              <w:pStyle w:val="P68B1DB1-Normal27"/>
              <w:spacing w:before="60" w:after="60" w:line="240" w:lineRule="auto"/>
              <w:ind w:left="87" w:right="102"/>
              <w:rPr>
                <w:lang w:val="en-GB"/>
              </w:rPr>
            </w:pPr>
            <w:r w:rsidRPr="00305E0F">
              <w:rPr>
                <w:lang w:val="en-GB"/>
              </w:rPr>
              <w:t>Very good quality</w:t>
            </w:r>
          </w:p>
        </w:tc>
        <w:tc>
          <w:tcPr>
            <w:tcW w:w="0" w:type="auto"/>
            <w:tcBorders>
              <w:top w:val="single" w:sz="6" w:space="0" w:color="000000"/>
              <w:left w:val="single" w:sz="6" w:space="0" w:color="000000"/>
              <w:bottom w:val="single" w:sz="6" w:space="0" w:color="000000"/>
              <w:right w:val="single" w:sz="6" w:space="0" w:color="000000"/>
            </w:tcBorders>
            <w:hideMark/>
          </w:tcPr>
          <w:p w14:paraId="05E0C25A" w14:textId="41FF2749" w:rsidR="001B66B0" w:rsidRPr="00305E0F" w:rsidRDefault="001B66B0" w:rsidP="001B66B0">
            <w:pPr>
              <w:pStyle w:val="P68B1DB1-Normal27"/>
              <w:spacing w:before="60" w:after="60" w:line="240" w:lineRule="auto"/>
              <w:rPr>
                <w:lang w:val="en-GB"/>
              </w:rPr>
            </w:pPr>
            <w:r w:rsidRPr="00305E0F">
              <w:rPr>
                <w:lang w:val="en-GB"/>
              </w:rPr>
              <w:t>Good quality</w:t>
            </w:r>
          </w:p>
        </w:tc>
        <w:tc>
          <w:tcPr>
            <w:tcW w:w="0" w:type="auto"/>
            <w:tcBorders>
              <w:top w:val="single" w:sz="6" w:space="0" w:color="000000"/>
              <w:left w:val="single" w:sz="6" w:space="0" w:color="000000"/>
              <w:bottom w:val="single" w:sz="6" w:space="0" w:color="000000"/>
              <w:right w:val="single" w:sz="6" w:space="0" w:color="000000"/>
            </w:tcBorders>
            <w:hideMark/>
          </w:tcPr>
          <w:p w14:paraId="1A8CA767" w14:textId="4506D128" w:rsidR="001B66B0" w:rsidRPr="00305E0F" w:rsidRDefault="001B66B0" w:rsidP="001B66B0">
            <w:pPr>
              <w:pStyle w:val="P68B1DB1-Normal27"/>
              <w:spacing w:before="60" w:after="60" w:line="240" w:lineRule="auto"/>
              <w:rPr>
                <w:lang w:val="en-GB"/>
              </w:rPr>
            </w:pPr>
            <w:r w:rsidRPr="00305E0F">
              <w:rPr>
                <w:lang w:val="en-GB"/>
              </w:rPr>
              <w:t>Appropriate quality</w:t>
            </w:r>
          </w:p>
        </w:tc>
        <w:tc>
          <w:tcPr>
            <w:tcW w:w="0" w:type="auto"/>
            <w:tcBorders>
              <w:top w:val="single" w:sz="6" w:space="0" w:color="000000"/>
              <w:left w:val="single" w:sz="6" w:space="0" w:color="000000"/>
              <w:bottom w:val="single" w:sz="6" w:space="0" w:color="000000"/>
              <w:right w:val="single" w:sz="6" w:space="0" w:color="000000"/>
            </w:tcBorders>
            <w:hideMark/>
          </w:tcPr>
          <w:p w14:paraId="20FED072" w14:textId="677995DF" w:rsidR="001B66B0" w:rsidRPr="00305E0F" w:rsidRDefault="001B66B0" w:rsidP="001B66B0">
            <w:pPr>
              <w:pStyle w:val="P68B1DB1-Normal27"/>
              <w:spacing w:before="60" w:after="60" w:line="240" w:lineRule="auto"/>
              <w:rPr>
                <w:lang w:val="en-GB"/>
              </w:rPr>
            </w:pPr>
            <w:r w:rsidRPr="00305E0F">
              <w:rPr>
                <w:lang w:val="en-GB"/>
              </w:rPr>
              <w:t>Substandard quality</w:t>
            </w:r>
          </w:p>
        </w:tc>
      </w:tr>
    </w:tbl>
    <w:p w14:paraId="32C631E1" w14:textId="4468C604" w:rsidR="00EB0050" w:rsidRPr="00305E0F" w:rsidRDefault="00B02122">
      <w:pPr>
        <w:pStyle w:val="P68B1DB1-Normal25"/>
        <w:shd w:val="clear" w:color="auto" w:fill="FFFFFF"/>
        <w:spacing w:before="240" w:after="120" w:line="240" w:lineRule="auto"/>
        <w:jc w:val="right"/>
        <w:rPr>
          <w:bCs/>
          <w:iCs/>
          <w:color w:val="auto"/>
          <w:lang w:val="en-GB"/>
        </w:rPr>
      </w:pPr>
      <w:r w:rsidRPr="00305E0F">
        <w:rPr>
          <w:color w:val="auto"/>
          <w:lang w:val="en-GB"/>
        </w:rPr>
        <w:t>Table 3</w:t>
      </w:r>
    </w:p>
    <w:p w14:paraId="78745163" w14:textId="590EB256" w:rsidR="00EB0050" w:rsidRPr="00305E0F" w:rsidRDefault="008E5D8E">
      <w:pPr>
        <w:pStyle w:val="P68B1DB1-Normal10"/>
        <w:shd w:val="clear" w:color="auto" w:fill="FFFFFF"/>
        <w:spacing w:before="240" w:after="120" w:line="240" w:lineRule="auto"/>
        <w:jc w:val="center"/>
        <w:rPr>
          <w:bCs/>
          <w:color w:val="auto"/>
          <w:lang w:val="en-GB"/>
        </w:rPr>
      </w:pPr>
      <w:r w:rsidRPr="00305E0F">
        <w:rPr>
          <w:color w:val="auto"/>
          <w:lang w:val="en-GB"/>
        </w:rPr>
        <w:t>Assessment criteria for object finance exposures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10"/>
        <w:gridCol w:w="1629"/>
        <w:gridCol w:w="1892"/>
        <w:gridCol w:w="1634"/>
        <w:gridCol w:w="1573"/>
      </w:tblGrid>
      <w:tr w:rsidR="00305E0F" w:rsidRPr="00305E0F" w14:paraId="5A76EC08" w14:textId="77777777">
        <w:tc>
          <w:tcPr>
            <w:tcW w:w="0" w:type="auto"/>
            <w:tcBorders>
              <w:top w:val="single" w:sz="6" w:space="0" w:color="000000"/>
              <w:left w:val="single" w:sz="6" w:space="0" w:color="000000"/>
              <w:bottom w:val="single" w:sz="6" w:space="0" w:color="000000"/>
              <w:right w:val="single" w:sz="6" w:space="0" w:color="000000"/>
            </w:tcBorders>
            <w:hideMark/>
          </w:tcPr>
          <w:p w14:paraId="21633C33"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7094678" w14:textId="77777777" w:rsidR="00EB0050" w:rsidRPr="00305E0F" w:rsidRDefault="00B02122">
            <w:pPr>
              <w:pStyle w:val="P68B1DB1-Normal26"/>
              <w:spacing w:before="60" w:after="60" w:line="240" w:lineRule="auto"/>
              <w:ind w:right="195"/>
              <w:jc w:val="center"/>
              <w:rPr>
                <w:bCs/>
                <w:lang w:val="en-GB"/>
              </w:rPr>
            </w:pPr>
            <w:r w:rsidRPr="00305E0F">
              <w:rPr>
                <w:lang w:val="en-GB"/>
              </w:rPr>
              <w:t>Category 1</w:t>
            </w:r>
          </w:p>
        </w:tc>
        <w:tc>
          <w:tcPr>
            <w:tcW w:w="0" w:type="auto"/>
            <w:tcBorders>
              <w:top w:val="single" w:sz="6" w:space="0" w:color="000000"/>
              <w:left w:val="single" w:sz="6" w:space="0" w:color="000000"/>
              <w:bottom w:val="single" w:sz="6" w:space="0" w:color="000000"/>
              <w:right w:val="single" w:sz="6" w:space="0" w:color="000000"/>
            </w:tcBorders>
            <w:hideMark/>
          </w:tcPr>
          <w:p w14:paraId="39E1508C" w14:textId="77777777" w:rsidR="00EB0050" w:rsidRPr="00305E0F" w:rsidRDefault="00B02122">
            <w:pPr>
              <w:pStyle w:val="P68B1DB1-Normal26"/>
              <w:spacing w:before="60" w:after="60" w:line="240" w:lineRule="auto"/>
              <w:ind w:right="195"/>
              <w:jc w:val="center"/>
              <w:rPr>
                <w:bCs/>
                <w:lang w:val="en-GB"/>
              </w:rPr>
            </w:pPr>
            <w:r w:rsidRPr="00305E0F">
              <w:rPr>
                <w:lang w:val="en-GB"/>
              </w:rPr>
              <w:t>Category 2</w:t>
            </w:r>
          </w:p>
        </w:tc>
        <w:tc>
          <w:tcPr>
            <w:tcW w:w="0" w:type="auto"/>
            <w:tcBorders>
              <w:top w:val="single" w:sz="6" w:space="0" w:color="000000"/>
              <w:left w:val="single" w:sz="6" w:space="0" w:color="000000"/>
              <w:bottom w:val="single" w:sz="6" w:space="0" w:color="000000"/>
              <w:right w:val="single" w:sz="6" w:space="0" w:color="000000"/>
            </w:tcBorders>
            <w:hideMark/>
          </w:tcPr>
          <w:p w14:paraId="13DBD484" w14:textId="77777777" w:rsidR="00EB0050" w:rsidRPr="00305E0F" w:rsidRDefault="00B02122">
            <w:pPr>
              <w:pStyle w:val="P68B1DB1-Normal26"/>
              <w:spacing w:before="60" w:after="60" w:line="240" w:lineRule="auto"/>
              <w:ind w:right="195"/>
              <w:jc w:val="center"/>
              <w:rPr>
                <w:bCs/>
                <w:lang w:val="en-GB"/>
              </w:rPr>
            </w:pPr>
            <w:r w:rsidRPr="00305E0F">
              <w:rPr>
                <w:lang w:val="en-GB"/>
              </w:rPr>
              <w:t>Category 3</w:t>
            </w:r>
          </w:p>
        </w:tc>
        <w:tc>
          <w:tcPr>
            <w:tcW w:w="0" w:type="auto"/>
            <w:tcBorders>
              <w:top w:val="single" w:sz="6" w:space="0" w:color="000000"/>
              <w:left w:val="single" w:sz="6" w:space="0" w:color="000000"/>
              <w:bottom w:val="single" w:sz="6" w:space="0" w:color="000000"/>
              <w:right w:val="single" w:sz="6" w:space="0" w:color="000000"/>
            </w:tcBorders>
            <w:hideMark/>
          </w:tcPr>
          <w:p w14:paraId="737494A1" w14:textId="77777777" w:rsidR="00EB0050" w:rsidRPr="00305E0F" w:rsidRDefault="00B02122">
            <w:pPr>
              <w:pStyle w:val="P68B1DB1-Normal26"/>
              <w:spacing w:before="60" w:after="60" w:line="240" w:lineRule="auto"/>
              <w:ind w:right="195"/>
              <w:jc w:val="center"/>
              <w:rPr>
                <w:bCs/>
                <w:lang w:val="en-GB"/>
              </w:rPr>
            </w:pPr>
            <w:r w:rsidRPr="00305E0F">
              <w:rPr>
                <w:lang w:val="en-GB"/>
              </w:rPr>
              <w:t>Category 4</w:t>
            </w:r>
          </w:p>
        </w:tc>
      </w:tr>
      <w:tr w:rsidR="00305E0F" w:rsidRPr="00305E0F" w14:paraId="4BD54956" w14:textId="77777777">
        <w:tc>
          <w:tcPr>
            <w:tcW w:w="0" w:type="auto"/>
            <w:tcBorders>
              <w:top w:val="single" w:sz="6" w:space="0" w:color="000000"/>
              <w:left w:val="single" w:sz="6" w:space="0" w:color="000000"/>
              <w:bottom w:val="single" w:sz="6" w:space="0" w:color="000000"/>
              <w:right w:val="single" w:sz="6" w:space="0" w:color="000000"/>
            </w:tcBorders>
            <w:hideMark/>
          </w:tcPr>
          <w:p w14:paraId="24D56CD1" w14:textId="77777777" w:rsidR="00EB0050" w:rsidRPr="00305E0F" w:rsidRDefault="00B02122">
            <w:pPr>
              <w:pStyle w:val="P68B1DB1-Normal26"/>
              <w:spacing w:before="60" w:after="60" w:line="240" w:lineRule="auto"/>
              <w:rPr>
                <w:bCs/>
                <w:lang w:val="en-GB"/>
              </w:rPr>
            </w:pPr>
            <w:r w:rsidRPr="00305E0F">
              <w:rPr>
                <w:lang w:val="en-GB"/>
              </w:rPr>
              <w:t xml:space="preserve">Factor: </w:t>
            </w:r>
          </w:p>
          <w:p w14:paraId="1F49DF60" w14:textId="0BD7F2AB" w:rsidR="00EB0050" w:rsidRPr="00305E0F" w:rsidRDefault="00B02122">
            <w:pPr>
              <w:pStyle w:val="P68B1DB1-Normal26"/>
              <w:spacing w:before="60" w:after="60" w:line="240" w:lineRule="auto"/>
              <w:rPr>
                <w:lang w:val="en-GB"/>
              </w:rPr>
            </w:pPr>
            <w:r w:rsidRPr="00305E0F">
              <w:rPr>
                <w:lang w:val="en-GB"/>
              </w:rPr>
              <w:t xml:space="preserve">financial </w:t>
            </w:r>
            <w:r w:rsidR="008E5D8E" w:rsidRPr="00305E0F">
              <w:rPr>
                <w:lang w:val="en-GB"/>
              </w:rPr>
              <w:t>strength</w:t>
            </w:r>
          </w:p>
        </w:tc>
        <w:tc>
          <w:tcPr>
            <w:tcW w:w="0" w:type="auto"/>
            <w:tcBorders>
              <w:top w:val="single" w:sz="6" w:space="0" w:color="000000"/>
              <w:left w:val="single" w:sz="6" w:space="0" w:color="000000"/>
              <w:bottom w:val="single" w:sz="6" w:space="0" w:color="000000"/>
              <w:right w:val="single" w:sz="6" w:space="0" w:color="000000"/>
            </w:tcBorders>
            <w:hideMark/>
          </w:tcPr>
          <w:p w14:paraId="700B3200"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88A18D1"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64E6FCA4"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C76FD04"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5658F005"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415"/>
            </w:tblGrid>
            <w:tr w:rsidR="00305E0F" w:rsidRPr="00305E0F" w14:paraId="54D85DC4" w14:textId="77777777">
              <w:tc>
                <w:tcPr>
                  <w:tcW w:w="0" w:type="auto"/>
                  <w:hideMark/>
                </w:tcPr>
                <w:p w14:paraId="506B3BA3" w14:textId="4232EAB1" w:rsidR="008E5D8E" w:rsidRPr="00305E0F" w:rsidRDefault="008E5D8E" w:rsidP="008E5D8E">
                  <w:pPr>
                    <w:pStyle w:val="P68B1DB1-Normal5"/>
                    <w:spacing w:before="120" w:after="0" w:line="240" w:lineRule="auto"/>
                    <w:rPr>
                      <w:lang w:val="en-GB"/>
                    </w:rPr>
                  </w:pPr>
                  <w:r w:rsidRPr="00305E0F">
                    <w:rPr>
                      <w:lang w:val="en-GB"/>
                    </w:rPr>
                    <w:t>1.</w:t>
                  </w:r>
                </w:p>
              </w:tc>
              <w:tc>
                <w:tcPr>
                  <w:tcW w:w="0" w:type="auto"/>
                  <w:hideMark/>
                </w:tcPr>
                <w:p w14:paraId="3CDBBC6C" w14:textId="77777777" w:rsidR="008E5D8E" w:rsidRPr="00305E0F" w:rsidRDefault="008E5D8E" w:rsidP="008E5D8E">
                  <w:pPr>
                    <w:pStyle w:val="P68B1DB1-Normal5"/>
                    <w:spacing w:before="120" w:after="0" w:line="240" w:lineRule="auto"/>
                    <w:rPr>
                      <w:lang w:val="en-GB"/>
                    </w:rPr>
                  </w:pPr>
                  <w:r w:rsidRPr="00305E0F">
                    <w:rPr>
                      <w:lang w:val="en-GB"/>
                    </w:rPr>
                    <w:t>Sub-factor: market conditions</w:t>
                  </w:r>
                </w:p>
              </w:tc>
            </w:tr>
          </w:tbl>
          <w:p w14:paraId="0B91FC93" w14:textId="77777777" w:rsidR="008E5D8E" w:rsidRPr="00305E0F" w:rsidRDefault="008E5D8E" w:rsidP="008E5D8E">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A935B1B" w14:textId="115B1B38" w:rsidR="008E5D8E" w:rsidRPr="00305E0F" w:rsidRDefault="008E5D8E" w:rsidP="008E5D8E">
            <w:pPr>
              <w:pStyle w:val="P68B1DB1-Normal27"/>
              <w:spacing w:before="60" w:after="60" w:line="240" w:lineRule="auto"/>
              <w:rPr>
                <w:lang w:val="en-GB"/>
              </w:rPr>
            </w:pPr>
            <w:r w:rsidRPr="00305E0F">
              <w:rPr>
                <w:lang w:val="en-GB"/>
              </w:rPr>
              <w:t>Demand is strong and growing, strong entry barriers, low sensitivity to changes in technology and economic outlook.</w:t>
            </w:r>
          </w:p>
        </w:tc>
        <w:tc>
          <w:tcPr>
            <w:tcW w:w="0" w:type="auto"/>
            <w:tcBorders>
              <w:top w:val="single" w:sz="6" w:space="0" w:color="000000"/>
              <w:left w:val="single" w:sz="6" w:space="0" w:color="000000"/>
              <w:bottom w:val="single" w:sz="6" w:space="0" w:color="000000"/>
              <w:right w:val="single" w:sz="6" w:space="0" w:color="000000"/>
            </w:tcBorders>
            <w:hideMark/>
          </w:tcPr>
          <w:p w14:paraId="021B147F" w14:textId="1B9FD900" w:rsidR="008E5D8E" w:rsidRPr="00305E0F" w:rsidRDefault="008E5D8E" w:rsidP="008E5D8E">
            <w:pPr>
              <w:pStyle w:val="P68B1DB1-Normal27"/>
              <w:spacing w:before="60" w:after="60" w:line="240" w:lineRule="auto"/>
              <w:rPr>
                <w:lang w:val="en-GB"/>
              </w:rPr>
            </w:pPr>
            <w:r w:rsidRPr="00305E0F">
              <w:rPr>
                <w:lang w:val="en-GB"/>
              </w:rPr>
              <w:t>Demand is strong and stable. Some entry barriers, some sensitivity to changes in technology and economic outlook.</w:t>
            </w:r>
          </w:p>
        </w:tc>
        <w:tc>
          <w:tcPr>
            <w:tcW w:w="0" w:type="auto"/>
            <w:tcBorders>
              <w:top w:val="single" w:sz="6" w:space="0" w:color="000000"/>
              <w:left w:val="single" w:sz="6" w:space="0" w:color="000000"/>
              <w:bottom w:val="single" w:sz="6" w:space="0" w:color="000000"/>
              <w:right w:val="single" w:sz="6" w:space="0" w:color="000000"/>
            </w:tcBorders>
            <w:hideMark/>
          </w:tcPr>
          <w:p w14:paraId="63EDFF03" w14:textId="6B2A0BD2" w:rsidR="008E5D8E" w:rsidRPr="00305E0F" w:rsidRDefault="008E5D8E" w:rsidP="008E5D8E">
            <w:pPr>
              <w:pStyle w:val="P68B1DB1-Normal27"/>
              <w:spacing w:before="60" w:after="60" w:line="240" w:lineRule="auto"/>
              <w:rPr>
                <w:lang w:val="en-GB"/>
              </w:rPr>
            </w:pPr>
            <w:r w:rsidRPr="00305E0F">
              <w:rPr>
                <w:lang w:val="en-GB"/>
              </w:rPr>
              <w:t>Demand is adequate and stable, limited entry barriers, significant sensitivity to changes in technology and economic outlook.</w:t>
            </w:r>
          </w:p>
        </w:tc>
        <w:tc>
          <w:tcPr>
            <w:tcW w:w="0" w:type="auto"/>
            <w:tcBorders>
              <w:top w:val="single" w:sz="6" w:space="0" w:color="000000"/>
              <w:left w:val="single" w:sz="6" w:space="0" w:color="000000"/>
              <w:bottom w:val="single" w:sz="6" w:space="0" w:color="000000"/>
              <w:right w:val="single" w:sz="6" w:space="0" w:color="000000"/>
            </w:tcBorders>
            <w:hideMark/>
          </w:tcPr>
          <w:p w14:paraId="3C5CFCBF" w14:textId="725966A5" w:rsidR="008E5D8E" w:rsidRPr="00305E0F" w:rsidRDefault="008E5D8E" w:rsidP="008E5D8E">
            <w:pPr>
              <w:pStyle w:val="P68B1DB1-Normal27"/>
              <w:spacing w:before="60" w:after="60" w:line="240" w:lineRule="auto"/>
              <w:rPr>
                <w:lang w:val="en-GB"/>
              </w:rPr>
            </w:pPr>
            <w:r w:rsidRPr="00305E0F">
              <w:rPr>
                <w:lang w:val="en-GB"/>
              </w:rPr>
              <w:t>Demand is weak and declining, vulnerable to changes in technology and economic outlook, highly uncertain environment.</w:t>
            </w:r>
          </w:p>
        </w:tc>
      </w:tr>
      <w:tr w:rsidR="00305E0F" w:rsidRPr="00305E0F" w14:paraId="6CBA61BA"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415"/>
            </w:tblGrid>
            <w:tr w:rsidR="00305E0F" w:rsidRPr="00305E0F" w14:paraId="7370FC59" w14:textId="77777777">
              <w:tc>
                <w:tcPr>
                  <w:tcW w:w="0" w:type="auto"/>
                  <w:hideMark/>
                </w:tcPr>
                <w:p w14:paraId="2CFCD858" w14:textId="29BAE0BD" w:rsidR="008E5D8E" w:rsidRPr="00305E0F" w:rsidRDefault="008E5D8E" w:rsidP="008E5D8E">
                  <w:pPr>
                    <w:pStyle w:val="P68B1DB1-Normal5"/>
                    <w:spacing w:before="120" w:after="0" w:line="240" w:lineRule="auto"/>
                    <w:rPr>
                      <w:lang w:val="en-GB"/>
                    </w:rPr>
                  </w:pPr>
                  <w:r w:rsidRPr="00305E0F">
                    <w:rPr>
                      <w:lang w:val="en-GB"/>
                    </w:rPr>
                    <w:t>2.</w:t>
                  </w:r>
                </w:p>
              </w:tc>
              <w:tc>
                <w:tcPr>
                  <w:tcW w:w="0" w:type="auto"/>
                  <w:hideMark/>
                </w:tcPr>
                <w:p w14:paraId="7B046A5A" w14:textId="47394D9D" w:rsidR="008E5D8E" w:rsidRPr="00305E0F" w:rsidRDefault="008E5D8E" w:rsidP="008E5D8E">
                  <w:pPr>
                    <w:pStyle w:val="P68B1DB1-Normal5"/>
                    <w:spacing w:before="120" w:after="0" w:line="240" w:lineRule="auto"/>
                    <w:rPr>
                      <w:lang w:val="en-GB"/>
                    </w:rPr>
                  </w:pPr>
                  <w:r w:rsidRPr="00305E0F">
                    <w:rPr>
                      <w:lang w:val="en-GB"/>
                    </w:rPr>
                    <w:t>Sub-factor: financial ratios, i.e. DSCR or ICR</w:t>
                  </w:r>
                </w:p>
              </w:tc>
            </w:tr>
          </w:tbl>
          <w:p w14:paraId="508DD3B3" w14:textId="77777777" w:rsidR="008E5D8E" w:rsidRPr="00305E0F" w:rsidRDefault="008E5D8E" w:rsidP="008E5D8E">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BFF4D1F" w14:textId="11B35A11" w:rsidR="008E5D8E" w:rsidRPr="00305E0F" w:rsidRDefault="008E5D8E" w:rsidP="008E5D8E">
            <w:pPr>
              <w:pStyle w:val="P68B1DB1-Normal27"/>
              <w:spacing w:before="60" w:after="60" w:line="240" w:lineRule="auto"/>
              <w:rPr>
                <w:lang w:val="en-GB"/>
              </w:rPr>
            </w:pPr>
            <w:r w:rsidRPr="00305E0F">
              <w:rPr>
                <w:lang w:val="en-GB"/>
              </w:rPr>
              <w:t>Strong financial ratios considering the type of asset. Very robust economic assumptions.</w:t>
            </w:r>
          </w:p>
        </w:tc>
        <w:tc>
          <w:tcPr>
            <w:tcW w:w="0" w:type="auto"/>
            <w:tcBorders>
              <w:top w:val="single" w:sz="6" w:space="0" w:color="000000"/>
              <w:left w:val="single" w:sz="6" w:space="0" w:color="000000"/>
              <w:bottom w:val="single" w:sz="6" w:space="0" w:color="000000"/>
              <w:right w:val="single" w:sz="6" w:space="0" w:color="000000"/>
            </w:tcBorders>
            <w:hideMark/>
          </w:tcPr>
          <w:p w14:paraId="3C3E88F6" w14:textId="2B63E1C7" w:rsidR="008E5D8E" w:rsidRPr="00305E0F" w:rsidRDefault="008E5D8E" w:rsidP="008E5D8E">
            <w:pPr>
              <w:pStyle w:val="P68B1DB1-Normal27"/>
              <w:spacing w:before="60" w:after="60" w:line="240" w:lineRule="auto"/>
              <w:rPr>
                <w:lang w:val="en-GB"/>
              </w:rPr>
            </w:pPr>
            <w:r w:rsidRPr="00305E0F">
              <w:rPr>
                <w:lang w:val="en-GB"/>
              </w:rPr>
              <w:t>Strong/acceptable financial ratios considering the type of asset. Robust project economic assumptions.</w:t>
            </w:r>
          </w:p>
        </w:tc>
        <w:tc>
          <w:tcPr>
            <w:tcW w:w="0" w:type="auto"/>
            <w:tcBorders>
              <w:top w:val="single" w:sz="6" w:space="0" w:color="000000"/>
              <w:left w:val="single" w:sz="6" w:space="0" w:color="000000"/>
              <w:bottom w:val="single" w:sz="6" w:space="0" w:color="000000"/>
              <w:right w:val="single" w:sz="6" w:space="0" w:color="000000"/>
            </w:tcBorders>
            <w:hideMark/>
          </w:tcPr>
          <w:p w14:paraId="46191205" w14:textId="7975939F" w:rsidR="008E5D8E" w:rsidRPr="00305E0F" w:rsidRDefault="008E5D8E" w:rsidP="008E5D8E">
            <w:pPr>
              <w:pStyle w:val="P68B1DB1-Normal27"/>
              <w:spacing w:before="60" w:after="60" w:line="240" w:lineRule="auto"/>
              <w:rPr>
                <w:lang w:val="en-GB"/>
              </w:rPr>
            </w:pPr>
            <w:r w:rsidRPr="00305E0F">
              <w:rPr>
                <w:lang w:val="en-GB"/>
              </w:rPr>
              <w:t>Standard financial ratios for the asset type</w:t>
            </w:r>
          </w:p>
        </w:tc>
        <w:tc>
          <w:tcPr>
            <w:tcW w:w="0" w:type="auto"/>
            <w:tcBorders>
              <w:top w:val="single" w:sz="6" w:space="0" w:color="000000"/>
              <w:left w:val="single" w:sz="6" w:space="0" w:color="000000"/>
              <w:bottom w:val="single" w:sz="6" w:space="0" w:color="000000"/>
              <w:right w:val="single" w:sz="6" w:space="0" w:color="000000"/>
            </w:tcBorders>
            <w:hideMark/>
          </w:tcPr>
          <w:p w14:paraId="4AD51CB0" w14:textId="43383008" w:rsidR="008E5D8E" w:rsidRPr="00305E0F" w:rsidRDefault="008E5D8E" w:rsidP="008E5D8E">
            <w:pPr>
              <w:pStyle w:val="P68B1DB1-Normal27"/>
              <w:spacing w:before="60" w:after="60" w:line="240" w:lineRule="auto"/>
              <w:rPr>
                <w:lang w:val="en-GB"/>
              </w:rPr>
            </w:pPr>
            <w:r w:rsidRPr="00305E0F">
              <w:rPr>
                <w:lang w:val="en-GB"/>
              </w:rPr>
              <w:t>Aggressive financial ratios considering the type of asse</w:t>
            </w:r>
          </w:p>
        </w:tc>
      </w:tr>
      <w:tr w:rsidR="00305E0F" w:rsidRPr="00305E0F" w14:paraId="65000D2B"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415"/>
            </w:tblGrid>
            <w:tr w:rsidR="00305E0F" w:rsidRPr="00305E0F" w14:paraId="1A40C58A" w14:textId="77777777">
              <w:tc>
                <w:tcPr>
                  <w:tcW w:w="0" w:type="auto"/>
                  <w:hideMark/>
                </w:tcPr>
                <w:p w14:paraId="45441BF3" w14:textId="207D5C58" w:rsidR="008E5D8E" w:rsidRPr="00305E0F" w:rsidRDefault="008E5D8E" w:rsidP="008E5D8E">
                  <w:pPr>
                    <w:pStyle w:val="P68B1DB1-Normal5"/>
                    <w:spacing w:before="120" w:after="0" w:line="240" w:lineRule="auto"/>
                    <w:rPr>
                      <w:lang w:val="en-GB"/>
                    </w:rPr>
                  </w:pPr>
                  <w:r w:rsidRPr="00305E0F">
                    <w:rPr>
                      <w:lang w:val="en-GB"/>
                    </w:rPr>
                    <w:t>3.</w:t>
                  </w:r>
                </w:p>
              </w:tc>
              <w:tc>
                <w:tcPr>
                  <w:tcW w:w="0" w:type="auto"/>
                  <w:hideMark/>
                </w:tcPr>
                <w:p w14:paraId="60F10B06" w14:textId="67E16735" w:rsidR="008E5D8E" w:rsidRPr="00305E0F" w:rsidRDefault="008E5D8E" w:rsidP="008E5D8E">
                  <w:pPr>
                    <w:pStyle w:val="P68B1DB1-Normal5"/>
                    <w:spacing w:before="120" w:after="0" w:line="240" w:lineRule="auto"/>
                    <w:rPr>
                      <w:lang w:val="en-GB"/>
                    </w:rPr>
                  </w:pPr>
                  <w:r w:rsidRPr="00305E0F">
                    <w:rPr>
                      <w:lang w:val="en-GB"/>
                    </w:rPr>
                    <w:t>Sub-factor: advance ratio, i.e. loan-to-value (LTV) ratio</w:t>
                  </w:r>
                </w:p>
              </w:tc>
            </w:tr>
          </w:tbl>
          <w:p w14:paraId="41E7093D" w14:textId="77777777" w:rsidR="008E5D8E" w:rsidRPr="00305E0F" w:rsidRDefault="008E5D8E" w:rsidP="008E5D8E">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75A3549" w14:textId="7E54FE11" w:rsidR="008E5D8E" w:rsidRPr="00305E0F" w:rsidRDefault="008E5D8E" w:rsidP="008E5D8E">
            <w:pPr>
              <w:pStyle w:val="P68B1DB1-Normal27"/>
              <w:spacing w:before="60" w:after="60" w:line="240" w:lineRule="auto"/>
              <w:rPr>
                <w:lang w:val="en-GB"/>
              </w:rPr>
            </w:pPr>
            <w:r w:rsidRPr="00305E0F">
              <w:rPr>
                <w:lang w:val="en-GB"/>
              </w:rPr>
              <w:t>Strong LTV ratio considering the type of asset</w:t>
            </w:r>
          </w:p>
        </w:tc>
        <w:tc>
          <w:tcPr>
            <w:tcW w:w="0" w:type="auto"/>
            <w:tcBorders>
              <w:top w:val="single" w:sz="6" w:space="0" w:color="000000"/>
              <w:left w:val="single" w:sz="6" w:space="0" w:color="000000"/>
              <w:bottom w:val="single" w:sz="6" w:space="0" w:color="000000"/>
              <w:right w:val="single" w:sz="6" w:space="0" w:color="000000"/>
            </w:tcBorders>
            <w:hideMark/>
          </w:tcPr>
          <w:p w14:paraId="3ABB2057" w14:textId="30044DFC" w:rsidR="008E5D8E" w:rsidRPr="00305E0F" w:rsidRDefault="008E5D8E" w:rsidP="008E5D8E">
            <w:pPr>
              <w:pStyle w:val="P68B1DB1-Normal27"/>
              <w:spacing w:before="60" w:after="60" w:line="240" w:lineRule="auto"/>
              <w:rPr>
                <w:lang w:val="en-GB"/>
              </w:rPr>
            </w:pPr>
            <w:r w:rsidRPr="00305E0F">
              <w:rPr>
                <w:lang w:val="en-GB"/>
              </w:rPr>
              <w:t>Strong/good LTV ratio considering the type of asset</w:t>
            </w:r>
          </w:p>
        </w:tc>
        <w:tc>
          <w:tcPr>
            <w:tcW w:w="0" w:type="auto"/>
            <w:tcBorders>
              <w:top w:val="single" w:sz="6" w:space="0" w:color="000000"/>
              <w:left w:val="single" w:sz="6" w:space="0" w:color="000000"/>
              <w:bottom w:val="single" w:sz="6" w:space="0" w:color="000000"/>
              <w:right w:val="single" w:sz="6" w:space="0" w:color="000000"/>
            </w:tcBorders>
            <w:hideMark/>
          </w:tcPr>
          <w:p w14:paraId="37D475E2" w14:textId="51AA5549" w:rsidR="008E5D8E" w:rsidRPr="00305E0F" w:rsidRDefault="008E5D8E" w:rsidP="008E5D8E">
            <w:pPr>
              <w:pStyle w:val="P68B1DB1-Normal27"/>
              <w:spacing w:before="60" w:after="60" w:line="240" w:lineRule="auto"/>
              <w:rPr>
                <w:lang w:val="en-GB"/>
              </w:rPr>
            </w:pPr>
            <w:r w:rsidRPr="00305E0F">
              <w:rPr>
                <w:lang w:val="en-GB"/>
              </w:rPr>
              <w:t>Standard LTV ratio for the asset type</w:t>
            </w:r>
          </w:p>
        </w:tc>
        <w:tc>
          <w:tcPr>
            <w:tcW w:w="0" w:type="auto"/>
            <w:tcBorders>
              <w:top w:val="single" w:sz="6" w:space="0" w:color="000000"/>
              <w:left w:val="single" w:sz="6" w:space="0" w:color="000000"/>
              <w:bottom w:val="single" w:sz="6" w:space="0" w:color="000000"/>
              <w:right w:val="single" w:sz="6" w:space="0" w:color="000000"/>
            </w:tcBorders>
            <w:hideMark/>
          </w:tcPr>
          <w:p w14:paraId="6CBB357E" w14:textId="45249B00" w:rsidR="008E5D8E" w:rsidRPr="00305E0F" w:rsidRDefault="008E5D8E" w:rsidP="008E5D8E">
            <w:pPr>
              <w:pStyle w:val="P68B1DB1-Normal27"/>
              <w:spacing w:before="60" w:after="60" w:line="240" w:lineRule="auto"/>
              <w:rPr>
                <w:lang w:val="en-GB"/>
              </w:rPr>
            </w:pPr>
            <w:r w:rsidRPr="00305E0F">
              <w:rPr>
                <w:lang w:val="en-GB"/>
              </w:rPr>
              <w:t>Aggressive LTV ratio considering the type of asset</w:t>
            </w:r>
          </w:p>
        </w:tc>
      </w:tr>
      <w:tr w:rsidR="00305E0F" w:rsidRPr="00305E0F" w14:paraId="13E53E30"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415"/>
            </w:tblGrid>
            <w:tr w:rsidR="00305E0F" w:rsidRPr="00305E0F" w14:paraId="36D00F7B" w14:textId="77777777">
              <w:tc>
                <w:tcPr>
                  <w:tcW w:w="0" w:type="auto"/>
                  <w:hideMark/>
                </w:tcPr>
                <w:p w14:paraId="4E062820" w14:textId="1EA771E3" w:rsidR="008E5D8E" w:rsidRPr="00305E0F" w:rsidRDefault="008E5D8E" w:rsidP="008E5D8E">
                  <w:pPr>
                    <w:pStyle w:val="P68B1DB1-Normal5"/>
                    <w:spacing w:before="120" w:after="0" w:line="240" w:lineRule="auto"/>
                    <w:rPr>
                      <w:lang w:val="en-GB"/>
                    </w:rPr>
                  </w:pPr>
                  <w:r w:rsidRPr="00305E0F">
                    <w:rPr>
                      <w:lang w:val="en-GB"/>
                    </w:rPr>
                    <w:t>4.</w:t>
                  </w:r>
                </w:p>
              </w:tc>
              <w:tc>
                <w:tcPr>
                  <w:tcW w:w="0" w:type="auto"/>
                  <w:hideMark/>
                </w:tcPr>
                <w:p w14:paraId="5D3E36FA" w14:textId="10D5F24D" w:rsidR="008E5D8E" w:rsidRPr="00305E0F" w:rsidRDefault="008E5D8E" w:rsidP="008E5D8E">
                  <w:pPr>
                    <w:pStyle w:val="P68B1DB1-Normal5"/>
                    <w:spacing w:before="120" w:after="0" w:line="240" w:lineRule="auto"/>
                    <w:rPr>
                      <w:lang w:val="en-GB"/>
                    </w:rPr>
                  </w:pPr>
                  <w:r w:rsidRPr="00305E0F">
                    <w:rPr>
                      <w:lang w:val="en-GB"/>
                    </w:rPr>
                    <w:t>Sub-factor: stress analysis on the basis of the income being generated during the tenor of the loan</w:t>
                  </w:r>
                </w:p>
              </w:tc>
            </w:tr>
          </w:tbl>
          <w:p w14:paraId="66EEA26B" w14:textId="77777777" w:rsidR="008E5D8E" w:rsidRPr="00305E0F" w:rsidRDefault="008E5D8E" w:rsidP="008E5D8E">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BD9E0AC" w14:textId="45AECFF3" w:rsidR="008E5D8E" w:rsidRPr="00305E0F" w:rsidRDefault="008E5D8E" w:rsidP="008E5D8E">
            <w:pPr>
              <w:pStyle w:val="P68B1DB1-Normal27"/>
              <w:spacing w:before="60" w:after="60" w:line="240" w:lineRule="auto"/>
              <w:rPr>
                <w:lang w:val="en-GB"/>
              </w:rPr>
            </w:pPr>
            <w:r w:rsidRPr="00305E0F">
              <w:rPr>
                <w:lang w:val="en-GB"/>
              </w:rPr>
              <w:t>Stable long-term revenues, capable of withstanding severely stressed conditions through an economic cycle</w:t>
            </w:r>
          </w:p>
        </w:tc>
        <w:tc>
          <w:tcPr>
            <w:tcW w:w="0" w:type="auto"/>
            <w:tcBorders>
              <w:top w:val="single" w:sz="6" w:space="0" w:color="000000"/>
              <w:left w:val="single" w:sz="6" w:space="0" w:color="000000"/>
              <w:bottom w:val="single" w:sz="6" w:space="0" w:color="000000"/>
              <w:right w:val="single" w:sz="6" w:space="0" w:color="000000"/>
            </w:tcBorders>
            <w:hideMark/>
          </w:tcPr>
          <w:p w14:paraId="208D25B7" w14:textId="001D22DA" w:rsidR="008E5D8E" w:rsidRPr="00305E0F" w:rsidRDefault="008E5D8E" w:rsidP="008E5D8E">
            <w:pPr>
              <w:pStyle w:val="P68B1DB1-Normal27"/>
              <w:spacing w:before="60" w:after="60" w:line="240" w:lineRule="auto"/>
              <w:rPr>
                <w:lang w:val="en-GB"/>
              </w:rPr>
            </w:pPr>
            <w:r w:rsidRPr="00305E0F">
              <w:rPr>
                <w:lang w:val="en-GB"/>
              </w:rPr>
              <w:t>Satisfactory short-term revenues. Loan can withstand some financial adversity. Default is only likely under severe economic conditions</w:t>
            </w:r>
          </w:p>
        </w:tc>
        <w:tc>
          <w:tcPr>
            <w:tcW w:w="0" w:type="auto"/>
            <w:tcBorders>
              <w:top w:val="single" w:sz="6" w:space="0" w:color="000000"/>
              <w:left w:val="single" w:sz="6" w:space="0" w:color="000000"/>
              <w:bottom w:val="single" w:sz="6" w:space="0" w:color="000000"/>
              <w:right w:val="single" w:sz="6" w:space="0" w:color="000000"/>
            </w:tcBorders>
            <w:hideMark/>
          </w:tcPr>
          <w:p w14:paraId="61ECA170" w14:textId="2F6C9AB1" w:rsidR="008E5D8E" w:rsidRPr="00305E0F" w:rsidRDefault="008E5D8E" w:rsidP="008E5D8E">
            <w:pPr>
              <w:pStyle w:val="P68B1DB1-Normal27"/>
              <w:spacing w:before="60" w:after="60" w:line="240" w:lineRule="auto"/>
              <w:ind w:right="115"/>
              <w:rPr>
                <w:lang w:val="en-GB"/>
              </w:rPr>
            </w:pPr>
            <w:r w:rsidRPr="00305E0F">
              <w:rPr>
                <w:lang w:val="en-GB"/>
              </w:rPr>
              <w:t>Uncertain short-term revenues. Cash flows are vulnerable to stresses that are not uncommon through an economic cycle. The loan may default in an economic downturn</w:t>
            </w:r>
          </w:p>
        </w:tc>
        <w:tc>
          <w:tcPr>
            <w:tcW w:w="0" w:type="auto"/>
            <w:tcBorders>
              <w:top w:val="single" w:sz="6" w:space="0" w:color="000000"/>
              <w:left w:val="single" w:sz="6" w:space="0" w:color="000000"/>
              <w:bottom w:val="single" w:sz="6" w:space="0" w:color="000000"/>
              <w:right w:val="single" w:sz="6" w:space="0" w:color="000000"/>
            </w:tcBorders>
            <w:hideMark/>
          </w:tcPr>
          <w:p w14:paraId="4DFA3C39" w14:textId="1DE51FCA" w:rsidR="008E5D8E" w:rsidRPr="00305E0F" w:rsidRDefault="008E5D8E" w:rsidP="008E5D8E">
            <w:pPr>
              <w:pStyle w:val="P68B1DB1-Normal27"/>
              <w:spacing w:before="60" w:after="60" w:line="240" w:lineRule="auto"/>
              <w:rPr>
                <w:lang w:val="en-GB"/>
              </w:rPr>
            </w:pPr>
            <w:r w:rsidRPr="00305E0F">
              <w:rPr>
                <w:lang w:val="en-GB"/>
              </w:rPr>
              <w:t>Revenues subject to strong uncertainties; even in normal economic conditions the asset may default, unless conditions improve</w:t>
            </w:r>
          </w:p>
        </w:tc>
      </w:tr>
      <w:tr w:rsidR="00305E0F" w:rsidRPr="00305E0F" w14:paraId="23218790"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415"/>
            </w:tblGrid>
            <w:tr w:rsidR="00305E0F" w:rsidRPr="00305E0F" w14:paraId="3339933D" w14:textId="77777777">
              <w:trPr>
                <w:trHeight w:val="248"/>
              </w:trPr>
              <w:tc>
                <w:tcPr>
                  <w:tcW w:w="0" w:type="auto"/>
                  <w:hideMark/>
                </w:tcPr>
                <w:p w14:paraId="5C8F64FE" w14:textId="056EFC60" w:rsidR="008E5D8E" w:rsidRPr="00305E0F" w:rsidRDefault="008E5D8E" w:rsidP="008E5D8E">
                  <w:pPr>
                    <w:pStyle w:val="P68B1DB1-Normal5"/>
                    <w:spacing w:before="120" w:after="0" w:line="240" w:lineRule="auto"/>
                    <w:jc w:val="both"/>
                    <w:rPr>
                      <w:lang w:val="en-GB"/>
                    </w:rPr>
                  </w:pPr>
                  <w:r w:rsidRPr="00305E0F">
                    <w:rPr>
                      <w:lang w:val="en-GB"/>
                    </w:rPr>
                    <w:t>5.</w:t>
                  </w:r>
                </w:p>
              </w:tc>
              <w:tc>
                <w:tcPr>
                  <w:tcW w:w="0" w:type="auto"/>
                  <w:hideMark/>
                </w:tcPr>
                <w:p w14:paraId="04224EE6" w14:textId="77777777" w:rsidR="008E5D8E" w:rsidRPr="00305E0F" w:rsidRDefault="008E5D8E" w:rsidP="008E5D8E">
                  <w:pPr>
                    <w:pStyle w:val="P68B1DB1-Normal5"/>
                    <w:spacing w:before="120" w:after="0" w:line="240" w:lineRule="auto"/>
                    <w:rPr>
                      <w:lang w:val="en-GB"/>
                    </w:rPr>
                  </w:pPr>
                  <w:r w:rsidRPr="00305E0F">
                    <w:rPr>
                      <w:lang w:val="en-GB"/>
                    </w:rPr>
                    <w:t>Sub-factor: market liquidity</w:t>
                  </w:r>
                </w:p>
              </w:tc>
            </w:tr>
          </w:tbl>
          <w:p w14:paraId="42D26227" w14:textId="77777777" w:rsidR="008E5D8E" w:rsidRPr="00305E0F" w:rsidRDefault="008E5D8E" w:rsidP="008E5D8E">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1C0C4797" w14:textId="16F28823" w:rsidR="008E5D8E" w:rsidRPr="00305E0F" w:rsidRDefault="008E5D8E" w:rsidP="008E5D8E">
            <w:pPr>
              <w:pStyle w:val="P68B1DB1-Normal27"/>
              <w:spacing w:before="60" w:after="60" w:line="240" w:lineRule="auto"/>
              <w:rPr>
                <w:lang w:val="en-GB"/>
              </w:rPr>
            </w:pPr>
            <w:r w:rsidRPr="00305E0F">
              <w:rPr>
                <w:lang w:val="en-GB"/>
              </w:rPr>
              <w:t>Market is structured on a worldwide basis; assets are highly liquid.</w:t>
            </w:r>
          </w:p>
        </w:tc>
        <w:tc>
          <w:tcPr>
            <w:tcW w:w="0" w:type="auto"/>
            <w:tcBorders>
              <w:top w:val="single" w:sz="6" w:space="0" w:color="000000"/>
              <w:left w:val="single" w:sz="6" w:space="0" w:color="000000"/>
              <w:bottom w:val="single" w:sz="6" w:space="0" w:color="000000"/>
              <w:right w:val="single" w:sz="6" w:space="0" w:color="000000"/>
            </w:tcBorders>
            <w:hideMark/>
          </w:tcPr>
          <w:p w14:paraId="1E232208" w14:textId="28CF33A4" w:rsidR="008E5D8E" w:rsidRPr="00305E0F" w:rsidRDefault="008E5D8E" w:rsidP="008E5D8E">
            <w:pPr>
              <w:pStyle w:val="P68B1DB1-Normal27"/>
              <w:spacing w:before="60" w:after="60" w:line="240" w:lineRule="auto"/>
              <w:rPr>
                <w:lang w:val="en-GB"/>
              </w:rPr>
            </w:pPr>
            <w:r w:rsidRPr="00305E0F">
              <w:rPr>
                <w:lang w:val="en-GB"/>
              </w:rPr>
              <w:t>Market is worldwide or regional; assets are relatively liquid.</w:t>
            </w:r>
          </w:p>
        </w:tc>
        <w:tc>
          <w:tcPr>
            <w:tcW w:w="0" w:type="auto"/>
            <w:tcBorders>
              <w:top w:val="single" w:sz="6" w:space="0" w:color="000000"/>
              <w:left w:val="single" w:sz="6" w:space="0" w:color="000000"/>
              <w:bottom w:val="single" w:sz="6" w:space="0" w:color="000000"/>
              <w:right w:val="single" w:sz="6" w:space="0" w:color="000000"/>
            </w:tcBorders>
            <w:hideMark/>
          </w:tcPr>
          <w:p w14:paraId="44DD4CE5" w14:textId="15AF84C1" w:rsidR="008E5D8E" w:rsidRPr="00305E0F" w:rsidRDefault="008E5D8E" w:rsidP="008E5D8E">
            <w:pPr>
              <w:pStyle w:val="P68B1DB1-Normal27"/>
              <w:spacing w:before="60" w:after="60" w:line="240" w:lineRule="auto"/>
              <w:rPr>
                <w:lang w:val="en-GB"/>
              </w:rPr>
            </w:pPr>
            <w:r w:rsidRPr="00305E0F">
              <w:rPr>
                <w:lang w:val="en-GB"/>
              </w:rPr>
              <w:t>Market is regional with limited prospects in the short term, implying lower liquidity.</w:t>
            </w:r>
          </w:p>
        </w:tc>
        <w:tc>
          <w:tcPr>
            <w:tcW w:w="0" w:type="auto"/>
            <w:tcBorders>
              <w:top w:val="single" w:sz="6" w:space="0" w:color="000000"/>
              <w:left w:val="single" w:sz="6" w:space="0" w:color="000000"/>
              <w:bottom w:val="single" w:sz="6" w:space="0" w:color="000000"/>
              <w:right w:val="single" w:sz="6" w:space="0" w:color="000000"/>
            </w:tcBorders>
            <w:hideMark/>
          </w:tcPr>
          <w:p w14:paraId="78DBCBAC" w14:textId="3EF38FF5" w:rsidR="008E5D8E" w:rsidRPr="00305E0F" w:rsidRDefault="008E5D8E" w:rsidP="008E5D8E">
            <w:pPr>
              <w:pStyle w:val="P68B1DB1-Normal27"/>
              <w:spacing w:before="60" w:after="60" w:line="240" w:lineRule="auto"/>
              <w:rPr>
                <w:lang w:val="en-GB"/>
              </w:rPr>
            </w:pPr>
            <w:r w:rsidRPr="00305E0F">
              <w:rPr>
                <w:lang w:val="en-GB"/>
              </w:rPr>
              <w:t>Local market and/or poor visibility. Low or no liquidity, particularly on niche markets.</w:t>
            </w:r>
          </w:p>
        </w:tc>
      </w:tr>
      <w:tr w:rsidR="00305E0F" w:rsidRPr="00305E0F" w14:paraId="102EDA5F" w14:textId="77777777">
        <w:tc>
          <w:tcPr>
            <w:tcW w:w="0" w:type="auto"/>
            <w:tcBorders>
              <w:top w:val="single" w:sz="6" w:space="0" w:color="000000"/>
              <w:left w:val="single" w:sz="6" w:space="0" w:color="000000"/>
              <w:bottom w:val="single" w:sz="6" w:space="0" w:color="000000"/>
              <w:right w:val="single" w:sz="6" w:space="0" w:color="000000"/>
            </w:tcBorders>
            <w:hideMark/>
          </w:tcPr>
          <w:p w14:paraId="17CEC86C" w14:textId="77777777" w:rsidR="00EB0050" w:rsidRPr="00305E0F" w:rsidRDefault="00B02122">
            <w:pPr>
              <w:pStyle w:val="P68B1DB1-Normal26"/>
              <w:spacing w:before="60" w:after="60" w:line="240" w:lineRule="auto"/>
              <w:rPr>
                <w:bCs/>
                <w:lang w:val="en-GB"/>
              </w:rPr>
            </w:pPr>
            <w:r w:rsidRPr="00305E0F">
              <w:rPr>
                <w:lang w:val="en-GB"/>
              </w:rPr>
              <w:t xml:space="preserve">Factor: </w:t>
            </w:r>
          </w:p>
          <w:p w14:paraId="585A5F60" w14:textId="2ABC6080" w:rsidR="00EB0050" w:rsidRPr="00305E0F" w:rsidRDefault="00B02122">
            <w:pPr>
              <w:pStyle w:val="P68B1DB1-Normal26"/>
              <w:spacing w:before="60" w:after="60" w:line="240" w:lineRule="auto"/>
              <w:rPr>
                <w:lang w:val="en-GB"/>
              </w:rPr>
            </w:pPr>
            <w:r w:rsidRPr="00305E0F">
              <w:rPr>
                <w:lang w:val="en-GB"/>
              </w:rPr>
              <w:t>political and legal environment</w:t>
            </w:r>
          </w:p>
        </w:tc>
        <w:tc>
          <w:tcPr>
            <w:tcW w:w="0" w:type="auto"/>
            <w:tcBorders>
              <w:top w:val="single" w:sz="6" w:space="0" w:color="000000"/>
              <w:left w:val="single" w:sz="6" w:space="0" w:color="000000"/>
              <w:bottom w:val="single" w:sz="6" w:space="0" w:color="000000"/>
              <w:right w:val="single" w:sz="6" w:space="0" w:color="000000"/>
            </w:tcBorders>
            <w:hideMark/>
          </w:tcPr>
          <w:p w14:paraId="1E09CB55"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8CA2D1B"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F314B9B"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12E819B"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096C93DD"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415"/>
            </w:tblGrid>
            <w:tr w:rsidR="00305E0F" w:rsidRPr="00305E0F" w14:paraId="733063C6" w14:textId="77777777">
              <w:tc>
                <w:tcPr>
                  <w:tcW w:w="0" w:type="auto"/>
                  <w:hideMark/>
                </w:tcPr>
                <w:p w14:paraId="707C37CA" w14:textId="59F330A9" w:rsidR="00636A4B" w:rsidRPr="00305E0F" w:rsidRDefault="00636A4B" w:rsidP="00636A4B">
                  <w:pPr>
                    <w:pStyle w:val="P68B1DB1-Normal5"/>
                    <w:spacing w:before="120" w:after="0" w:line="240" w:lineRule="auto"/>
                    <w:jc w:val="both"/>
                    <w:rPr>
                      <w:lang w:val="en-GB"/>
                    </w:rPr>
                  </w:pPr>
                  <w:r w:rsidRPr="00305E0F">
                    <w:rPr>
                      <w:lang w:val="en-GB"/>
                    </w:rPr>
                    <w:t>1.</w:t>
                  </w:r>
                </w:p>
              </w:tc>
              <w:tc>
                <w:tcPr>
                  <w:tcW w:w="0" w:type="auto"/>
                  <w:hideMark/>
                </w:tcPr>
                <w:p w14:paraId="687532F2" w14:textId="77777777" w:rsidR="00636A4B" w:rsidRPr="00305E0F" w:rsidRDefault="00636A4B" w:rsidP="00636A4B">
                  <w:pPr>
                    <w:pStyle w:val="P68B1DB1-Normal5"/>
                    <w:spacing w:before="120" w:after="0" w:line="240" w:lineRule="auto"/>
                    <w:rPr>
                      <w:lang w:val="en-GB"/>
                    </w:rPr>
                  </w:pPr>
                  <w:r w:rsidRPr="00305E0F">
                    <w:rPr>
                      <w:lang w:val="en-GB"/>
                    </w:rPr>
                    <w:t>Sub-factor: legal and regulatory risks</w:t>
                  </w:r>
                </w:p>
              </w:tc>
            </w:tr>
          </w:tbl>
          <w:p w14:paraId="2270986B" w14:textId="77777777" w:rsidR="00636A4B" w:rsidRPr="00305E0F" w:rsidRDefault="00636A4B" w:rsidP="00636A4B">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4941384" w14:textId="45863A2E" w:rsidR="00636A4B" w:rsidRPr="00305E0F" w:rsidRDefault="00636A4B" w:rsidP="00636A4B">
            <w:pPr>
              <w:pStyle w:val="P68B1DB1-Normal27"/>
              <w:spacing w:before="60" w:after="60" w:line="240" w:lineRule="auto"/>
              <w:rPr>
                <w:lang w:val="en-GB"/>
              </w:rPr>
            </w:pPr>
            <w:r w:rsidRPr="00305E0F">
              <w:rPr>
                <w:lang w:val="en-GB"/>
              </w:rPr>
              <w:t>Jurisdiction is favourable to repossession and enforcement of contracts.</w:t>
            </w:r>
          </w:p>
        </w:tc>
        <w:tc>
          <w:tcPr>
            <w:tcW w:w="0" w:type="auto"/>
            <w:tcBorders>
              <w:top w:val="single" w:sz="6" w:space="0" w:color="000000"/>
              <w:left w:val="single" w:sz="6" w:space="0" w:color="000000"/>
              <w:bottom w:val="single" w:sz="6" w:space="0" w:color="000000"/>
              <w:right w:val="single" w:sz="6" w:space="0" w:color="000000"/>
            </w:tcBorders>
            <w:hideMark/>
          </w:tcPr>
          <w:p w14:paraId="4FBD9634" w14:textId="520B61AC" w:rsidR="00636A4B" w:rsidRPr="00305E0F" w:rsidRDefault="00636A4B" w:rsidP="00636A4B">
            <w:pPr>
              <w:pStyle w:val="P68B1DB1-Normal27"/>
              <w:spacing w:before="60" w:after="60" w:line="240" w:lineRule="auto"/>
              <w:rPr>
                <w:lang w:val="en-GB"/>
              </w:rPr>
            </w:pPr>
            <w:r w:rsidRPr="00305E0F">
              <w:rPr>
                <w:lang w:val="en-GB"/>
              </w:rPr>
              <w:t>Jurisdiction is favourable to repossession and enforcement of contracts.</w:t>
            </w:r>
          </w:p>
        </w:tc>
        <w:tc>
          <w:tcPr>
            <w:tcW w:w="0" w:type="auto"/>
            <w:tcBorders>
              <w:top w:val="single" w:sz="6" w:space="0" w:color="000000"/>
              <w:left w:val="single" w:sz="6" w:space="0" w:color="000000"/>
              <w:bottom w:val="single" w:sz="6" w:space="0" w:color="000000"/>
              <w:right w:val="single" w:sz="6" w:space="0" w:color="000000"/>
            </w:tcBorders>
            <w:hideMark/>
          </w:tcPr>
          <w:p w14:paraId="37382E45" w14:textId="679DE618" w:rsidR="00636A4B" w:rsidRPr="00305E0F" w:rsidRDefault="00636A4B" w:rsidP="00636A4B">
            <w:pPr>
              <w:pStyle w:val="P68B1DB1-Normal27"/>
              <w:spacing w:before="60" w:after="60" w:line="240" w:lineRule="auto"/>
              <w:rPr>
                <w:lang w:val="en-GB"/>
              </w:rPr>
            </w:pPr>
            <w:r w:rsidRPr="00305E0F">
              <w:rPr>
                <w:lang w:val="en-GB"/>
              </w:rPr>
              <w:t>Jurisdiction is generally favourable to repossession and enforcement of contracts, even if repossession might be long and/or difficult.</w:t>
            </w:r>
          </w:p>
        </w:tc>
        <w:tc>
          <w:tcPr>
            <w:tcW w:w="0" w:type="auto"/>
            <w:tcBorders>
              <w:top w:val="single" w:sz="6" w:space="0" w:color="000000"/>
              <w:left w:val="single" w:sz="6" w:space="0" w:color="000000"/>
              <w:bottom w:val="single" w:sz="6" w:space="0" w:color="000000"/>
              <w:right w:val="single" w:sz="6" w:space="0" w:color="000000"/>
            </w:tcBorders>
            <w:hideMark/>
          </w:tcPr>
          <w:p w14:paraId="0153DDB2" w14:textId="6B925FCE" w:rsidR="00636A4B" w:rsidRPr="00305E0F" w:rsidRDefault="00636A4B" w:rsidP="00636A4B">
            <w:pPr>
              <w:pStyle w:val="P68B1DB1-Normal27"/>
              <w:spacing w:before="60" w:after="60" w:line="240" w:lineRule="auto"/>
              <w:rPr>
                <w:lang w:val="en-GB"/>
              </w:rPr>
            </w:pPr>
            <w:r w:rsidRPr="00305E0F">
              <w:rPr>
                <w:lang w:val="en-GB"/>
              </w:rPr>
              <w:t>Poor or unstable legal and regulatory environment. Jurisdiction may make repossession and enforcement of contracts lengthy or impossible.</w:t>
            </w:r>
          </w:p>
        </w:tc>
      </w:tr>
      <w:tr w:rsidR="00305E0F" w:rsidRPr="00305E0F" w14:paraId="6D860F9E"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415"/>
            </w:tblGrid>
            <w:tr w:rsidR="00305E0F" w:rsidRPr="00305E0F" w14:paraId="5B2CEBDD" w14:textId="77777777">
              <w:tc>
                <w:tcPr>
                  <w:tcW w:w="0" w:type="auto"/>
                  <w:hideMark/>
                </w:tcPr>
                <w:p w14:paraId="2571407B" w14:textId="74141223" w:rsidR="00636A4B" w:rsidRPr="00305E0F" w:rsidRDefault="00636A4B" w:rsidP="00636A4B">
                  <w:pPr>
                    <w:pStyle w:val="P68B1DB1-Normal5"/>
                    <w:spacing w:before="120" w:after="0" w:line="240" w:lineRule="auto"/>
                    <w:jc w:val="both"/>
                    <w:rPr>
                      <w:lang w:val="en-GB"/>
                    </w:rPr>
                  </w:pPr>
                  <w:r w:rsidRPr="00305E0F">
                    <w:rPr>
                      <w:lang w:val="en-GB"/>
                    </w:rPr>
                    <w:t>2.</w:t>
                  </w:r>
                </w:p>
              </w:tc>
              <w:tc>
                <w:tcPr>
                  <w:tcW w:w="0" w:type="auto"/>
                  <w:hideMark/>
                </w:tcPr>
                <w:p w14:paraId="04C380B2" w14:textId="095662CD" w:rsidR="00636A4B" w:rsidRPr="00305E0F" w:rsidRDefault="00636A4B" w:rsidP="00636A4B">
                  <w:pPr>
                    <w:pStyle w:val="P68B1DB1-Normal5"/>
                    <w:spacing w:before="120" w:after="0" w:line="240" w:lineRule="auto"/>
                    <w:ind w:right="28"/>
                    <w:rPr>
                      <w:lang w:val="en-GB"/>
                    </w:rPr>
                  </w:pPr>
                  <w:r w:rsidRPr="00305E0F">
                    <w:rPr>
                      <w:lang w:val="en-GB"/>
                    </w:rPr>
                    <w:t>Sub-factor: political risk, including transfer risk, considering object type and mitigants</w:t>
                  </w:r>
                </w:p>
              </w:tc>
            </w:tr>
          </w:tbl>
          <w:p w14:paraId="65617282" w14:textId="77777777" w:rsidR="00636A4B" w:rsidRPr="00305E0F" w:rsidRDefault="00636A4B" w:rsidP="00636A4B">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672D910" w14:textId="1F2255CD" w:rsidR="00636A4B" w:rsidRPr="00305E0F" w:rsidRDefault="00636A4B" w:rsidP="00636A4B">
            <w:pPr>
              <w:pStyle w:val="P68B1DB1-Normal27"/>
              <w:spacing w:before="60" w:after="60" w:line="240" w:lineRule="auto"/>
              <w:rPr>
                <w:lang w:val="en-GB"/>
              </w:rPr>
            </w:pPr>
            <w:r w:rsidRPr="00305E0F">
              <w:rPr>
                <w:lang w:val="en-GB"/>
              </w:rPr>
              <w:t>Very low exposure; strong mitigation instruments, if needed</w:t>
            </w:r>
          </w:p>
        </w:tc>
        <w:tc>
          <w:tcPr>
            <w:tcW w:w="0" w:type="auto"/>
            <w:tcBorders>
              <w:top w:val="single" w:sz="6" w:space="0" w:color="000000"/>
              <w:left w:val="single" w:sz="6" w:space="0" w:color="000000"/>
              <w:bottom w:val="single" w:sz="6" w:space="0" w:color="000000"/>
              <w:right w:val="single" w:sz="6" w:space="0" w:color="000000"/>
            </w:tcBorders>
            <w:hideMark/>
          </w:tcPr>
          <w:p w14:paraId="5EFE33F8" w14:textId="24775675" w:rsidR="00636A4B" w:rsidRPr="00305E0F" w:rsidRDefault="00636A4B" w:rsidP="00636A4B">
            <w:pPr>
              <w:pStyle w:val="P68B1DB1-Normal27"/>
              <w:spacing w:before="60" w:after="60" w:line="240" w:lineRule="auto"/>
              <w:rPr>
                <w:lang w:val="en-GB"/>
              </w:rPr>
            </w:pPr>
            <w:r w:rsidRPr="00305E0F">
              <w:rPr>
                <w:lang w:val="en-GB"/>
              </w:rPr>
              <w:t>Low exposure; satisfactory mitigation instruments, if needed</w:t>
            </w:r>
          </w:p>
        </w:tc>
        <w:tc>
          <w:tcPr>
            <w:tcW w:w="0" w:type="auto"/>
            <w:tcBorders>
              <w:top w:val="single" w:sz="6" w:space="0" w:color="000000"/>
              <w:left w:val="single" w:sz="6" w:space="0" w:color="000000"/>
              <w:bottom w:val="single" w:sz="6" w:space="0" w:color="000000"/>
              <w:right w:val="single" w:sz="6" w:space="0" w:color="000000"/>
            </w:tcBorders>
            <w:hideMark/>
          </w:tcPr>
          <w:p w14:paraId="591CA648" w14:textId="5914CFDD" w:rsidR="00636A4B" w:rsidRPr="00305E0F" w:rsidRDefault="00636A4B" w:rsidP="00636A4B">
            <w:pPr>
              <w:pStyle w:val="P68B1DB1-Normal27"/>
              <w:spacing w:before="60" w:after="60" w:line="240" w:lineRule="auto"/>
              <w:rPr>
                <w:lang w:val="en-GB"/>
              </w:rPr>
            </w:pPr>
            <w:r w:rsidRPr="00305E0F">
              <w:rPr>
                <w:lang w:val="en-GB"/>
              </w:rPr>
              <w:t>Moderate exposure; fair mitigation instruments</w:t>
            </w:r>
          </w:p>
        </w:tc>
        <w:tc>
          <w:tcPr>
            <w:tcW w:w="0" w:type="auto"/>
            <w:tcBorders>
              <w:top w:val="single" w:sz="6" w:space="0" w:color="000000"/>
              <w:left w:val="single" w:sz="6" w:space="0" w:color="000000"/>
              <w:bottom w:val="single" w:sz="6" w:space="0" w:color="000000"/>
              <w:right w:val="single" w:sz="6" w:space="0" w:color="000000"/>
            </w:tcBorders>
            <w:hideMark/>
          </w:tcPr>
          <w:p w14:paraId="3B23F54B" w14:textId="1050532D" w:rsidR="00636A4B" w:rsidRPr="00305E0F" w:rsidRDefault="00636A4B" w:rsidP="00636A4B">
            <w:pPr>
              <w:pStyle w:val="P68B1DB1-Normal27"/>
              <w:spacing w:before="60" w:after="60" w:line="240" w:lineRule="auto"/>
              <w:rPr>
                <w:lang w:val="en-GB"/>
              </w:rPr>
            </w:pPr>
            <w:r w:rsidRPr="00305E0F">
              <w:rPr>
                <w:lang w:val="en-GB"/>
              </w:rPr>
              <w:t>High exposure; no or weak mitigation instruments</w:t>
            </w:r>
          </w:p>
        </w:tc>
      </w:tr>
      <w:tr w:rsidR="00305E0F" w:rsidRPr="00305E0F" w14:paraId="0F634850" w14:textId="77777777">
        <w:tc>
          <w:tcPr>
            <w:tcW w:w="0" w:type="auto"/>
            <w:tcBorders>
              <w:top w:val="single" w:sz="6" w:space="0" w:color="000000"/>
              <w:left w:val="single" w:sz="6" w:space="0" w:color="000000"/>
              <w:bottom w:val="single" w:sz="6" w:space="0" w:color="000000"/>
              <w:right w:val="single" w:sz="6" w:space="0" w:color="000000"/>
            </w:tcBorders>
            <w:hideMark/>
          </w:tcPr>
          <w:p w14:paraId="538DFEC2" w14:textId="77777777" w:rsidR="00EB0050" w:rsidRPr="00305E0F" w:rsidRDefault="00B02122">
            <w:pPr>
              <w:pStyle w:val="P68B1DB1-Normal26"/>
              <w:spacing w:before="60" w:after="60" w:line="240" w:lineRule="auto"/>
              <w:rPr>
                <w:bCs/>
                <w:lang w:val="en-GB"/>
              </w:rPr>
            </w:pPr>
            <w:r w:rsidRPr="00305E0F">
              <w:rPr>
                <w:lang w:val="en-GB"/>
              </w:rPr>
              <w:t xml:space="preserve">Factor: </w:t>
            </w:r>
          </w:p>
          <w:p w14:paraId="4B120447" w14:textId="38D0D47B" w:rsidR="00EB0050" w:rsidRPr="00305E0F" w:rsidRDefault="00636A4B">
            <w:pPr>
              <w:pStyle w:val="P68B1DB1-Normal26"/>
              <w:spacing w:before="60" w:after="60" w:line="240" w:lineRule="auto"/>
              <w:rPr>
                <w:lang w:val="en-GB"/>
              </w:rPr>
            </w:pPr>
            <w:r w:rsidRPr="00305E0F">
              <w:rPr>
                <w:bCs/>
                <w:lang w:val="en-GB"/>
              </w:rPr>
              <w:t>transaction characteristics</w:t>
            </w:r>
          </w:p>
        </w:tc>
        <w:tc>
          <w:tcPr>
            <w:tcW w:w="0" w:type="auto"/>
            <w:tcBorders>
              <w:top w:val="single" w:sz="6" w:space="0" w:color="000000"/>
              <w:left w:val="single" w:sz="6" w:space="0" w:color="000000"/>
              <w:bottom w:val="single" w:sz="6" w:space="0" w:color="000000"/>
              <w:right w:val="single" w:sz="6" w:space="0" w:color="000000"/>
            </w:tcBorders>
            <w:hideMark/>
          </w:tcPr>
          <w:p w14:paraId="0D3AF695"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A125CFD"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D862BDB"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F4D3126"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280235C2"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415"/>
            </w:tblGrid>
            <w:tr w:rsidR="00305E0F" w:rsidRPr="00305E0F" w14:paraId="3D6192B2" w14:textId="77777777">
              <w:trPr>
                <w:trHeight w:val="396"/>
              </w:trPr>
              <w:tc>
                <w:tcPr>
                  <w:tcW w:w="0" w:type="auto"/>
                  <w:hideMark/>
                </w:tcPr>
                <w:p w14:paraId="6ED9DFCE" w14:textId="2F114F9B" w:rsidR="00636A4B" w:rsidRPr="00305E0F" w:rsidRDefault="00636A4B" w:rsidP="00636A4B">
                  <w:pPr>
                    <w:pStyle w:val="P68B1DB1-Normal5"/>
                    <w:spacing w:before="120" w:after="0" w:line="240" w:lineRule="auto"/>
                    <w:jc w:val="both"/>
                    <w:rPr>
                      <w:lang w:val="en-GB"/>
                    </w:rPr>
                  </w:pPr>
                  <w:r w:rsidRPr="00305E0F">
                    <w:rPr>
                      <w:lang w:val="en-GB"/>
                    </w:rPr>
                    <w:t>1.</w:t>
                  </w:r>
                </w:p>
              </w:tc>
              <w:tc>
                <w:tcPr>
                  <w:tcW w:w="0" w:type="auto"/>
                  <w:hideMark/>
                </w:tcPr>
                <w:p w14:paraId="376BCB43" w14:textId="30948534" w:rsidR="00636A4B" w:rsidRPr="00305E0F" w:rsidRDefault="00636A4B" w:rsidP="00636A4B">
                  <w:pPr>
                    <w:pStyle w:val="P68B1DB1-Normal5"/>
                    <w:spacing w:before="120" w:after="0" w:line="240" w:lineRule="auto"/>
                    <w:rPr>
                      <w:lang w:val="en-GB"/>
                    </w:rPr>
                  </w:pPr>
                  <w:r w:rsidRPr="00305E0F">
                    <w:rPr>
                      <w:lang w:val="en-GB"/>
                    </w:rPr>
                    <w:t>Sub-factor: amortisation schedule</w:t>
                  </w:r>
                </w:p>
              </w:tc>
            </w:tr>
          </w:tbl>
          <w:p w14:paraId="634589D5" w14:textId="77777777" w:rsidR="00636A4B" w:rsidRPr="00305E0F" w:rsidRDefault="00636A4B" w:rsidP="00636A4B">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7DC5A20B" w14:textId="25237811" w:rsidR="00636A4B" w:rsidRPr="00305E0F" w:rsidRDefault="00636A4B" w:rsidP="00636A4B">
            <w:pPr>
              <w:pStyle w:val="P68B1DB1-Normal27"/>
              <w:spacing w:before="60" w:after="60" w:line="240" w:lineRule="auto"/>
              <w:rPr>
                <w:lang w:val="en-GB"/>
              </w:rPr>
            </w:pPr>
            <w:r w:rsidRPr="00305E0F">
              <w:rPr>
                <w:lang w:val="en-GB"/>
              </w:rPr>
              <w:t>Amortising debt without bullet repayment</w:t>
            </w:r>
          </w:p>
        </w:tc>
        <w:tc>
          <w:tcPr>
            <w:tcW w:w="0" w:type="auto"/>
            <w:tcBorders>
              <w:top w:val="single" w:sz="6" w:space="0" w:color="000000"/>
              <w:left w:val="single" w:sz="6" w:space="0" w:color="000000"/>
              <w:bottom w:val="single" w:sz="6" w:space="0" w:color="000000"/>
              <w:right w:val="single" w:sz="6" w:space="0" w:color="000000"/>
            </w:tcBorders>
            <w:hideMark/>
          </w:tcPr>
          <w:p w14:paraId="21E66EE4" w14:textId="16BF6DB5" w:rsidR="00636A4B" w:rsidRPr="00305E0F" w:rsidRDefault="00636A4B" w:rsidP="00636A4B">
            <w:pPr>
              <w:pStyle w:val="P68B1DB1-Normal27"/>
              <w:spacing w:before="60" w:after="60" w:line="240" w:lineRule="auto"/>
              <w:rPr>
                <w:lang w:val="en-GB"/>
              </w:rPr>
            </w:pPr>
            <w:r w:rsidRPr="00305E0F">
              <w:rPr>
                <w:lang w:val="en-GB"/>
              </w:rPr>
              <w:t>Amortising debt with no or insignificant bullet repayment</w:t>
            </w:r>
          </w:p>
        </w:tc>
        <w:tc>
          <w:tcPr>
            <w:tcW w:w="0" w:type="auto"/>
            <w:tcBorders>
              <w:top w:val="single" w:sz="6" w:space="0" w:color="000000"/>
              <w:left w:val="single" w:sz="6" w:space="0" w:color="000000"/>
              <w:bottom w:val="single" w:sz="6" w:space="0" w:color="000000"/>
              <w:right w:val="single" w:sz="6" w:space="0" w:color="000000"/>
            </w:tcBorders>
            <w:hideMark/>
          </w:tcPr>
          <w:p w14:paraId="2038F413" w14:textId="68D514DD" w:rsidR="00636A4B" w:rsidRPr="00305E0F" w:rsidRDefault="00636A4B" w:rsidP="00636A4B">
            <w:pPr>
              <w:pStyle w:val="P68B1DB1-Normal27"/>
              <w:spacing w:before="60" w:after="60" w:line="240" w:lineRule="auto"/>
              <w:rPr>
                <w:lang w:val="en-GB"/>
              </w:rPr>
            </w:pPr>
            <w:r w:rsidRPr="00305E0F">
              <w:rPr>
                <w:lang w:val="en-GB"/>
              </w:rPr>
              <w:t>Amortising debt repayments with limited bullet payment</w:t>
            </w:r>
          </w:p>
        </w:tc>
        <w:tc>
          <w:tcPr>
            <w:tcW w:w="0" w:type="auto"/>
            <w:tcBorders>
              <w:top w:val="single" w:sz="6" w:space="0" w:color="000000"/>
              <w:left w:val="single" w:sz="6" w:space="0" w:color="000000"/>
              <w:bottom w:val="single" w:sz="6" w:space="0" w:color="000000"/>
              <w:right w:val="single" w:sz="6" w:space="0" w:color="000000"/>
            </w:tcBorders>
            <w:hideMark/>
          </w:tcPr>
          <w:p w14:paraId="43F84F2C" w14:textId="5DEF4C62" w:rsidR="00636A4B" w:rsidRPr="00305E0F" w:rsidRDefault="00636A4B" w:rsidP="00636A4B">
            <w:pPr>
              <w:pStyle w:val="P68B1DB1-Normal27"/>
              <w:spacing w:before="60" w:after="60" w:line="240" w:lineRule="auto"/>
              <w:rPr>
                <w:lang w:val="en-GB"/>
              </w:rPr>
            </w:pPr>
            <w:r w:rsidRPr="00305E0F">
              <w:rPr>
                <w:lang w:val="en-GB"/>
              </w:rPr>
              <w:t>Bullet repayment or amortising debt repayments with high bullet repayment</w:t>
            </w:r>
          </w:p>
        </w:tc>
      </w:tr>
      <w:tr w:rsidR="00305E0F" w:rsidRPr="00305E0F" w14:paraId="0A896A4A"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415"/>
            </w:tblGrid>
            <w:tr w:rsidR="00305E0F" w:rsidRPr="00305E0F" w14:paraId="7244999E" w14:textId="77777777">
              <w:tc>
                <w:tcPr>
                  <w:tcW w:w="0" w:type="auto"/>
                  <w:hideMark/>
                </w:tcPr>
                <w:p w14:paraId="77D52718" w14:textId="057CC3CD" w:rsidR="00636A4B" w:rsidRPr="00305E0F" w:rsidRDefault="00636A4B" w:rsidP="00636A4B">
                  <w:pPr>
                    <w:pStyle w:val="P68B1DB1-Normal5"/>
                    <w:spacing w:before="120" w:after="0" w:line="240" w:lineRule="auto"/>
                    <w:jc w:val="both"/>
                    <w:rPr>
                      <w:lang w:val="en-GB"/>
                    </w:rPr>
                  </w:pPr>
                  <w:r w:rsidRPr="00305E0F">
                    <w:rPr>
                      <w:lang w:val="en-GB"/>
                    </w:rPr>
                    <w:t>2.</w:t>
                  </w:r>
                </w:p>
              </w:tc>
              <w:tc>
                <w:tcPr>
                  <w:tcW w:w="0" w:type="auto"/>
                  <w:hideMark/>
                </w:tcPr>
                <w:p w14:paraId="4749B8D5" w14:textId="2FE8C1A1" w:rsidR="00636A4B" w:rsidRPr="00305E0F" w:rsidRDefault="00636A4B" w:rsidP="00636A4B">
                  <w:pPr>
                    <w:pStyle w:val="P68B1DB1-Normal5"/>
                    <w:spacing w:before="120" w:after="0" w:line="240" w:lineRule="auto"/>
                    <w:rPr>
                      <w:lang w:val="en-GB"/>
                    </w:rPr>
                  </w:pPr>
                  <w:r w:rsidRPr="00305E0F">
                    <w:rPr>
                      <w:lang w:val="en-GB"/>
                    </w:rPr>
                    <w:t>Sub-factor: market/cycle and refinancing risk</w:t>
                  </w:r>
                </w:p>
              </w:tc>
            </w:tr>
          </w:tbl>
          <w:p w14:paraId="4CC64539" w14:textId="77777777" w:rsidR="00636A4B" w:rsidRPr="00305E0F" w:rsidRDefault="00636A4B" w:rsidP="00636A4B">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96BB818" w14:textId="6983F2DC" w:rsidR="00636A4B" w:rsidRPr="00305E0F" w:rsidRDefault="00636A4B" w:rsidP="00636A4B">
            <w:pPr>
              <w:pStyle w:val="oj-tbl-txt"/>
              <w:spacing w:before="60" w:beforeAutospacing="0" w:after="60" w:afterAutospacing="0"/>
              <w:rPr>
                <w:sz w:val="22"/>
                <w:szCs w:val="22"/>
                <w:lang w:val="en-GB"/>
              </w:rPr>
            </w:pPr>
            <w:r w:rsidRPr="00305E0F">
              <w:rPr>
                <w:sz w:val="22"/>
                <w:szCs w:val="22"/>
                <w:lang w:val="en-GB"/>
              </w:rPr>
              <w:t>There is no or very limited exposure to market or cycle risk since the expected cashflows cover all future loan repayments during the tenor of the loan and there are no significant delays between the cashflows and the loan repayments.</w:t>
            </w:r>
          </w:p>
          <w:p w14:paraId="4336C3B4" w14:textId="6482695A" w:rsidR="00636A4B" w:rsidRPr="00305E0F" w:rsidRDefault="00636A4B" w:rsidP="00636A4B">
            <w:pPr>
              <w:pStyle w:val="P68B1DB1-Normal27"/>
              <w:spacing w:before="60" w:after="60" w:line="240" w:lineRule="auto"/>
              <w:rPr>
                <w:lang w:val="en-GB"/>
              </w:rPr>
            </w:pPr>
            <w:r w:rsidRPr="00305E0F">
              <w:rPr>
                <w:lang w:val="en-GB"/>
              </w:rPr>
              <w:t>There is no or very low refinancing risk.</w:t>
            </w:r>
          </w:p>
        </w:tc>
        <w:tc>
          <w:tcPr>
            <w:tcW w:w="0" w:type="auto"/>
            <w:tcBorders>
              <w:top w:val="single" w:sz="6" w:space="0" w:color="000000"/>
              <w:left w:val="single" w:sz="6" w:space="0" w:color="000000"/>
              <w:bottom w:val="single" w:sz="6" w:space="0" w:color="000000"/>
              <w:right w:val="single" w:sz="6" w:space="0" w:color="000000"/>
            </w:tcBorders>
            <w:hideMark/>
          </w:tcPr>
          <w:p w14:paraId="67E9AB36" w14:textId="77777777" w:rsidR="00636A4B" w:rsidRPr="00305E0F" w:rsidRDefault="00636A4B" w:rsidP="00636A4B">
            <w:pPr>
              <w:pStyle w:val="oj-tbl-txt"/>
              <w:spacing w:before="60" w:beforeAutospacing="0" w:after="60" w:afterAutospacing="0"/>
              <w:rPr>
                <w:sz w:val="22"/>
                <w:szCs w:val="22"/>
                <w:lang w:val="en-GB"/>
              </w:rPr>
            </w:pPr>
            <w:r w:rsidRPr="00305E0F">
              <w:rPr>
                <w:sz w:val="22"/>
                <w:szCs w:val="22"/>
                <w:lang w:val="en-GB"/>
              </w:rPr>
              <w:t>The exposure to market or cycle risk is limited since the expected cashflows cover the majority of future loan repayments during the tenor of the loan and there are no significant delays between the cashflows and the loan repayments.</w:t>
            </w:r>
          </w:p>
          <w:p w14:paraId="11D8767D" w14:textId="0A5A2BBC" w:rsidR="00636A4B" w:rsidRPr="00305E0F" w:rsidRDefault="00636A4B" w:rsidP="00636A4B">
            <w:pPr>
              <w:pStyle w:val="P68B1DB1-Normal27"/>
              <w:spacing w:before="60" w:after="60" w:line="240" w:lineRule="auto"/>
              <w:rPr>
                <w:lang w:val="en-GB"/>
              </w:rPr>
            </w:pPr>
            <w:r w:rsidRPr="00305E0F">
              <w:rPr>
                <w:lang w:val="en-GB"/>
              </w:rPr>
              <w:t>There is low refinancing risk.</w:t>
            </w:r>
          </w:p>
        </w:tc>
        <w:tc>
          <w:tcPr>
            <w:tcW w:w="0" w:type="auto"/>
            <w:tcBorders>
              <w:top w:val="single" w:sz="6" w:space="0" w:color="000000"/>
              <w:left w:val="single" w:sz="6" w:space="0" w:color="000000"/>
              <w:bottom w:val="single" w:sz="6" w:space="0" w:color="000000"/>
              <w:right w:val="single" w:sz="6" w:space="0" w:color="000000"/>
            </w:tcBorders>
            <w:hideMark/>
          </w:tcPr>
          <w:p w14:paraId="511B69F0" w14:textId="77777777" w:rsidR="00636A4B" w:rsidRPr="00305E0F" w:rsidRDefault="00636A4B" w:rsidP="00636A4B">
            <w:pPr>
              <w:pStyle w:val="oj-tbl-txt"/>
              <w:spacing w:before="60" w:beforeAutospacing="0" w:after="60" w:afterAutospacing="0"/>
              <w:rPr>
                <w:sz w:val="22"/>
                <w:szCs w:val="22"/>
                <w:lang w:val="en-GB"/>
              </w:rPr>
            </w:pPr>
            <w:r w:rsidRPr="00305E0F">
              <w:rPr>
                <w:sz w:val="22"/>
                <w:szCs w:val="22"/>
                <w:lang w:val="en-GB"/>
              </w:rPr>
              <w:t>There is moderate exposure to market or cycle risk since the expected cashflows cover only a part of future loan repayments during the tenor of the loan or there are some significant delays between the cashflows and the loan repayments.</w:t>
            </w:r>
          </w:p>
          <w:p w14:paraId="7E8A14E8" w14:textId="23BBFFB2" w:rsidR="00636A4B" w:rsidRPr="00305E0F" w:rsidRDefault="00636A4B" w:rsidP="00636A4B">
            <w:pPr>
              <w:pStyle w:val="P68B1DB1-Normal27"/>
              <w:spacing w:before="60" w:after="60" w:line="240" w:lineRule="auto"/>
              <w:rPr>
                <w:lang w:val="en-GB"/>
              </w:rPr>
            </w:pPr>
            <w:r w:rsidRPr="00305E0F">
              <w:rPr>
                <w:lang w:val="en-GB"/>
              </w:rPr>
              <w:t>Average refinancing risk.</w:t>
            </w:r>
          </w:p>
        </w:tc>
        <w:tc>
          <w:tcPr>
            <w:tcW w:w="0" w:type="auto"/>
            <w:tcBorders>
              <w:top w:val="single" w:sz="6" w:space="0" w:color="000000"/>
              <w:left w:val="single" w:sz="6" w:space="0" w:color="000000"/>
              <w:bottom w:val="single" w:sz="6" w:space="0" w:color="000000"/>
              <w:right w:val="single" w:sz="6" w:space="0" w:color="000000"/>
            </w:tcBorders>
            <w:hideMark/>
          </w:tcPr>
          <w:p w14:paraId="6CC03F43" w14:textId="77777777" w:rsidR="00636A4B" w:rsidRPr="00305E0F" w:rsidRDefault="00636A4B" w:rsidP="00636A4B">
            <w:pPr>
              <w:pStyle w:val="oj-tbl-txt"/>
              <w:spacing w:before="60" w:beforeAutospacing="0" w:after="60" w:afterAutospacing="0"/>
              <w:rPr>
                <w:sz w:val="22"/>
                <w:szCs w:val="22"/>
                <w:lang w:val="en-GB"/>
              </w:rPr>
            </w:pPr>
            <w:r w:rsidRPr="00305E0F">
              <w:rPr>
                <w:sz w:val="22"/>
                <w:szCs w:val="22"/>
                <w:lang w:val="en-GB"/>
              </w:rPr>
              <w:t>There is significant exposure to market or cycle risk since the expected cashflows cover only a small part of future loan repayments during the tenor of the loan or there are some significant delays between the cashflows and the loan repayments.</w:t>
            </w:r>
          </w:p>
          <w:p w14:paraId="4815E1EF" w14:textId="2647EC0C" w:rsidR="00636A4B" w:rsidRPr="00305E0F" w:rsidRDefault="00636A4B" w:rsidP="00636A4B">
            <w:pPr>
              <w:pStyle w:val="P68B1DB1-Normal27"/>
              <w:spacing w:before="60" w:after="60" w:line="240" w:lineRule="auto"/>
              <w:rPr>
                <w:lang w:val="en-GB"/>
              </w:rPr>
            </w:pPr>
            <w:r w:rsidRPr="00305E0F">
              <w:rPr>
                <w:lang w:val="en-GB"/>
              </w:rPr>
              <w:t>High refinancing risk.</w:t>
            </w:r>
          </w:p>
        </w:tc>
      </w:tr>
      <w:tr w:rsidR="00305E0F" w:rsidRPr="00305E0F" w14:paraId="5DA0B744"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415"/>
            </w:tblGrid>
            <w:tr w:rsidR="00305E0F" w:rsidRPr="00305E0F" w14:paraId="40660904" w14:textId="77777777">
              <w:tc>
                <w:tcPr>
                  <w:tcW w:w="0" w:type="auto"/>
                  <w:hideMark/>
                </w:tcPr>
                <w:p w14:paraId="54BF51E7" w14:textId="51B291BB" w:rsidR="00EB0050" w:rsidRPr="00305E0F" w:rsidRDefault="00B02122">
                  <w:pPr>
                    <w:pStyle w:val="P68B1DB1-Normal5"/>
                    <w:spacing w:before="120" w:after="0" w:line="240" w:lineRule="auto"/>
                    <w:jc w:val="both"/>
                    <w:rPr>
                      <w:lang w:val="en-GB"/>
                    </w:rPr>
                  </w:pPr>
                  <w:r w:rsidRPr="00305E0F">
                    <w:rPr>
                      <w:lang w:val="en-GB"/>
                    </w:rPr>
                    <w:t>3.</w:t>
                  </w:r>
                </w:p>
              </w:tc>
              <w:tc>
                <w:tcPr>
                  <w:tcW w:w="0" w:type="auto"/>
                  <w:hideMark/>
                </w:tcPr>
                <w:p w14:paraId="4AB5ED86" w14:textId="7212CB6D" w:rsidR="00EB0050" w:rsidRPr="00305E0F" w:rsidRDefault="00B02122">
                  <w:pPr>
                    <w:pStyle w:val="P68B1DB1-Normal5"/>
                    <w:spacing w:before="120" w:after="0" w:line="240" w:lineRule="auto"/>
                    <w:rPr>
                      <w:lang w:val="en-GB"/>
                    </w:rPr>
                  </w:pPr>
                  <w:r w:rsidRPr="00305E0F">
                    <w:rPr>
                      <w:lang w:val="en-GB"/>
                    </w:rPr>
                    <w:t>Sub-factor: operatin</w:t>
                  </w:r>
                  <w:r w:rsidR="00636A4B" w:rsidRPr="00305E0F">
                    <w:rPr>
                      <w:lang w:val="en-GB"/>
                    </w:rPr>
                    <w:t xml:space="preserve">g </w:t>
                  </w:r>
                  <w:r w:rsidRPr="00305E0F">
                    <w:rPr>
                      <w:lang w:val="en-GB"/>
                    </w:rPr>
                    <w:t>risk</w:t>
                  </w:r>
                </w:p>
              </w:tc>
            </w:tr>
          </w:tbl>
          <w:p w14:paraId="2574C867" w14:textId="77777777" w:rsidR="00EB0050" w:rsidRPr="00305E0F" w:rsidRDefault="00EB0050">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0C38EB1E"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EA08D40"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057C8A8"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2B9D156"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0BD7D2B6"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89"/>
            </w:tblGrid>
            <w:tr w:rsidR="00305E0F" w:rsidRPr="00305E0F" w14:paraId="0D3D83BE" w14:textId="77777777">
              <w:tc>
                <w:tcPr>
                  <w:tcW w:w="0" w:type="auto"/>
                  <w:hideMark/>
                </w:tcPr>
                <w:p w14:paraId="79A3A29C" w14:textId="4A8D8E7F" w:rsidR="00636A4B" w:rsidRPr="00305E0F" w:rsidRDefault="00636A4B" w:rsidP="00636A4B">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15A244FE" w14:textId="6D483E3D" w:rsidR="00636A4B" w:rsidRPr="00305E0F" w:rsidRDefault="00636A4B" w:rsidP="00636A4B">
                  <w:pPr>
                    <w:pStyle w:val="P68B1DB1-Normal5"/>
                    <w:spacing w:before="120" w:after="0" w:line="240" w:lineRule="auto"/>
                    <w:rPr>
                      <w:lang w:val="en-GB"/>
                    </w:rPr>
                  </w:pPr>
                  <w:r w:rsidRPr="00305E0F">
                    <w:rPr>
                      <w:lang w:val="en-GB"/>
                    </w:rPr>
                    <w:t>3.1.</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Permits/licensing (sub-factor component)</w:t>
                  </w:r>
                </w:p>
              </w:tc>
            </w:tr>
          </w:tbl>
          <w:p w14:paraId="0BF3BDBC" w14:textId="77777777" w:rsidR="00636A4B" w:rsidRPr="00305E0F" w:rsidRDefault="00636A4B" w:rsidP="00636A4B">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20C28122" w14:textId="0CC136DD" w:rsidR="00636A4B" w:rsidRPr="00305E0F" w:rsidRDefault="00636A4B" w:rsidP="00636A4B">
            <w:pPr>
              <w:pStyle w:val="P68B1DB1-Normal27"/>
              <w:spacing w:before="60" w:after="60" w:line="240" w:lineRule="auto"/>
              <w:rPr>
                <w:lang w:val="en-GB"/>
              </w:rPr>
            </w:pPr>
            <w:r w:rsidRPr="00305E0F">
              <w:rPr>
                <w:lang w:val="en-GB"/>
              </w:rPr>
              <w:t>All permits have been obtained; asset meets current and foreseeable safety regulations.</w:t>
            </w:r>
          </w:p>
        </w:tc>
        <w:tc>
          <w:tcPr>
            <w:tcW w:w="0" w:type="auto"/>
            <w:tcBorders>
              <w:top w:val="single" w:sz="6" w:space="0" w:color="000000"/>
              <w:left w:val="single" w:sz="6" w:space="0" w:color="000000"/>
              <w:bottom w:val="single" w:sz="6" w:space="0" w:color="000000"/>
              <w:right w:val="single" w:sz="6" w:space="0" w:color="000000"/>
            </w:tcBorders>
            <w:hideMark/>
          </w:tcPr>
          <w:p w14:paraId="60E0B2CB" w14:textId="391BCC63" w:rsidR="00636A4B" w:rsidRPr="00305E0F" w:rsidRDefault="00636A4B" w:rsidP="00636A4B">
            <w:pPr>
              <w:pStyle w:val="P68B1DB1-Normal27"/>
              <w:spacing w:before="60" w:after="60" w:line="240" w:lineRule="auto"/>
              <w:rPr>
                <w:lang w:val="en-GB"/>
              </w:rPr>
            </w:pPr>
            <w:r w:rsidRPr="00305E0F">
              <w:rPr>
                <w:lang w:val="en-GB"/>
              </w:rPr>
              <w:t>All permits obtained or in the process of being obtained; asset meets current and foreseeable safety regulations.</w:t>
            </w:r>
          </w:p>
        </w:tc>
        <w:tc>
          <w:tcPr>
            <w:tcW w:w="0" w:type="auto"/>
            <w:tcBorders>
              <w:top w:val="single" w:sz="6" w:space="0" w:color="000000"/>
              <w:left w:val="single" w:sz="6" w:space="0" w:color="000000"/>
              <w:bottom w:val="single" w:sz="6" w:space="0" w:color="000000"/>
              <w:right w:val="single" w:sz="6" w:space="0" w:color="000000"/>
            </w:tcBorders>
            <w:hideMark/>
          </w:tcPr>
          <w:p w14:paraId="2737ED7D" w14:textId="1CDD9AF7" w:rsidR="00636A4B" w:rsidRPr="00305E0F" w:rsidRDefault="00636A4B" w:rsidP="00636A4B">
            <w:pPr>
              <w:pStyle w:val="P68B1DB1-Normal27"/>
              <w:spacing w:before="60" w:after="60" w:line="240" w:lineRule="auto"/>
              <w:rPr>
                <w:lang w:val="en-GB"/>
              </w:rPr>
            </w:pPr>
            <w:r w:rsidRPr="00305E0F">
              <w:rPr>
                <w:lang w:val="en-GB"/>
              </w:rPr>
              <w:t>Most permits obtained or in process of being obtained, outstanding ones considered routine, asset meets current safety regulations.</w:t>
            </w:r>
          </w:p>
        </w:tc>
        <w:tc>
          <w:tcPr>
            <w:tcW w:w="0" w:type="auto"/>
            <w:tcBorders>
              <w:top w:val="single" w:sz="6" w:space="0" w:color="000000"/>
              <w:left w:val="single" w:sz="6" w:space="0" w:color="000000"/>
              <w:bottom w:val="single" w:sz="6" w:space="0" w:color="000000"/>
              <w:right w:val="single" w:sz="6" w:space="0" w:color="000000"/>
            </w:tcBorders>
            <w:hideMark/>
          </w:tcPr>
          <w:p w14:paraId="279EA2C9" w14:textId="087CA23D" w:rsidR="00636A4B" w:rsidRPr="00305E0F" w:rsidRDefault="00636A4B" w:rsidP="00636A4B">
            <w:pPr>
              <w:pStyle w:val="P68B1DB1-Normal27"/>
              <w:spacing w:before="60" w:after="60" w:line="240" w:lineRule="auto"/>
              <w:rPr>
                <w:lang w:val="en-GB"/>
              </w:rPr>
            </w:pPr>
            <w:r w:rsidRPr="00305E0F">
              <w:rPr>
                <w:lang w:val="en-GB"/>
              </w:rPr>
              <w:t>Problems in obtaining all required permits, part of the planned configuration and/or planned operations might need to be revised.</w:t>
            </w:r>
          </w:p>
        </w:tc>
      </w:tr>
      <w:tr w:rsidR="00305E0F" w:rsidRPr="00305E0F" w14:paraId="02D06182"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89"/>
            </w:tblGrid>
            <w:tr w:rsidR="00305E0F" w:rsidRPr="00305E0F" w14:paraId="42DB9991" w14:textId="77777777">
              <w:tc>
                <w:tcPr>
                  <w:tcW w:w="0" w:type="auto"/>
                  <w:hideMark/>
                </w:tcPr>
                <w:p w14:paraId="71BB53DA" w14:textId="33A076A1" w:rsidR="00636A4B" w:rsidRPr="00305E0F" w:rsidRDefault="00636A4B" w:rsidP="00636A4B">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08C1EB14" w14:textId="603635E3" w:rsidR="00636A4B" w:rsidRPr="00305E0F" w:rsidRDefault="00636A4B" w:rsidP="00636A4B">
                  <w:pPr>
                    <w:pStyle w:val="P68B1DB1-Normal5"/>
                    <w:spacing w:before="120" w:after="0" w:line="240" w:lineRule="auto"/>
                    <w:rPr>
                      <w:lang w:val="en-GB"/>
                    </w:rPr>
                  </w:pPr>
                  <w:r w:rsidRPr="00305E0F">
                    <w:rPr>
                      <w:lang w:val="en-GB"/>
                    </w:rPr>
                    <w:t>3.2.Scope and nature of O &amp; M contracts (sub-factor component)</w:t>
                  </w:r>
                </w:p>
                <w:p w14:paraId="3A8CB3D4" w14:textId="2EBB79FF" w:rsidR="00636A4B" w:rsidRPr="00305E0F" w:rsidRDefault="00636A4B" w:rsidP="00636A4B">
                  <w:pPr>
                    <w:pStyle w:val="P68B1DB1-Normal5"/>
                    <w:spacing w:before="120" w:after="0" w:line="240" w:lineRule="auto"/>
                    <w:rPr>
                      <w:lang w:val="en-GB"/>
                    </w:rPr>
                  </w:pPr>
                </w:p>
              </w:tc>
            </w:tr>
          </w:tbl>
          <w:p w14:paraId="7D9F2970" w14:textId="77777777" w:rsidR="00636A4B" w:rsidRPr="00305E0F" w:rsidRDefault="00636A4B" w:rsidP="00636A4B">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E059EC1" w14:textId="0DC00979" w:rsidR="00636A4B" w:rsidRPr="00305E0F" w:rsidRDefault="00636A4B" w:rsidP="00636A4B">
            <w:pPr>
              <w:pStyle w:val="P68B1DB1-Normal27"/>
              <w:spacing w:before="60" w:after="60" w:line="240" w:lineRule="auto"/>
              <w:rPr>
                <w:lang w:val="en-GB"/>
              </w:rPr>
            </w:pPr>
            <w:r w:rsidRPr="00305E0F">
              <w:rPr>
                <w:lang w:val="en-GB"/>
              </w:rPr>
              <w:t>Strong long-term O&amp;M contract, preferably with contractual performance incentives, and/or O&amp;M reserve accounts (if needed)</w:t>
            </w:r>
          </w:p>
        </w:tc>
        <w:tc>
          <w:tcPr>
            <w:tcW w:w="0" w:type="auto"/>
            <w:tcBorders>
              <w:top w:val="single" w:sz="6" w:space="0" w:color="000000"/>
              <w:left w:val="single" w:sz="6" w:space="0" w:color="000000"/>
              <w:bottom w:val="single" w:sz="6" w:space="0" w:color="000000"/>
              <w:right w:val="single" w:sz="6" w:space="0" w:color="000000"/>
            </w:tcBorders>
            <w:hideMark/>
          </w:tcPr>
          <w:p w14:paraId="18A82FB4" w14:textId="01D2E88A" w:rsidR="00636A4B" w:rsidRPr="00305E0F" w:rsidRDefault="00636A4B" w:rsidP="00636A4B">
            <w:pPr>
              <w:pStyle w:val="P68B1DB1-Normal27"/>
              <w:spacing w:before="60" w:after="60" w:line="240" w:lineRule="auto"/>
              <w:rPr>
                <w:lang w:val="en-GB"/>
              </w:rPr>
            </w:pPr>
            <w:r w:rsidRPr="00305E0F">
              <w:rPr>
                <w:lang w:val="en-GB"/>
              </w:rPr>
              <w:t>Long-term O&amp;M contract, and/or O&amp;M reserve accounts (if needed)</w:t>
            </w:r>
          </w:p>
        </w:tc>
        <w:tc>
          <w:tcPr>
            <w:tcW w:w="0" w:type="auto"/>
            <w:tcBorders>
              <w:top w:val="single" w:sz="6" w:space="0" w:color="000000"/>
              <w:left w:val="single" w:sz="6" w:space="0" w:color="000000"/>
              <w:bottom w:val="single" w:sz="6" w:space="0" w:color="000000"/>
              <w:right w:val="single" w:sz="6" w:space="0" w:color="000000"/>
            </w:tcBorders>
            <w:hideMark/>
          </w:tcPr>
          <w:p w14:paraId="073ABADA" w14:textId="31EE9995" w:rsidR="00636A4B" w:rsidRPr="00305E0F" w:rsidRDefault="00636A4B" w:rsidP="00636A4B">
            <w:pPr>
              <w:pStyle w:val="P68B1DB1-Normal27"/>
              <w:spacing w:before="60" w:after="60" w:line="240" w:lineRule="auto"/>
              <w:rPr>
                <w:lang w:val="en-GB"/>
              </w:rPr>
            </w:pPr>
            <w:r w:rsidRPr="00305E0F">
              <w:rPr>
                <w:lang w:val="en-GB"/>
              </w:rPr>
              <w:t>Limited O&amp;M contract or O&amp;M reserve account (if needed)</w:t>
            </w:r>
          </w:p>
        </w:tc>
        <w:tc>
          <w:tcPr>
            <w:tcW w:w="0" w:type="auto"/>
            <w:tcBorders>
              <w:top w:val="single" w:sz="6" w:space="0" w:color="000000"/>
              <w:left w:val="single" w:sz="6" w:space="0" w:color="000000"/>
              <w:bottom w:val="single" w:sz="6" w:space="0" w:color="000000"/>
              <w:right w:val="single" w:sz="6" w:space="0" w:color="000000"/>
            </w:tcBorders>
            <w:hideMark/>
          </w:tcPr>
          <w:p w14:paraId="731EE1FB" w14:textId="31BEB818" w:rsidR="00636A4B" w:rsidRPr="00305E0F" w:rsidRDefault="00636A4B" w:rsidP="00636A4B">
            <w:pPr>
              <w:pStyle w:val="P68B1DB1-Normal27"/>
              <w:spacing w:before="60" w:after="60" w:line="240" w:lineRule="auto"/>
              <w:rPr>
                <w:lang w:val="en-GB"/>
              </w:rPr>
            </w:pPr>
            <w:r w:rsidRPr="00305E0F">
              <w:rPr>
                <w:lang w:val="en-GB"/>
              </w:rPr>
              <w:t>No O&amp;M contract: risk of high operational cost overruns beyond mitigants</w:t>
            </w:r>
          </w:p>
        </w:tc>
      </w:tr>
      <w:tr w:rsidR="00305E0F" w:rsidRPr="00305E0F" w14:paraId="14335B32"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89"/>
            </w:tblGrid>
            <w:tr w:rsidR="00305E0F" w:rsidRPr="00305E0F" w14:paraId="64540594" w14:textId="77777777">
              <w:tc>
                <w:tcPr>
                  <w:tcW w:w="0" w:type="auto"/>
                  <w:hideMark/>
                </w:tcPr>
                <w:p w14:paraId="0F396D81" w14:textId="2DF3C5D2" w:rsidR="00636A4B" w:rsidRPr="00305E0F" w:rsidRDefault="00636A4B" w:rsidP="00636A4B">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292AA6F6" w14:textId="32005A60" w:rsidR="00636A4B" w:rsidRPr="00305E0F" w:rsidRDefault="00636A4B" w:rsidP="00636A4B">
                  <w:pPr>
                    <w:pStyle w:val="P68B1DB1-Normal5"/>
                    <w:spacing w:before="120" w:after="0" w:line="240" w:lineRule="auto"/>
                    <w:rPr>
                      <w:lang w:val="en-GB"/>
                    </w:rPr>
                  </w:pPr>
                  <w:r w:rsidRPr="00305E0F">
                    <w:rPr>
                      <w:lang w:val="en-GB"/>
                    </w:rPr>
                    <w:t>3.3.</w:t>
                  </w:r>
                  <w:r w:rsidRPr="00305E0F">
                    <w:rPr>
                      <w:rFonts w:asciiTheme="minorHAnsi" w:eastAsiaTheme="minorHAnsi" w:hAnsiTheme="minorHAnsi" w:cstheme="minorBidi"/>
                      <w:sz w:val="27"/>
                      <w:szCs w:val="27"/>
                      <w:shd w:val="clear" w:color="auto" w:fill="FFFFFF"/>
                      <w:lang w:val="en-GB"/>
                    </w:rPr>
                    <w:t xml:space="preserve"> </w:t>
                  </w:r>
                  <w:r w:rsidRPr="00305E0F">
                    <w:rPr>
                      <w:lang w:val="en-GB"/>
                    </w:rPr>
                    <w:t>Operator’s financial strength, track record in managing the asset type and capability to re-market asset when it comes off-lease (sub-factor component)</w:t>
                  </w:r>
                </w:p>
              </w:tc>
            </w:tr>
          </w:tbl>
          <w:p w14:paraId="0666F348" w14:textId="77777777" w:rsidR="00636A4B" w:rsidRPr="00305E0F" w:rsidRDefault="00636A4B" w:rsidP="00636A4B">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68FD5F1" w14:textId="5546C98D" w:rsidR="00636A4B" w:rsidRPr="00305E0F" w:rsidRDefault="00636A4B" w:rsidP="00636A4B">
            <w:pPr>
              <w:pStyle w:val="P68B1DB1-Normal27"/>
              <w:spacing w:before="60" w:after="60" w:line="240" w:lineRule="auto"/>
              <w:rPr>
                <w:lang w:val="en-GB"/>
              </w:rPr>
            </w:pPr>
            <w:r w:rsidRPr="00305E0F">
              <w:rPr>
                <w:lang w:val="en-GB"/>
              </w:rPr>
              <w:t>Excellent track record and strong re-marketing capability</w:t>
            </w:r>
          </w:p>
        </w:tc>
        <w:tc>
          <w:tcPr>
            <w:tcW w:w="0" w:type="auto"/>
            <w:tcBorders>
              <w:top w:val="single" w:sz="6" w:space="0" w:color="000000"/>
              <w:left w:val="single" w:sz="6" w:space="0" w:color="000000"/>
              <w:bottom w:val="single" w:sz="6" w:space="0" w:color="000000"/>
              <w:right w:val="single" w:sz="6" w:space="0" w:color="000000"/>
            </w:tcBorders>
            <w:hideMark/>
          </w:tcPr>
          <w:p w14:paraId="470F4EA6" w14:textId="33B5A88A" w:rsidR="00636A4B" w:rsidRPr="00305E0F" w:rsidRDefault="00636A4B" w:rsidP="00636A4B">
            <w:pPr>
              <w:pStyle w:val="P68B1DB1-Normal27"/>
              <w:spacing w:before="60" w:after="60" w:line="240" w:lineRule="auto"/>
              <w:rPr>
                <w:lang w:val="en-GB"/>
              </w:rPr>
            </w:pPr>
            <w:r w:rsidRPr="00305E0F">
              <w:rPr>
                <w:lang w:val="en-GB"/>
              </w:rPr>
              <w:t>Satisfactory track record and re-marketing capability</w:t>
            </w:r>
          </w:p>
        </w:tc>
        <w:tc>
          <w:tcPr>
            <w:tcW w:w="0" w:type="auto"/>
            <w:tcBorders>
              <w:top w:val="single" w:sz="6" w:space="0" w:color="000000"/>
              <w:left w:val="single" w:sz="6" w:space="0" w:color="000000"/>
              <w:bottom w:val="single" w:sz="6" w:space="0" w:color="000000"/>
              <w:right w:val="single" w:sz="6" w:space="0" w:color="000000"/>
            </w:tcBorders>
            <w:hideMark/>
          </w:tcPr>
          <w:p w14:paraId="314916D0" w14:textId="7F0A7583" w:rsidR="00636A4B" w:rsidRPr="00305E0F" w:rsidRDefault="00636A4B" w:rsidP="00636A4B">
            <w:pPr>
              <w:pStyle w:val="P68B1DB1-Normal27"/>
              <w:spacing w:before="60" w:after="60" w:line="240" w:lineRule="auto"/>
              <w:rPr>
                <w:lang w:val="en-GB"/>
              </w:rPr>
            </w:pPr>
            <w:r w:rsidRPr="00305E0F">
              <w:rPr>
                <w:lang w:val="en-GB"/>
              </w:rPr>
              <w:t>Weak or short track record and uncertain re-marketing capability</w:t>
            </w:r>
          </w:p>
        </w:tc>
        <w:tc>
          <w:tcPr>
            <w:tcW w:w="0" w:type="auto"/>
            <w:tcBorders>
              <w:top w:val="single" w:sz="6" w:space="0" w:color="000000"/>
              <w:left w:val="single" w:sz="6" w:space="0" w:color="000000"/>
              <w:bottom w:val="single" w:sz="6" w:space="0" w:color="000000"/>
              <w:right w:val="single" w:sz="6" w:space="0" w:color="000000"/>
            </w:tcBorders>
            <w:hideMark/>
          </w:tcPr>
          <w:p w14:paraId="5BFD019A" w14:textId="124BA302" w:rsidR="00636A4B" w:rsidRPr="00305E0F" w:rsidRDefault="00636A4B" w:rsidP="00636A4B">
            <w:pPr>
              <w:pStyle w:val="P68B1DB1-Normal27"/>
              <w:spacing w:before="60" w:after="60" w:line="240" w:lineRule="auto"/>
              <w:rPr>
                <w:lang w:val="en-GB"/>
              </w:rPr>
            </w:pPr>
            <w:r w:rsidRPr="00305E0F">
              <w:rPr>
                <w:lang w:val="en-GB"/>
              </w:rPr>
              <w:t>No or unknown track record and inability to re-market the asset</w:t>
            </w:r>
          </w:p>
        </w:tc>
      </w:tr>
      <w:tr w:rsidR="00305E0F" w:rsidRPr="00305E0F" w14:paraId="22C607B4" w14:textId="77777777">
        <w:tc>
          <w:tcPr>
            <w:tcW w:w="0" w:type="auto"/>
            <w:tcBorders>
              <w:top w:val="single" w:sz="6" w:space="0" w:color="000000"/>
              <w:left w:val="single" w:sz="6" w:space="0" w:color="000000"/>
              <w:bottom w:val="single" w:sz="6" w:space="0" w:color="000000"/>
              <w:right w:val="single" w:sz="6" w:space="0" w:color="000000"/>
            </w:tcBorders>
            <w:hideMark/>
          </w:tcPr>
          <w:p w14:paraId="26777B68" w14:textId="77777777" w:rsidR="00EB0050" w:rsidRPr="00305E0F" w:rsidRDefault="00B02122">
            <w:pPr>
              <w:pStyle w:val="P68B1DB1-Normal26"/>
              <w:spacing w:before="60" w:after="60" w:line="240" w:lineRule="auto"/>
              <w:rPr>
                <w:bCs/>
                <w:lang w:val="en-GB"/>
              </w:rPr>
            </w:pPr>
            <w:r w:rsidRPr="00305E0F">
              <w:rPr>
                <w:lang w:val="en-GB"/>
              </w:rPr>
              <w:t xml:space="preserve">Factor: </w:t>
            </w:r>
          </w:p>
          <w:p w14:paraId="113E565F" w14:textId="517F8265" w:rsidR="00EB0050" w:rsidRPr="00305E0F" w:rsidRDefault="00636A4B">
            <w:pPr>
              <w:pStyle w:val="P68B1DB1-Normal26"/>
              <w:spacing w:before="60" w:after="60" w:line="240" w:lineRule="auto"/>
              <w:rPr>
                <w:lang w:val="en-GB"/>
              </w:rPr>
            </w:pPr>
            <w:r w:rsidRPr="00305E0F">
              <w:rPr>
                <w:bCs/>
                <w:lang w:val="en-GB"/>
              </w:rPr>
              <w:t>asset characteristics</w:t>
            </w:r>
          </w:p>
        </w:tc>
        <w:tc>
          <w:tcPr>
            <w:tcW w:w="0" w:type="auto"/>
            <w:tcBorders>
              <w:top w:val="single" w:sz="6" w:space="0" w:color="000000"/>
              <w:left w:val="single" w:sz="6" w:space="0" w:color="000000"/>
              <w:bottom w:val="single" w:sz="6" w:space="0" w:color="000000"/>
              <w:right w:val="single" w:sz="6" w:space="0" w:color="000000"/>
            </w:tcBorders>
            <w:hideMark/>
          </w:tcPr>
          <w:p w14:paraId="1F843FBF"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F8E55EF"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283799C"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8DD099A"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63CD8BF7"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4681" w:type="pct"/>
              <w:tblCellMar>
                <w:left w:w="0" w:type="dxa"/>
                <w:right w:w="0" w:type="dxa"/>
              </w:tblCellMar>
              <w:tblLook w:val="04A0" w:firstRow="1" w:lastRow="0" w:firstColumn="1" w:lastColumn="0" w:noHBand="0" w:noVBand="1"/>
            </w:tblPr>
            <w:tblGrid>
              <w:gridCol w:w="6"/>
              <w:gridCol w:w="2423"/>
            </w:tblGrid>
            <w:tr w:rsidR="00305E0F" w:rsidRPr="00305E0F" w14:paraId="6BA4A81D" w14:textId="77777777">
              <w:tc>
                <w:tcPr>
                  <w:tcW w:w="0" w:type="auto"/>
                  <w:hideMark/>
                </w:tcPr>
                <w:p w14:paraId="22225C0D" w14:textId="6EA53779" w:rsidR="00636A4B" w:rsidRPr="00305E0F" w:rsidRDefault="00636A4B" w:rsidP="00636A4B">
                  <w:pPr>
                    <w:spacing w:before="120" w:after="0" w:line="240" w:lineRule="auto"/>
                    <w:jc w:val="both"/>
                    <w:rPr>
                      <w:rFonts w:ascii="Times New Roman" w:eastAsia="Times New Roman" w:hAnsi="Times New Roman" w:cs="Times New Roman"/>
                      <w:sz w:val="24"/>
                      <w:szCs w:val="24"/>
                      <w:lang w:val="en-GB"/>
                    </w:rPr>
                  </w:pPr>
                </w:p>
              </w:tc>
              <w:tc>
                <w:tcPr>
                  <w:tcW w:w="4987" w:type="pct"/>
                  <w:hideMark/>
                </w:tcPr>
                <w:p w14:paraId="1B3216E2" w14:textId="7F455A6F" w:rsidR="00636A4B" w:rsidRPr="00305E0F" w:rsidRDefault="00636A4B" w:rsidP="00636A4B">
                  <w:pPr>
                    <w:pStyle w:val="P68B1DB1-Normal5"/>
                    <w:spacing w:before="120" w:after="0" w:line="240" w:lineRule="auto"/>
                    <w:rPr>
                      <w:lang w:val="en-GB"/>
                    </w:rPr>
                  </w:pPr>
                  <w:r w:rsidRPr="00305E0F">
                    <w:rPr>
                      <w:lang w:val="en-GB"/>
                    </w:rPr>
                    <w:t>1.Sub-factor: configuration, size, design and maintenance (i.e. age, size for a plane) compared to other assets on the same market</w:t>
                  </w:r>
                </w:p>
              </w:tc>
            </w:tr>
          </w:tbl>
          <w:p w14:paraId="26D25816" w14:textId="77777777" w:rsidR="00636A4B" w:rsidRPr="00305E0F" w:rsidRDefault="00636A4B" w:rsidP="00636A4B">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E8A034E" w14:textId="6BDB1560" w:rsidR="00636A4B" w:rsidRPr="00305E0F" w:rsidRDefault="00636A4B" w:rsidP="00636A4B">
            <w:pPr>
              <w:pStyle w:val="P68B1DB1-Normal27"/>
              <w:spacing w:before="60" w:after="60" w:line="240" w:lineRule="auto"/>
              <w:rPr>
                <w:lang w:val="en-GB"/>
              </w:rPr>
            </w:pPr>
            <w:r w:rsidRPr="00305E0F">
              <w:rPr>
                <w:lang w:val="en-GB"/>
              </w:rPr>
              <w:t>Strong advantage in design and maintenance. Configuration is standard such that the object meets a liquid market.</w:t>
            </w:r>
          </w:p>
        </w:tc>
        <w:tc>
          <w:tcPr>
            <w:tcW w:w="0" w:type="auto"/>
            <w:tcBorders>
              <w:top w:val="single" w:sz="6" w:space="0" w:color="000000"/>
              <w:left w:val="single" w:sz="6" w:space="0" w:color="000000"/>
              <w:bottom w:val="single" w:sz="6" w:space="0" w:color="000000"/>
              <w:right w:val="single" w:sz="6" w:space="0" w:color="000000"/>
            </w:tcBorders>
            <w:hideMark/>
          </w:tcPr>
          <w:p w14:paraId="3FADB3D5" w14:textId="18F7D5F4" w:rsidR="00636A4B" w:rsidRPr="00305E0F" w:rsidRDefault="00636A4B" w:rsidP="00636A4B">
            <w:pPr>
              <w:pStyle w:val="P68B1DB1-Normal27"/>
              <w:spacing w:before="60" w:after="60" w:line="240" w:lineRule="auto"/>
              <w:rPr>
                <w:lang w:val="en-GB"/>
              </w:rPr>
            </w:pPr>
            <w:r w:rsidRPr="00305E0F">
              <w:rPr>
                <w:lang w:val="en-GB"/>
              </w:rPr>
              <w:t>Above average design and maintenance. Standard configuration, maybe with very limited exceptions – such that the object meets a liquid market</w:t>
            </w:r>
          </w:p>
        </w:tc>
        <w:tc>
          <w:tcPr>
            <w:tcW w:w="0" w:type="auto"/>
            <w:tcBorders>
              <w:top w:val="single" w:sz="6" w:space="0" w:color="000000"/>
              <w:left w:val="single" w:sz="6" w:space="0" w:color="000000"/>
              <w:bottom w:val="single" w:sz="6" w:space="0" w:color="000000"/>
              <w:right w:val="single" w:sz="6" w:space="0" w:color="000000"/>
            </w:tcBorders>
            <w:hideMark/>
          </w:tcPr>
          <w:p w14:paraId="05D8CCD2" w14:textId="4DEE3324" w:rsidR="00636A4B" w:rsidRPr="00305E0F" w:rsidRDefault="00636A4B" w:rsidP="00636A4B">
            <w:pPr>
              <w:pStyle w:val="P68B1DB1-Normal27"/>
              <w:spacing w:before="60" w:after="60" w:line="240" w:lineRule="auto"/>
              <w:rPr>
                <w:lang w:val="en-GB"/>
              </w:rPr>
            </w:pPr>
            <w:r w:rsidRPr="00305E0F">
              <w:rPr>
                <w:lang w:val="en-GB"/>
              </w:rPr>
              <w:t>Average design and maintenance. Configuration is somewhat specific, and thus might cause a narrower market for the object.</w:t>
            </w:r>
          </w:p>
        </w:tc>
        <w:tc>
          <w:tcPr>
            <w:tcW w:w="0" w:type="auto"/>
            <w:tcBorders>
              <w:top w:val="single" w:sz="6" w:space="0" w:color="000000"/>
              <w:left w:val="single" w:sz="6" w:space="0" w:color="000000"/>
              <w:bottom w:val="single" w:sz="6" w:space="0" w:color="000000"/>
              <w:right w:val="single" w:sz="6" w:space="0" w:color="000000"/>
            </w:tcBorders>
            <w:hideMark/>
          </w:tcPr>
          <w:p w14:paraId="693650FB" w14:textId="41243DDA" w:rsidR="00636A4B" w:rsidRPr="00305E0F" w:rsidRDefault="00636A4B" w:rsidP="00636A4B">
            <w:pPr>
              <w:pStyle w:val="P68B1DB1-Normal27"/>
              <w:spacing w:before="60" w:after="60" w:line="240" w:lineRule="auto"/>
              <w:rPr>
                <w:lang w:val="en-GB"/>
              </w:rPr>
            </w:pPr>
            <w:r w:rsidRPr="00305E0F">
              <w:rPr>
                <w:lang w:val="en-GB"/>
              </w:rPr>
              <w:t>Below average design and maintenance. Asset is near the end of its economic life. Configuration is very specific; the market for the object is very narrow.</w:t>
            </w:r>
          </w:p>
        </w:tc>
      </w:tr>
      <w:tr w:rsidR="00305E0F" w:rsidRPr="00305E0F" w14:paraId="181189FC"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89"/>
            </w:tblGrid>
            <w:tr w:rsidR="00305E0F" w:rsidRPr="00305E0F" w14:paraId="464C3C1A" w14:textId="77777777">
              <w:tc>
                <w:tcPr>
                  <w:tcW w:w="0" w:type="auto"/>
                  <w:hideMark/>
                </w:tcPr>
                <w:p w14:paraId="5F7F7A50" w14:textId="0C31AB0C" w:rsidR="00636A4B" w:rsidRPr="00305E0F" w:rsidRDefault="00636A4B" w:rsidP="00636A4B">
                  <w:pPr>
                    <w:spacing w:before="120" w:after="0" w:line="240" w:lineRule="auto"/>
                    <w:rPr>
                      <w:rFonts w:ascii="Times New Roman" w:eastAsia="Times New Roman" w:hAnsi="Times New Roman" w:cs="Times New Roman"/>
                      <w:sz w:val="24"/>
                      <w:szCs w:val="24"/>
                      <w:lang w:val="en-GB"/>
                    </w:rPr>
                  </w:pPr>
                </w:p>
              </w:tc>
              <w:tc>
                <w:tcPr>
                  <w:tcW w:w="0" w:type="auto"/>
                  <w:hideMark/>
                </w:tcPr>
                <w:p w14:paraId="38844B5F" w14:textId="22AB6251" w:rsidR="00636A4B" w:rsidRPr="00305E0F" w:rsidRDefault="00636A4B" w:rsidP="00636A4B">
                  <w:pPr>
                    <w:pStyle w:val="P68B1DB1-Normal5"/>
                    <w:spacing w:before="120" w:after="0" w:line="240" w:lineRule="auto"/>
                    <w:rPr>
                      <w:lang w:val="en-GB"/>
                    </w:rPr>
                  </w:pPr>
                  <w:r w:rsidRPr="00305E0F">
                    <w:rPr>
                      <w:lang w:val="en-GB"/>
                    </w:rPr>
                    <w:t>2.Sub-factor: resale value</w:t>
                  </w:r>
                </w:p>
              </w:tc>
            </w:tr>
          </w:tbl>
          <w:p w14:paraId="75AA7AF2" w14:textId="77777777" w:rsidR="00636A4B" w:rsidRPr="00305E0F" w:rsidRDefault="00636A4B" w:rsidP="00636A4B">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283B9D63" w14:textId="49C2677B" w:rsidR="00636A4B" w:rsidRPr="00305E0F" w:rsidRDefault="00636A4B" w:rsidP="00636A4B">
            <w:pPr>
              <w:pStyle w:val="P68B1DB1-Normal27"/>
              <w:spacing w:before="60" w:after="60" w:line="240" w:lineRule="auto"/>
              <w:rPr>
                <w:lang w:val="en-GB"/>
              </w:rPr>
            </w:pPr>
            <w:r w:rsidRPr="00305E0F">
              <w:rPr>
                <w:lang w:val="en-GB"/>
              </w:rPr>
              <w:t>Current resale value is well above debt value.</w:t>
            </w:r>
          </w:p>
        </w:tc>
        <w:tc>
          <w:tcPr>
            <w:tcW w:w="0" w:type="auto"/>
            <w:tcBorders>
              <w:top w:val="single" w:sz="6" w:space="0" w:color="000000"/>
              <w:left w:val="single" w:sz="6" w:space="0" w:color="000000"/>
              <w:bottom w:val="single" w:sz="6" w:space="0" w:color="000000"/>
              <w:right w:val="single" w:sz="6" w:space="0" w:color="000000"/>
            </w:tcBorders>
            <w:hideMark/>
          </w:tcPr>
          <w:p w14:paraId="1211A207" w14:textId="624953F2" w:rsidR="00636A4B" w:rsidRPr="00305E0F" w:rsidRDefault="00636A4B" w:rsidP="00636A4B">
            <w:pPr>
              <w:pStyle w:val="P68B1DB1-Normal27"/>
              <w:spacing w:before="60" w:after="60" w:line="240" w:lineRule="auto"/>
              <w:rPr>
                <w:lang w:val="en-GB"/>
              </w:rPr>
            </w:pPr>
            <w:r w:rsidRPr="00305E0F">
              <w:rPr>
                <w:lang w:val="en-GB"/>
              </w:rPr>
              <w:t>Resale value is moderately above debt value.</w:t>
            </w:r>
          </w:p>
        </w:tc>
        <w:tc>
          <w:tcPr>
            <w:tcW w:w="0" w:type="auto"/>
            <w:tcBorders>
              <w:top w:val="single" w:sz="6" w:space="0" w:color="000000"/>
              <w:left w:val="single" w:sz="6" w:space="0" w:color="000000"/>
              <w:bottom w:val="single" w:sz="6" w:space="0" w:color="000000"/>
              <w:right w:val="single" w:sz="6" w:space="0" w:color="000000"/>
            </w:tcBorders>
            <w:hideMark/>
          </w:tcPr>
          <w:p w14:paraId="4981AFD3" w14:textId="03D772E1" w:rsidR="00636A4B" w:rsidRPr="00305E0F" w:rsidRDefault="00636A4B" w:rsidP="00636A4B">
            <w:pPr>
              <w:pStyle w:val="P68B1DB1-Normal27"/>
              <w:spacing w:before="60" w:after="60" w:line="240" w:lineRule="auto"/>
              <w:rPr>
                <w:lang w:val="en-GB"/>
              </w:rPr>
            </w:pPr>
            <w:r w:rsidRPr="00305E0F">
              <w:rPr>
                <w:lang w:val="en-GB"/>
              </w:rPr>
              <w:t>Resale value is slightly above debt value.</w:t>
            </w:r>
          </w:p>
        </w:tc>
        <w:tc>
          <w:tcPr>
            <w:tcW w:w="0" w:type="auto"/>
            <w:tcBorders>
              <w:top w:val="single" w:sz="6" w:space="0" w:color="000000"/>
              <w:left w:val="single" w:sz="6" w:space="0" w:color="000000"/>
              <w:bottom w:val="single" w:sz="6" w:space="0" w:color="000000"/>
              <w:right w:val="single" w:sz="6" w:space="0" w:color="000000"/>
            </w:tcBorders>
            <w:hideMark/>
          </w:tcPr>
          <w:p w14:paraId="0F42FDDC" w14:textId="01F53BD6" w:rsidR="00636A4B" w:rsidRPr="00305E0F" w:rsidRDefault="00636A4B" w:rsidP="00636A4B">
            <w:pPr>
              <w:pStyle w:val="P68B1DB1-Normal27"/>
              <w:spacing w:before="60" w:after="60" w:line="240" w:lineRule="auto"/>
              <w:rPr>
                <w:lang w:val="en-GB"/>
              </w:rPr>
            </w:pPr>
            <w:r w:rsidRPr="00305E0F">
              <w:rPr>
                <w:lang w:val="en-GB"/>
              </w:rPr>
              <w:t>Resale value is below debt value.</w:t>
            </w:r>
          </w:p>
        </w:tc>
      </w:tr>
      <w:tr w:rsidR="00305E0F" w:rsidRPr="00305E0F" w14:paraId="3F83D4B5"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89"/>
            </w:tblGrid>
            <w:tr w:rsidR="00305E0F" w:rsidRPr="00305E0F" w14:paraId="5817458E" w14:textId="77777777">
              <w:tc>
                <w:tcPr>
                  <w:tcW w:w="0" w:type="auto"/>
                  <w:hideMark/>
                </w:tcPr>
                <w:p w14:paraId="73E750B3" w14:textId="5D67C532" w:rsidR="00C91217" w:rsidRPr="00305E0F" w:rsidRDefault="00C91217" w:rsidP="00C91217">
                  <w:pPr>
                    <w:spacing w:before="120" w:after="0" w:line="240" w:lineRule="auto"/>
                    <w:rPr>
                      <w:rFonts w:ascii="Times New Roman" w:eastAsia="Times New Roman" w:hAnsi="Times New Roman" w:cs="Times New Roman"/>
                      <w:sz w:val="24"/>
                      <w:szCs w:val="24"/>
                      <w:lang w:val="en-GB"/>
                    </w:rPr>
                  </w:pPr>
                </w:p>
              </w:tc>
              <w:tc>
                <w:tcPr>
                  <w:tcW w:w="0" w:type="auto"/>
                  <w:hideMark/>
                </w:tcPr>
                <w:p w14:paraId="0C0FE029" w14:textId="0579EC11" w:rsidR="00C91217" w:rsidRPr="00305E0F" w:rsidRDefault="00C91217" w:rsidP="00C91217">
                  <w:pPr>
                    <w:pStyle w:val="P68B1DB1-Normal5"/>
                    <w:spacing w:before="120" w:after="0" w:line="240" w:lineRule="auto"/>
                    <w:rPr>
                      <w:lang w:val="en-GB"/>
                    </w:rPr>
                  </w:pPr>
                  <w:r w:rsidRPr="00305E0F">
                    <w:rPr>
                      <w:lang w:val="en-GB"/>
                    </w:rPr>
                    <w:t>3.Sub-factor: sensitivity of the asset value and liquidity to economic cycle</w:t>
                  </w:r>
                </w:p>
              </w:tc>
            </w:tr>
          </w:tbl>
          <w:p w14:paraId="0FD44F6D"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EF7BF38" w14:textId="7A1B0199" w:rsidR="00C91217" w:rsidRPr="00305E0F" w:rsidRDefault="00C91217" w:rsidP="00C91217">
            <w:pPr>
              <w:pStyle w:val="P68B1DB1-Normal27"/>
              <w:spacing w:before="60" w:after="60" w:line="240" w:lineRule="auto"/>
              <w:rPr>
                <w:lang w:val="en-GB"/>
              </w:rPr>
            </w:pPr>
            <w:r w:rsidRPr="00305E0F">
              <w:rPr>
                <w:lang w:val="en-GB"/>
              </w:rPr>
              <w:t>Asset value and liquidity are relatively insensitive to economic cycles.</w:t>
            </w:r>
          </w:p>
        </w:tc>
        <w:tc>
          <w:tcPr>
            <w:tcW w:w="0" w:type="auto"/>
            <w:tcBorders>
              <w:top w:val="single" w:sz="6" w:space="0" w:color="000000"/>
              <w:left w:val="single" w:sz="6" w:space="0" w:color="000000"/>
              <w:bottom w:val="single" w:sz="6" w:space="0" w:color="000000"/>
              <w:right w:val="single" w:sz="6" w:space="0" w:color="000000"/>
            </w:tcBorders>
            <w:hideMark/>
          </w:tcPr>
          <w:p w14:paraId="616FB124" w14:textId="5A28D4D6" w:rsidR="00C91217" w:rsidRPr="00305E0F" w:rsidRDefault="00C91217" w:rsidP="00C91217">
            <w:pPr>
              <w:pStyle w:val="P68B1DB1-Normal27"/>
              <w:spacing w:before="60" w:after="60" w:line="240" w:lineRule="auto"/>
              <w:rPr>
                <w:lang w:val="en-GB"/>
              </w:rPr>
            </w:pPr>
            <w:r w:rsidRPr="00305E0F">
              <w:rPr>
                <w:lang w:val="en-GB"/>
              </w:rPr>
              <w:t>Asset value and liquidity are sensitive to economic cycles.</w:t>
            </w:r>
          </w:p>
        </w:tc>
        <w:tc>
          <w:tcPr>
            <w:tcW w:w="0" w:type="auto"/>
            <w:tcBorders>
              <w:top w:val="single" w:sz="6" w:space="0" w:color="000000"/>
              <w:left w:val="single" w:sz="6" w:space="0" w:color="000000"/>
              <w:bottom w:val="single" w:sz="6" w:space="0" w:color="000000"/>
              <w:right w:val="single" w:sz="6" w:space="0" w:color="000000"/>
            </w:tcBorders>
            <w:hideMark/>
          </w:tcPr>
          <w:p w14:paraId="14EB9E34" w14:textId="3F48000B" w:rsidR="00C91217" w:rsidRPr="00305E0F" w:rsidRDefault="00C91217" w:rsidP="00C91217">
            <w:pPr>
              <w:pStyle w:val="P68B1DB1-Normal27"/>
              <w:spacing w:before="60" w:after="60" w:line="240" w:lineRule="auto"/>
              <w:rPr>
                <w:lang w:val="en-GB"/>
              </w:rPr>
            </w:pPr>
            <w:r w:rsidRPr="00305E0F">
              <w:rPr>
                <w:lang w:val="en-GB"/>
              </w:rPr>
              <w:t>Asset value and liquidity are quite sensitive to economic cycles.</w:t>
            </w:r>
          </w:p>
        </w:tc>
        <w:tc>
          <w:tcPr>
            <w:tcW w:w="0" w:type="auto"/>
            <w:tcBorders>
              <w:top w:val="single" w:sz="6" w:space="0" w:color="000000"/>
              <w:left w:val="single" w:sz="6" w:space="0" w:color="000000"/>
              <w:bottom w:val="single" w:sz="6" w:space="0" w:color="000000"/>
              <w:right w:val="single" w:sz="6" w:space="0" w:color="000000"/>
            </w:tcBorders>
            <w:hideMark/>
          </w:tcPr>
          <w:p w14:paraId="2E20E87D" w14:textId="6DDE85E5" w:rsidR="00C91217" w:rsidRPr="00305E0F" w:rsidRDefault="00C91217" w:rsidP="00C91217">
            <w:pPr>
              <w:pStyle w:val="P68B1DB1-Normal27"/>
              <w:spacing w:before="60" w:after="60" w:line="240" w:lineRule="auto"/>
              <w:rPr>
                <w:lang w:val="en-GB"/>
              </w:rPr>
            </w:pPr>
            <w:r w:rsidRPr="00305E0F">
              <w:rPr>
                <w:lang w:val="en-GB"/>
              </w:rPr>
              <w:t>Asset value and liquidity are highly sensitive to economic cycles.</w:t>
            </w:r>
          </w:p>
        </w:tc>
      </w:tr>
      <w:tr w:rsidR="00305E0F" w:rsidRPr="00305E0F" w14:paraId="267CF1C3" w14:textId="77777777">
        <w:tc>
          <w:tcPr>
            <w:tcW w:w="0" w:type="auto"/>
            <w:tcBorders>
              <w:top w:val="single" w:sz="6" w:space="0" w:color="000000"/>
              <w:left w:val="single" w:sz="6" w:space="0" w:color="000000"/>
              <w:bottom w:val="single" w:sz="6" w:space="0" w:color="000000"/>
              <w:right w:val="single" w:sz="6" w:space="0" w:color="000000"/>
            </w:tcBorders>
            <w:hideMark/>
          </w:tcPr>
          <w:p w14:paraId="57C5F725" w14:textId="77777777" w:rsidR="00EB0050" w:rsidRPr="00305E0F" w:rsidRDefault="00B02122">
            <w:pPr>
              <w:pStyle w:val="P68B1DB1-Normal26"/>
              <w:spacing w:before="60" w:after="60" w:line="240" w:lineRule="auto"/>
              <w:rPr>
                <w:bCs/>
                <w:lang w:val="en-GB"/>
              </w:rPr>
            </w:pPr>
            <w:r w:rsidRPr="00305E0F">
              <w:rPr>
                <w:lang w:val="en-GB"/>
              </w:rPr>
              <w:t xml:space="preserve">Factor: </w:t>
            </w:r>
          </w:p>
          <w:p w14:paraId="3F8400AA" w14:textId="5A3B979A" w:rsidR="00EB0050" w:rsidRPr="00305E0F" w:rsidRDefault="00C91217">
            <w:pPr>
              <w:pStyle w:val="P68B1DB1-Normal26"/>
              <w:spacing w:before="60" w:after="60" w:line="240" w:lineRule="auto"/>
              <w:rPr>
                <w:lang w:val="en-GB"/>
              </w:rPr>
            </w:pPr>
            <w:r w:rsidRPr="00305E0F">
              <w:rPr>
                <w:bCs/>
                <w:lang w:val="en-GB"/>
              </w:rPr>
              <w:t>strength of sponsor (including public private partnership)</w:t>
            </w:r>
          </w:p>
        </w:tc>
        <w:tc>
          <w:tcPr>
            <w:tcW w:w="0" w:type="auto"/>
            <w:tcBorders>
              <w:top w:val="single" w:sz="6" w:space="0" w:color="000000"/>
              <w:left w:val="single" w:sz="6" w:space="0" w:color="000000"/>
              <w:bottom w:val="single" w:sz="6" w:space="0" w:color="000000"/>
              <w:right w:val="single" w:sz="6" w:space="0" w:color="000000"/>
            </w:tcBorders>
            <w:hideMark/>
          </w:tcPr>
          <w:p w14:paraId="461A5C97"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C5ED6BB"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5D60C7E1"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64E0FDFE"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05F99330"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2268" w:type="dxa"/>
              <w:tblInd w:w="127" w:type="dxa"/>
              <w:tblCellMar>
                <w:left w:w="0" w:type="dxa"/>
                <w:right w:w="0" w:type="dxa"/>
              </w:tblCellMar>
              <w:tblLook w:val="04A0" w:firstRow="1" w:lastRow="0" w:firstColumn="1" w:lastColumn="0" w:noHBand="0" w:noVBand="1"/>
            </w:tblPr>
            <w:tblGrid>
              <w:gridCol w:w="6"/>
              <w:gridCol w:w="2262"/>
            </w:tblGrid>
            <w:tr w:rsidR="00305E0F" w:rsidRPr="00305E0F" w14:paraId="3D5F2619" w14:textId="77777777">
              <w:trPr>
                <w:trHeight w:val="816"/>
              </w:trPr>
              <w:tc>
                <w:tcPr>
                  <w:tcW w:w="0" w:type="auto"/>
                  <w:hideMark/>
                </w:tcPr>
                <w:p w14:paraId="22537C51" w14:textId="714B8491" w:rsidR="00C91217" w:rsidRPr="00305E0F" w:rsidRDefault="00C91217" w:rsidP="00C91217">
                  <w:pPr>
                    <w:spacing w:before="120" w:after="0" w:line="240" w:lineRule="auto"/>
                    <w:rPr>
                      <w:rFonts w:ascii="Times New Roman" w:eastAsia="Times New Roman" w:hAnsi="Times New Roman" w:cs="Times New Roman"/>
                      <w:sz w:val="24"/>
                      <w:szCs w:val="24"/>
                      <w:lang w:val="en-GB"/>
                    </w:rPr>
                  </w:pPr>
                </w:p>
              </w:tc>
              <w:tc>
                <w:tcPr>
                  <w:tcW w:w="2262" w:type="dxa"/>
                  <w:hideMark/>
                </w:tcPr>
                <w:p w14:paraId="77D4E4EC" w14:textId="4EE175DA" w:rsidR="00C91217" w:rsidRPr="00305E0F" w:rsidRDefault="00C91217" w:rsidP="00C91217">
                  <w:pPr>
                    <w:pStyle w:val="P68B1DB1-Normal5"/>
                    <w:spacing w:before="120" w:after="0" w:line="240" w:lineRule="auto"/>
                    <w:rPr>
                      <w:lang w:val="en-GB"/>
                    </w:rPr>
                  </w:pPr>
                  <w:r w:rsidRPr="00305E0F">
                    <w:rPr>
                      <w:lang w:val="en-GB"/>
                    </w:rPr>
                    <w:t>Sub-factor: sponsors’ track record and financial strength</w:t>
                  </w:r>
                </w:p>
              </w:tc>
            </w:tr>
          </w:tbl>
          <w:p w14:paraId="06456A5F"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00E7775" w14:textId="3C50BF06" w:rsidR="00C91217" w:rsidRPr="00305E0F" w:rsidRDefault="00C91217" w:rsidP="00C91217">
            <w:pPr>
              <w:pStyle w:val="P68B1DB1-Normal27"/>
              <w:spacing w:before="60" w:after="60" w:line="240" w:lineRule="auto"/>
              <w:rPr>
                <w:lang w:val="en-GB"/>
              </w:rPr>
            </w:pPr>
            <w:r w:rsidRPr="00305E0F">
              <w:rPr>
                <w:lang w:val="en-GB"/>
              </w:rPr>
              <w:t>Sponsors with excellent track record and high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36099F24" w14:textId="7190D886" w:rsidR="00C91217" w:rsidRPr="00305E0F" w:rsidRDefault="00C91217" w:rsidP="00C91217">
            <w:pPr>
              <w:pStyle w:val="P68B1DB1-Normal27"/>
              <w:spacing w:before="60" w:after="60" w:line="240" w:lineRule="auto"/>
              <w:rPr>
                <w:lang w:val="en-GB"/>
              </w:rPr>
            </w:pPr>
            <w:r w:rsidRPr="00305E0F">
              <w:rPr>
                <w:lang w:val="en-GB"/>
              </w:rPr>
              <w:t>Sponsors with good track record and good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2A2B078A" w14:textId="1D63052C" w:rsidR="00C91217" w:rsidRPr="00305E0F" w:rsidRDefault="00C91217" w:rsidP="00C91217">
            <w:pPr>
              <w:pStyle w:val="P68B1DB1-Normal27"/>
              <w:spacing w:before="60" w:after="60" w:line="240" w:lineRule="auto"/>
              <w:rPr>
                <w:lang w:val="en-GB"/>
              </w:rPr>
            </w:pPr>
            <w:r w:rsidRPr="00305E0F">
              <w:rPr>
                <w:lang w:val="en-GB"/>
              </w:rPr>
              <w:t>Sponsors with adequate track record and good financial standing</w:t>
            </w:r>
          </w:p>
        </w:tc>
        <w:tc>
          <w:tcPr>
            <w:tcW w:w="0" w:type="auto"/>
            <w:tcBorders>
              <w:top w:val="single" w:sz="6" w:space="0" w:color="000000"/>
              <w:left w:val="single" w:sz="6" w:space="0" w:color="000000"/>
              <w:bottom w:val="single" w:sz="6" w:space="0" w:color="000000"/>
              <w:right w:val="single" w:sz="6" w:space="0" w:color="000000"/>
            </w:tcBorders>
            <w:hideMark/>
          </w:tcPr>
          <w:p w14:paraId="4FCCFC58" w14:textId="37ACC14A" w:rsidR="00C91217" w:rsidRPr="00305E0F" w:rsidRDefault="00C91217" w:rsidP="00C91217">
            <w:pPr>
              <w:pStyle w:val="P68B1DB1-Normal27"/>
              <w:spacing w:before="60" w:after="60" w:line="240" w:lineRule="auto"/>
              <w:rPr>
                <w:lang w:val="en-GB"/>
              </w:rPr>
            </w:pPr>
            <w:r w:rsidRPr="00305E0F">
              <w:rPr>
                <w:lang w:val="en-GB"/>
              </w:rPr>
              <w:t>Sponsors with no or questionable track record and/or financial weaknesses</w:t>
            </w:r>
          </w:p>
        </w:tc>
      </w:tr>
      <w:tr w:rsidR="00305E0F" w:rsidRPr="00305E0F" w14:paraId="7F9F940D" w14:textId="77777777">
        <w:tc>
          <w:tcPr>
            <w:tcW w:w="0" w:type="auto"/>
            <w:tcBorders>
              <w:top w:val="single" w:sz="6" w:space="0" w:color="000000"/>
              <w:left w:val="single" w:sz="6" w:space="0" w:color="000000"/>
              <w:bottom w:val="single" w:sz="6" w:space="0" w:color="000000"/>
              <w:right w:val="single" w:sz="6" w:space="0" w:color="000000"/>
            </w:tcBorders>
            <w:hideMark/>
          </w:tcPr>
          <w:p w14:paraId="0843282D" w14:textId="77777777" w:rsidR="00EB0050" w:rsidRPr="00305E0F" w:rsidRDefault="00B02122">
            <w:pPr>
              <w:pStyle w:val="P68B1DB1-Normal26"/>
              <w:spacing w:before="60" w:after="60" w:line="240" w:lineRule="auto"/>
              <w:rPr>
                <w:bCs/>
                <w:lang w:val="en-GB"/>
              </w:rPr>
            </w:pPr>
            <w:r w:rsidRPr="00305E0F">
              <w:rPr>
                <w:lang w:val="en-GB"/>
              </w:rPr>
              <w:t xml:space="preserve">Factor: </w:t>
            </w:r>
          </w:p>
          <w:p w14:paraId="52905C66" w14:textId="29C82C86" w:rsidR="00EB0050" w:rsidRPr="00305E0F" w:rsidRDefault="00C91217">
            <w:pPr>
              <w:pStyle w:val="P68B1DB1-Normal26"/>
              <w:spacing w:before="60" w:after="60" w:line="240" w:lineRule="auto"/>
              <w:rPr>
                <w:lang w:val="en-GB"/>
              </w:rPr>
            </w:pPr>
            <w:r w:rsidRPr="00305E0F">
              <w:rPr>
                <w:bCs/>
                <w:lang w:val="en-GB"/>
              </w:rPr>
              <w:t>security package</w:t>
            </w:r>
          </w:p>
        </w:tc>
        <w:tc>
          <w:tcPr>
            <w:tcW w:w="0" w:type="auto"/>
            <w:tcBorders>
              <w:top w:val="single" w:sz="6" w:space="0" w:color="000000"/>
              <w:left w:val="single" w:sz="6" w:space="0" w:color="000000"/>
              <w:bottom w:val="single" w:sz="6" w:space="0" w:color="000000"/>
              <w:right w:val="single" w:sz="6" w:space="0" w:color="000000"/>
            </w:tcBorders>
            <w:hideMark/>
          </w:tcPr>
          <w:p w14:paraId="0735853B"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B44E98C"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DC073C8"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B2683EB"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50DF5814"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5"/>
              <w:gridCol w:w="2410"/>
            </w:tblGrid>
            <w:tr w:rsidR="00305E0F" w:rsidRPr="00305E0F" w14:paraId="450A4DFB" w14:textId="77777777">
              <w:tc>
                <w:tcPr>
                  <w:tcW w:w="0" w:type="auto"/>
                  <w:hideMark/>
                </w:tcPr>
                <w:p w14:paraId="27FFB414" w14:textId="018E1AB8" w:rsidR="00C91217" w:rsidRPr="00305E0F" w:rsidRDefault="00C91217" w:rsidP="00C91217">
                  <w:pPr>
                    <w:pStyle w:val="P68B1DB1-Normal5"/>
                    <w:spacing w:before="120" w:after="0" w:line="240" w:lineRule="auto"/>
                    <w:rPr>
                      <w:lang w:val="en-GB"/>
                    </w:rPr>
                  </w:pPr>
                  <w:r w:rsidRPr="00305E0F">
                    <w:rPr>
                      <w:lang w:val="en-GB"/>
                    </w:rPr>
                    <w:t>1.</w:t>
                  </w:r>
                </w:p>
              </w:tc>
              <w:tc>
                <w:tcPr>
                  <w:tcW w:w="0" w:type="auto"/>
                  <w:hideMark/>
                </w:tcPr>
                <w:p w14:paraId="17AC38C3" w14:textId="73039BA8" w:rsidR="00C91217" w:rsidRPr="00305E0F" w:rsidRDefault="00C91217" w:rsidP="00C91217">
                  <w:pPr>
                    <w:pStyle w:val="P68B1DB1-Normal5"/>
                    <w:spacing w:before="120" w:after="0" w:line="240" w:lineRule="auto"/>
                    <w:rPr>
                      <w:lang w:val="en-GB"/>
                    </w:rPr>
                  </w:pPr>
                  <w:r w:rsidRPr="00305E0F">
                    <w:rPr>
                      <w:lang w:val="en-GB"/>
                    </w:rPr>
                    <w:t>Sub-factor: asset control</w:t>
                  </w:r>
                </w:p>
              </w:tc>
            </w:tr>
          </w:tbl>
          <w:p w14:paraId="375E786A"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E3E595E" w14:textId="21CA28C5" w:rsidR="00C91217" w:rsidRPr="00305E0F" w:rsidRDefault="00C91217" w:rsidP="00C91217">
            <w:pPr>
              <w:pStyle w:val="P68B1DB1-Normal27"/>
              <w:spacing w:before="60" w:after="60" w:line="240" w:lineRule="auto"/>
              <w:rPr>
                <w:lang w:val="en-GB"/>
              </w:rPr>
            </w:pPr>
            <w:r w:rsidRPr="00305E0F">
              <w:rPr>
                <w:lang w:val="en-GB"/>
              </w:rPr>
              <w:t>Legal documentation provides the lender effective control (e.g. a first perfected security interest, or a leasing structure including such security) on the asset, or on the company owning it.</w:t>
            </w:r>
          </w:p>
        </w:tc>
        <w:tc>
          <w:tcPr>
            <w:tcW w:w="0" w:type="auto"/>
            <w:tcBorders>
              <w:top w:val="single" w:sz="6" w:space="0" w:color="000000"/>
              <w:left w:val="single" w:sz="6" w:space="0" w:color="000000"/>
              <w:bottom w:val="single" w:sz="6" w:space="0" w:color="000000"/>
              <w:right w:val="single" w:sz="6" w:space="0" w:color="000000"/>
            </w:tcBorders>
            <w:hideMark/>
          </w:tcPr>
          <w:p w14:paraId="78F74356" w14:textId="07114454" w:rsidR="00C91217" w:rsidRPr="00305E0F" w:rsidRDefault="00C91217" w:rsidP="00C91217">
            <w:pPr>
              <w:pStyle w:val="P68B1DB1-Normal27"/>
              <w:spacing w:before="60" w:after="60" w:line="240" w:lineRule="auto"/>
              <w:rPr>
                <w:lang w:val="en-GB"/>
              </w:rPr>
            </w:pPr>
            <w:r w:rsidRPr="00305E0F">
              <w:rPr>
                <w:lang w:val="en-GB"/>
              </w:rPr>
              <w:t>Legal documentation provides the lender effective control (e.g. a perfected security interest, or a leasing structure including such security) on the asset, or on the company owning it.</w:t>
            </w:r>
          </w:p>
        </w:tc>
        <w:tc>
          <w:tcPr>
            <w:tcW w:w="0" w:type="auto"/>
            <w:tcBorders>
              <w:top w:val="single" w:sz="6" w:space="0" w:color="000000"/>
              <w:left w:val="single" w:sz="6" w:space="0" w:color="000000"/>
              <w:bottom w:val="single" w:sz="6" w:space="0" w:color="000000"/>
              <w:right w:val="single" w:sz="6" w:space="0" w:color="000000"/>
            </w:tcBorders>
            <w:hideMark/>
          </w:tcPr>
          <w:p w14:paraId="40DF326D" w14:textId="3CA6E734" w:rsidR="00C91217" w:rsidRPr="00305E0F" w:rsidRDefault="00C91217" w:rsidP="00C91217">
            <w:pPr>
              <w:pStyle w:val="P68B1DB1-Normal27"/>
              <w:spacing w:before="60" w:after="60" w:line="240" w:lineRule="auto"/>
              <w:rPr>
                <w:lang w:val="en-GB"/>
              </w:rPr>
            </w:pPr>
            <w:r w:rsidRPr="00305E0F">
              <w:rPr>
                <w:lang w:val="en-GB"/>
              </w:rPr>
              <w:t>Legal documentation provides the lender effective control (e.g. a perfected security interest, or a leasing structure including such security) on the asset, or on the company owning it.</w:t>
            </w:r>
          </w:p>
        </w:tc>
        <w:tc>
          <w:tcPr>
            <w:tcW w:w="0" w:type="auto"/>
            <w:tcBorders>
              <w:top w:val="single" w:sz="6" w:space="0" w:color="000000"/>
              <w:left w:val="single" w:sz="6" w:space="0" w:color="000000"/>
              <w:bottom w:val="single" w:sz="6" w:space="0" w:color="000000"/>
              <w:right w:val="single" w:sz="6" w:space="0" w:color="000000"/>
            </w:tcBorders>
            <w:hideMark/>
          </w:tcPr>
          <w:p w14:paraId="4D9E66EC" w14:textId="30C23FB0" w:rsidR="00C91217" w:rsidRPr="00305E0F" w:rsidRDefault="00C91217" w:rsidP="00C91217">
            <w:pPr>
              <w:pStyle w:val="P68B1DB1-Normal27"/>
              <w:spacing w:before="60" w:after="60" w:line="240" w:lineRule="auto"/>
              <w:rPr>
                <w:lang w:val="en-GB"/>
              </w:rPr>
            </w:pPr>
            <w:r w:rsidRPr="00305E0F">
              <w:rPr>
                <w:lang w:val="en-GB"/>
              </w:rPr>
              <w:t>The contract provides little security to the lender and leaves room to some risk of losing control on the asse</w:t>
            </w:r>
          </w:p>
        </w:tc>
      </w:tr>
      <w:tr w:rsidR="00305E0F" w:rsidRPr="00305E0F" w14:paraId="3C15DEE1"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89"/>
            </w:tblGrid>
            <w:tr w:rsidR="00305E0F" w:rsidRPr="00305E0F" w14:paraId="43AED18E" w14:textId="77777777">
              <w:tc>
                <w:tcPr>
                  <w:tcW w:w="0" w:type="auto"/>
                  <w:hideMark/>
                </w:tcPr>
                <w:p w14:paraId="2342EA22" w14:textId="103AA1EA" w:rsidR="00C91217" w:rsidRPr="00305E0F" w:rsidRDefault="00C91217" w:rsidP="00C91217">
                  <w:pPr>
                    <w:spacing w:before="120" w:after="0" w:line="240" w:lineRule="auto"/>
                    <w:rPr>
                      <w:rFonts w:ascii="Times New Roman" w:eastAsia="Times New Roman" w:hAnsi="Times New Roman" w:cs="Times New Roman"/>
                      <w:sz w:val="24"/>
                      <w:szCs w:val="24"/>
                      <w:lang w:val="en-GB"/>
                    </w:rPr>
                  </w:pPr>
                </w:p>
              </w:tc>
              <w:tc>
                <w:tcPr>
                  <w:tcW w:w="0" w:type="auto"/>
                  <w:hideMark/>
                </w:tcPr>
                <w:p w14:paraId="591CDF49" w14:textId="1BE0E46B" w:rsidR="00C91217" w:rsidRPr="00305E0F" w:rsidRDefault="00C91217" w:rsidP="00C91217">
                  <w:pPr>
                    <w:pStyle w:val="P68B1DB1-Normal5"/>
                    <w:spacing w:before="120" w:after="0" w:line="240" w:lineRule="auto"/>
                    <w:rPr>
                      <w:lang w:val="en-GB"/>
                    </w:rPr>
                  </w:pPr>
                  <w:r w:rsidRPr="00305E0F">
                    <w:rPr>
                      <w:lang w:val="en-GB"/>
                    </w:rPr>
                    <w:t>2.Sub-factor: rights and means at the lender’s disposal to monitor the location and condition of the asset</w:t>
                  </w:r>
                </w:p>
              </w:tc>
            </w:tr>
          </w:tbl>
          <w:p w14:paraId="24AA0CDA"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2ABBDFFD" w14:textId="1E937062" w:rsidR="00C91217" w:rsidRPr="00305E0F" w:rsidRDefault="00C91217" w:rsidP="00C91217">
            <w:pPr>
              <w:pStyle w:val="P68B1DB1-Normal27"/>
              <w:spacing w:before="60" w:after="60" w:line="240" w:lineRule="auto"/>
              <w:rPr>
                <w:lang w:val="en-GB"/>
              </w:rPr>
            </w:pPr>
            <w:r w:rsidRPr="00305E0F">
              <w:rPr>
                <w:lang w:val="en-GB"/>
              </w:rPr>
              <w:t>The lender is able to monitor the location and condition of the asset, at any time and place (regular reports, possibility to lead inspections).</w:t>
            </w:r>
          </w:p>
        </w:tc>
        <w:tc>
          <w:tcPr>
            <w:tcW w:w="0" w:type="auto"/>
            <w:tcBorders>
              <w:top w:val="single" w:sz="6" w:space="0" w:color="000000"/>
              <w:left w:val="single" w:sz="6" w:space="0" w:color="000000"/>
              <w:bottom w:val="single" w:sz="6" w:space="0" w:color="000000"/>
              <w:right w:val="single" w:sz="6" w:space="0" w:color="000000"/>
            </w:tcBorders>
            <w:hideMark/>
          </w:tcPr>
          <w:p w14:paraId="048CA9C2" w14:textId="720D8214" w:rsidR="00C91217" w:rsidRPr="00305E0F" w:rsidRDefault="00C91217" w:rsidP="00C91217">
            <w:pPr>
              <w:pStyle w:val="P68B1DB1-Normal27"/>
              <w:spacing w:before="60" w:after="60" w:line="240" w:lineRule="auto"/>
              <w:rPr>
                <w:lang w:val="en-GB"/>
              </w:rPr>
            </w:pPr>
            <w:r w:rsidRPr="00305E0F">
              <w:rPr>
                <w:lang w:val="en-GB"/>
              </w:rPr>
              <w:t>The lender is able to monitor the location and condition of the asset, almost at any time and place.</w:t>
            </w:r>
          </w:p>
        </w:tc>
        <w:tc>
          <w:tcPr>
            <w:tcW w:w="0" w:type="auto"/>
            <w:tcBorders>
              <w:top w:val="single" w:sz="6" w:space="0" w:color="000000"/>
              <w:left w:val="single" w:sz="6" w:space="0" w:color="000000"/>
              <w:bottom w:val="single" w:sz="6" w:space="0" w:color="000000"/>
              <w:right w:val="single" w:sz="6" w:space="0" w:color="000000"/>
            </w:tcBorders>
            <w:hideMark/>
          </w:tcPr>
          <w:p w14:paraId="23591779" w14:textId="52692D68" w:rsidR="00C91217" w:rsidRPr="00305E0F" w:rsidRDefault="00C91217" w:rsidP="00C91217">
            <w:pPr>
              <w:pStyle w:val="P68B1DB1-Normal27"/>
              <w:spacing w:before="60" w:after="60" w:line="240" w:lineRule="auto"/>
              <w:rPr>
                <w:lang w:val="en-GB"/>
              </w:rPr>
            </w:pPr>
            <w:r w:rsidRPr="00305E0F">
              <w:rPr>
                <w:lang w:val="en-GB"/>
              </w:rPr>
              <w:t>The lender is able to monitor the location and condition of the asset, almost at any time and place.</w:t>
            </w:r>
          </w:p>
        </w:tc>
        <w:tc>
          <w:tcPr>
            <w:tcW w:w="0" w:type="auto"/>
            <w:tcBorders>
              <w:top w:val="single" w:sz="6" w:space="0" w:color="000000"/>
              <w:left w:val="single" w:sz="6" w:space="0" w:color="000000"/>
              <w:bottom w:val="single" w:sz="6" w:space="0" w:color="000000"/>
              <w:right w:val="single" w:sz="6" w:space="0" w:color="000000"/>
            </w:tcBorders>
            <w:hideMark/>
          </w:tcPr>
          <w:p w14:paraId="2BE645F0" w14:textId="1D864D7E" w:rsidR="00C91217" w:rsidRPr="00305E0F" w:rsidRDefault="00C91217" w:rsidP="00C91217">
            <w:pPr>
              <w:pStyle w:val="P68B1DB1-Normal27"/>
              <w:spacing w:before="60" w:after="60" w:line="240" w:lineRule="auto"/>
              <w:rPr>
                <w:lang w:val="en-GB"/>
              </w:rPr>
            </w:pPr>
            <w:r w:rsidRPr="00305E0F">
              <w:rPr>
                <w:lang w:val="en-GB"/>
              </w:rPr>
              <w:t>The lender’s ability to monitor the location and condition of the asset are limited.</w:t>
            </w:r>
          </w:p>
        </w:tc>
      </w:tr>
      <w:tr w:rsidR="00305E0F" w:rsidRPr="00305E0F" w14:paraId="6B7F4E20"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89"/>
            </w:tblGrid>
            <w:tr w:rsidR="00305E0F" w:rsidRPr="00305E0F" w14:paraId="306FF539" w14:textId="77777777">
              <w:tc>
                <w:tcPr>
                  <w:tcW w:w="0" w:type="auto"/>
                  <w:hideMark/>
                </w:tcPr>
                <w:p w14:paraId="2E143DA6" w14:textId="229296DC" w:rsidR="00C91217" w:rsidRPr="00305E0F" w:rsidRDefault="00C91217" w:rsidP="00C91217">
                  <w:pPr>
                    <w:spacing w:before="120" w:after="0" w:line="240" w:lineRule="auto"/>
                    <w:rPr>
                      <w:rFonts w:ascii="Times New Roman" w:eastAsia="Times New Roman" w:hAnsi="Times New Roman" w:cs="Times New Roman"/>
                      <w:sz w:val="24"/>
                      <w:szCs w:val="24"/>
                      <w:lang w:val="en-GB"/>
                    </w:rPr>
                  </w:pPr>
                </w:p>
              </w:tc>
              <w:tc>
                <w:tcPr>
                  <w:tcW w:w="0" w:type="auto"/>
                  <w:hideMark/>
                </w:tcPr>
                <w:p w14:paraId="598DCFF6" w14:textId="37CA8B7B" w:rsidR="00C91217" w:rsidRPr="00305E0F" w:rsidRDefault="00C91217" w:rsidP="00C91217">
                  <w:pPr>
                    <w:pStyle w:val="P68B1DB1-Normal5"/>
                    <w:spacing w:before="120" w:after="0" w:line="240" w:lineRule="auto"/>
                    <w:rPr>
                      <w:lang w:val="en-GB"/>
                    </w:rPr>
                  </w:pPr>
                  <w:r w:rsidRPr="00305E0F">
                    <w:rPr>
                      <w:lang w:val="en-GB"/>
                    </w:rPr>
                    <w:t>3.Subfactor: insurance against damages</w:t>
                  </w:r>
                </w:p>
              </w:tc>
            </w:tr>
          </w:tbl>
          <w:p w14:paraId="521F51EA"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16965F6B" w14:textId="074F5951" w:rsidR="00C91217" w:rsidRPr="00305E0F" w:rsidRDefault="00C91217" w:rsidP="00C91217">
            <w:pPr>
              <w:pStyle w:val="P68B1DB1-Normal27"/>
              <w:spacing w:before="60" w:after="60" w:line="240" w:lineRule="auto"/>
              <w:rPr>
                <w:lang w:val="en-GB"/>
              </w:rPr>
            </w:pPr>
            <w:r w:rsidRPr="00305E0F">
              <w:rPr>
                <w:lang w:val="en-GB"/>
              </w:rPr>
              <w:t>Strong insurance coverage including collateral damages with top quality insurance companies</w:t>
            </w:r>
          </w:p>
        </w:tc>
        <w:tc>
          <w:tcPr>
            <w:tcW w:w="0" w:type="auto"/>
            <w:tcBorders>
              <w:top w:val="single" w:sz="6" w:space="0" w:color="000000"/>
              <w:left w:val="single" w:sz="6" w:space="0" w:color="000000"/>
              <w:bottom w:val="single" w:sz="6" w:space="0" w:color="000000"/>
              <w:right w:val="single" w:sz="6" w:space="0" w:color="000000"/>
            </w:tcBorders>
            <w:hideMark/>
          </w:tcPr>
          <w:p w14:paraId="21D74472" w14:textId="5E0916EC" w:rsidR="00C91217" w:rsidRPr="00305E0F" w:rsidRDefault="00C91217" w:rsidP="00C91217">
            <w:pPr>
              <w:pStyle w:val="P68B1DB1-Normal27"/>
              <w:spacing w:before="60" w:after="60" w:line="240" w:lineRule="auto"/>
              <w:rPr>
                <w:lang w:val="en-GB"/>
              </w:rPr>
            </w:pPr>
            <w:r w:rsidRPr="00305E0F">
              <w:rPr>
                <w:lang w:val="en-GB"/>
              </w:rPr>
              <w:t>Satisfactory insurance coverage (not including collateral damages) with good quality insurance companies</w:t>
            </w:r>
          </w:p>
        </w:tc>
        <w:tc>
          <w:tcPr>
            <w:tcW w:w="0" w:type="auto"/>
            <w:tcBorders>
              <w:top w:val="single" w:sz="6" w:space="0" w:color="000000"/>
              <w:left w:val="single" w:sz="6" w:space="0" w:color="000000"/>
              <w:bottom w:val="single" w:sz="6" w:space="0" w:color="000000"/>
              <w:right w:val="single" w:sz="6" w:space="0" w:color="000000"/>
            </w:tcBorders>
            <w:hideMark/>
          </w:tcPr>
          <w:p w14:paraId="5A698235" w14:textId="1A16E439" w:rsidR="00C91217" w:rsidRPr="00305E0F" w:rsidRDefault="00C91217" w:rsidP="00C91217">
            <w:pPr>
              <w:pStyle w:val="P68B1DB1-Normal27"/>
              <w:spacing w:before="60" w:after="60" w:line="240" w:lineRule="auto"/>
              <w:rPr>
                <w:lang w:val="en-GB"/>
              </w:rPr>
            </w:pPr>
            <w:r w:rsidRPr="00305E0F">
              <w:rPr>
                <w:lang w:val="en-GB"/>
              </w:rPr>
              <w:t>Fair insurance coverage (not including collateral damages) with acceptable quality insurance</w:t>
            </w:r>
          </w:p>
        </w:tc>
        <w:tc>
          <w:tcPr>
            <w:tcW w:w="0" w:type="auto"/>
            <w:tcBorders>
              <w:top w:val="single" w:sz="6" w:space="0" w:color="000000"/>
              <w:left w:val="single" w:sz="6" w:space="0" w:color="000000"/>
              <w:bottom w:val="single" w:sz="6" w:space="0" w:color="000000"/>
              <w:right w:val="single" w:sz="6" w:space="0" w:color="000000"/>
            </w:tcBorders>
            <w:hideMark/>
          </w:tcPr>
          <w:p w14:paraId="1CB51F52" w14:textId="165811BE" w:rsidR="00C91217" w:rsidRPr="00305E0F" w:rsidRDefault="00C91217" w:rsidP="00C91217">
            <w:pPr>
              <w:pStyle w:val="P68B1DB1-Normal27"/>
              <w:spacing w:before="60" w:after="60" w:line="240" w:lineRule="auto"/>
              <w:rPr>
                <w:lang w:val="en-GB"/>
              </w:rPr>
            </w:pPr>
            <w:r w:rsidRPr="00305E0F">
              <w:rPr>
                <w:lang w:val="en-GB"/>
              </w:rPr>
              <w:t>Weak insurance coverage (not including collateral damages) or with weak quality insurance</w:t>
            </w:r>
          </w:p>
        </w:tc>
      </w:tr>
    </w:tbl>
    <w:p w14:paraId="7C28233C" w14:textId="72BDF93E" w:rsidR="00EB0050" w:rsidRPr="00305E0F" w:rsidRDefault="00B02122">
      <w:pPr>
        <w:pStyle w:val="P68B1DB1-Normal25"/>
        <w:shd w:val="clear" w:color="auto" w:fill="FFFFFF"/>
        <w:spacing w:before="240" w:after="120" w:line="240" w:lineRule="auto"/>
        <w:jc w:val="right"/>
        <w:rPr>
          <w:bCs/>
          <w:iCs/>
          <w:color w:val="auto"/>
          <w:lang w:val="en-GB"/>
        </w:rPr>
      </w:pPr>
      <w:r w:rsidRPr="00305E0F">
        <w:rPr>
          <w:color w:val="auto"/>
          <w:lang w:val="en-GB"/>
        </w:rPr>
        <w:t>Table 4</w:t>
      </w:r>
    </w:p>
    <w:p w14:paraId="2ADCC14A" w14:textId="60CA8D9A" w:rsidR="00EB0050" w:rsidRPr="00305E0F" w:rsidRDefault="00C91217">
      <w:pPr>
        <w:pStyle w:val="P68B1DB1-Normal10"/>
        <w:shd w:val="clear" w:color="auto" w:fill="FFFFFF"/>
        <w:spacing w:before="240" w:after="120" w:line="240" w:lineRule="auto"/>
        <w:jc w:val="center"/>
        <w:rPr>
          <w:bCs/>
          <w:color w:val="auto"/>
          <w:lang w:val="en-GB"/>
        </w:rPr>
      </w:pPr>
      <w:r w:rsidRPr="00305E0F">
        <w:rPr>
          <w:color w:val="auto"/>
          <w:lang w:val="en-GB"/>
        </w:rPr>
        <w:t>Assessment criteria for commodities finance exposures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72"/>
        <w:gridCol w:w="1628"/>
        <w:gridCol w:w="1652"/>
        <w:gridCol w:w="1956"/>
        <w:gridCol w:w="1830"/>
      </w:tblGrid>
      <w:tr w:rsidR="00305E0F" w:rsidRPr="00305E0F" w14:paraId="5FBAB1E3" w14:textId="77777777">
        <w:tc>
          <w:tcPr>
            <w:tcW w:w="0" w:type="auto"/>
            <w:tcBorders>
              <w:top w:val="single" w:sz="6" w:space="0" w:color="000000"/>
              <w:left w:val="single" w:sz="6" w:space="0" w:color="000000"/>
              <w:bottom w:val="single" w:sz="6" w:space="0" w:color="000000"/>
              <w:right w:val="single" w:sz="6" w:space="0" w:color="000000"/>
            </w:tcBorders>
            <w:hideMark/>
          </w:tcPr>
          <w:p w14:paraId="71EFFD89"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EDE5FD1" w14:textId="77777777" w:rsidR="00EB0050" w:rsidRPr="00305E0F" w:rsidRDefault="00B02122">
            <w:pPr>
              <w:pStyle w:val="P68B1DB1-Normal26"/>
              <w:spacing w:before="60" w:after="60" w:line="240" w:lineRule="auto"/>
              <w:ind w:right="195"/>
              <w:jc w:val="center"/>
              <w:rPr>
                <w:bCs/>
                <w:lang w:val="en-GB"/>
              </w:rPr>
            </w:pPr>
            <w:r w:rsidRPr="00305E0F">
              <w:rPr>
                <w:lang w:val="en-GB"/>
              </w:rPr>
              <w:t>Category 1</w:t>
            </w:r>
          </w:p>
        </w:tc>
        <w:tc>
          <w:tcPr>
            <w:tcW w:w="0" w:type="auto"/>
            <w:tcBorders>
              <w:top w:val="single" w:sz="6" w:space="0" w:color="000000"/>
              <w:left w:val="single" w:sz="6" w:space="0" w:color="000000"/>
              <w:bottom w:val="single" w:sz="6" w:space="0" w:color="000000"/>
              <w:right w:val="single" w:sz="6" w:space="0" w:color="000000"/>
            </w:tcBorders>
            <w:hideMark/>
          </w:tcPr>
          <w:p w14:paraId="540E8FE5" w14:textId="77777777" w:rsidR="00EB0050" w:rsidRPr="00305E0F" w:rsidRDefault="00B02122">
            <w:pPr>
              <w:pStyle w:val="P68B1DB1-Normal26"/>
              <w:spacing w:before="60" w:after="60" w:line="240" w:lineRule="auto"/>
              <w:ind w:right="195"/>
              <w:jc w:val="center"/>
              <w:rPr>
                <w:bCs/>
                <w:lang w:val="en-GB"/>
              </w:rPr>
            </w:pPr>
            <w:r w:rsidRPr="00305E0F">
              <w:rPr>
                <w:lang w:val="en-GB"/>
              </w:rPr>
              <w:t>Category 2</w:t>
            </w:r>
          </w:p>
        </w:tc>
        <w:tc>
          <w:tcPr>
            <w:tcW w:w="0" w:type="auto"/>
            <w:tcBorders>
              <w:top w:val="single" w:sz="6" w:space="0" w:color="000000"/>
              <w:left w:val="single" w:sz="6" w:space="0" w:color="000000"/>
              <w:bottom w:val="single" w:sz="6" w:space="0" w:color="000000"/>
              <w:right w:val="single" w:sz="6" w:space="0" w:color="000000"/>
            </w:tcBorders>
            <w:hideMark/>
          </w:tcPr>
          <w:p w14:paraId="4DB31C28" w14:textId="77777777" w:rsidR="00EB0050" w:rsidRPr="00305E0F" w:rsidRDefault="00B02122">
            <w:pPr>
              <w:pStyle w:val="P68B1DB1-Normal26"/>
              <w:spacing w:before="60" w:after="60" w:line="240" w:lineRule="auto"/>
              <w:ind w:right="195"/>
              <w:jc w:val="center"/>
              <w:rPr>
                <w:bCs/>
                <w:lang w:val="en-GB"/>
              </w:rPr>
            </w:pPr>
            <w:r w:rsidRPr="00305E0F">
              <w:rPr>
                <w:lang w:val="en-GB"/>
              </w:rPr>
              <w:t>Category 3</w:t>
            </w:r>
          </w:p>
        </w:tc>
        <w:tc>
          <w:tcPr>
            <w:tcW w:w="0" w:type="auto"/>
            <w:tcBorders>
              <w:top w:val="single" w:sz="6" w:space="0" w:color="000000"/>
              <w:left w:val="single" w:sz="6" w:space="0" w:color="000000"/>
              <w:bottom w:val="single" w:sz="6" w:space="0" w:color="000000"/>
              <w:right w:val="single" w:sz="6" w:space="0" w:color="000000"/>
            </w:tcBorders>
            <w:hideMark/>
          </w:tcPr>
          <w:p w14:paraId="6B4C0DCF" w14:textId="77777777" w:rsidR="00EB0050" w:rsidRPr="00305E0F" w:rsidRDefault="00B02122">
            <w:pPr>
              <w:pStyle w:val="P68B1DB1-Normal26"/>
              <w:spacing w:before="60" w:after="60" w:line="240" w:lineRule="auto"/>
              <w:ind w:right="195"/>
              <w:jc w:val="center"/>
              <w:rPr>
                <w:bCs/>
                <w:lang w:val="en-GB"/>
              </w:rPr>
            </w:pPr>
            <w:r w:rsidRPr="00305E0F">
              <w:rPr>
                <w:lang w:val="en-GB"/>
              </w:rPr>
              <w:t>Category 4</w:t>
            </w:r>
          </w:p>
        </w:tc>
      </w:tr>
      <w:tr w:rsidR="00305E0F" w:rsidRPr="00305E0F" w14:paraId="63036066" w14:textId="77777777">
        <w:tc>
          <w:tcPr>
            <w:tcW w:w="0" w:type="auto"/>
            <w:tcBorders>
              <w:top w:val="single" w:sz="6" w:space="0" w:color="000000"/>
              <w:left w:val="single" w:sz="6" w:space="0" w:color="000000"/>
              <w:bottom w:val="single" w:sz="6" w:space="0" w:color="000000"/>
              <w:right w:val="single" w:sz="6" w:space="0" w:color="000000"/>
            </w:tcBorders>
            <w:hideMark/>
          </w:tcPr>
          <w:p w14:paraId="49717171" w14:textId="77777777" w:rsidR="00EB0050" w:rsidRPr="00305E0F" w:rsidRDefault="00B02122">
            <w:pPr>
              <w:pStyle w:val="P68B1DB1-Normal26"/>
              <w:spacing w:before="60" w:after="60" w:line="240" w:lineRule="auto"/>
              <w:rPr>
                <w:bCs/>
                <w:lang w:val="en-GB"/>
              </w:rPr>
            </w:pPr>
            <w:r w:rsidRPr="00305E0F">
              <w:rPr>
                <w:lang w:val="en-GB"/>
              </w:rPr>
              <w:t xml:space="preserve">Factor: </w:t>
            </w:r>
          </w:p>
          <w:p w14:paraId="18473CB1" w14:textId="2D931D9A" w:rsidR="00EB0050" w:rsidRPr="00305E0F" w:rsidRDefault="00B02122">
            <w:pPr>
              <w:pStyle w:val="P68B1DB1-Normal26"/>
              <w:spacing w:before="60" w:after="60" w:line="240" w:lineRule="auto"/>
              <w:rPr>
                <w:lang w:val="en-GB"/>
              </w:rPr>
            </w:pPr>
            <w:r w:rsidRPr="00305E0F">
              <w:rPr>
                <w:lang w:val="en-GB"/>
              </w:rPr>
              <w:t xml:space="preserve">financial </w:t>
            </w:r>
            <w:r w:rsidR="00C91217" w:rsidRPr="00305E0F">
              <w:rPr>
                <w:lang w:val="en-GB"/>
              </w:rPr>
              <w:t>strength</w:t>
            </w:r>
          </w:p>
        </w:tc>
        <w:tc>
          <w:tcPr>
            <w:tcW w:w="0" w:type="auto"/>
            <w:tcBorders>
              <w:top w:val="single" w:sz="6" w:space="0" w:color="000000"/>
              <w:left w:val="single" w:sz="6" w:space="0" w:color="000000"/>
              <w:bottom w:val="single" w:sz="6" w:space="0" w:color="000000"/>
              <w:right w:val="single" w:sz="6" w:space="0" w:color="000000"/>
            </w:tcBorders>
            <w:hideMark/>
          </w:tcPr>
          <w:p w14:paraId="7FF00300"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5B019C0"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FD8B33E"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76118DA"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581D62E9"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1857" w:type="dxa"/>
              <w:tblInd w:w="127" w:type="dxa"/>
              <w:tblCellMar>
                <w:left w:w="0" w:type="dxa"/>
                <w:right w:w="0" w:type="dxa"/>
              </w:tblCellMar>
              <w:tblLook w:val="04A0" w:firstRow="1" w:lastRow="0" w:firstColumn="1" w:lastColumn="0" w:noHBand="0" w:noVBand="1"/>
            </w:tblPr>
            <w:tblGrid>
              <w:gridCol w:w="6"/>
              <w:gridCol w:w="1851"/>
            </w:tblGrid>
            <w:tr w:rsidR="00305E0F" w:rsidRPr="00305E0F" w14:paraId="0A51BE60" w14:textId="77777777">
              <w:tc>
                <w:tcPr>
                  <w:tcW w:w="0" w:type="auto"/>
                  <w:hideMark/>
                </w:tcPr>
                <w:p w14:paraId="139616FA" w14:textId="7BF8CFBC" w:rsidR="00C91217" w:rsidRPr="00305E0F" w:rsidRDefault="00C91217" w:rsidP="00C91217">
                  <w:pPr>
                    <w:spacing w:before="120" w:after="0" w:line="240" w:lineRule="auto"/>
                    <w:jc w:val="both"/>
                    <w:rPr>
                      <w:rFonts w:ascii="Times New Roman" w:eastAsia="Times New Roman" w:hAnsi="Times New Roman" w:cs="Times New Roman"/>
                      <w:sz w:val="24"/>
                      <w:szCs w:val="24"/>
                      <w:lang w:val="en-GB"/>
                    </w:rPr>
                  </w:pPr>
                </w:p>
              </w:tc>
              <w:tc>
                <w:tcPr>
                  <w:tcW w:w="0" w:type="auto"/>
                  <w:hideMark/>
                </w:tcPr>
                <w:p w14:paraId="7FFC3A33" w14:textId="7A68FE52" w:rsidR="00C91217" w:rsidRPr="00305E0F" w:rsidRDefault="00C91217" w:rsidP="00C91217">
                  <w:pPr>
                    <w:pStyle w:val="P68B1DB1-Normal5"/>
                    <w:spacing w:before="120" w:after="0" w:line="240" w:lineRule="auto"/>
                    <w:ind w:right="159"/>
                    <w:jc w:val="both"/>
                    <w:rPr>
                      <w:lang w:val="en-GB"/>
                    </w:rPr>
                  </w:pPr>
                  <w:r w:rsidRPr="00305E0F">
                    <w:rPr>
                      <w:lang w:val="en-GB"/>
                    </w:rPr>
                    <w:t>Sub-factor: the degree of over-collateralisation of trade</w:t>
                  </w:r>
                </w:p>
              </w:tc>
            </w:tr>
          </w:tbl>
          <w:p w14:paraId="7D01287C"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07B256B" w14:textId="07310F7C" w:rsidR="00C91217" w:rsidRPr="00305E0F" w:rsidRDefault="00C91217" w:rsidP="00C91217">
            <w:pPr>
              <w:pStyle w:val="P68B1DB1-Normal27"/>
              <w:spacing w:before="60" w:after="60" w:line="240" w:lineRule="auto"/>
              <w:rPr>
                <w:lang w:val="en-GB"/>
              </w:rPr>
            </w:pPr>
            <w:r w:rsidRPr="00305E0F">
              <w:rPr>
                <w:lang w:val="en-GB"/>
              </w:rPr>
              <w:t>Strong</w:t>
            </w:r>
          </w:p>
        </w:tc>
        <w:tc>
          <w:tcPr>
            <w:tcW w:w="0" w:type="auto"/>
            <w:tcBorders>
              <w:top w:val="single" w:sz="6" w:space="0" w:color="000000"/>
              <w:left w:val="single" w:sz="6" w:space="0" w:color="000000"/>
              <w:bottom w:val="single" w:sz="6" w:space="0" w:color="000000"/>
              <w:right w:val="single" w:sz="6" w:space="0" w:color="000000"/>
            </w:tcBorders>
            <w:hideMark/>
          </w:tcPr>
          <w:p w14:paraId="7F5743D2" w14:textId="2A04E6FF" w:rsidR="00C91217" w:rsidRPr="00305E0F" w:rsidRDefault="00C91217" w:rsidP="00C91217">
            <w:pPr>
              <w:pStyle w:val="P68B1DB1-Normal27"/>
              <w:spacing w:before="60" w:after="60" w:line="240" w:lineRule="auto"/>
              <w:rPr>
                <w:lang w:val="en-GB"/>
              </w:rPr>
            </w:pPr>
            <w:r w:rsidRPr="00305E0F">
              <w:rPr>
                <w:lang w:val="en-GB"/>
              </w:rPr>
              <w:t>Good</w:t>
            </w:r>
          </w:p>
        </w:tc>
        <w:tc>
          <w:tcPr>
            <w:tcW w:w="0" w:type="auto"/>
            <w:tcBorders>
              <w:top w:val="single" w:sz="6" w:space="0" w:color="000000"/>
              <w:left w:val="single" w:sz="6" w:space="0" w:color="000000"/>
              <w:bottom w:val="single" w:sz="6" w:space="0" w:color="000000"/>
              <w:right w:val="single" w:sz="6" w:space="0" w:color="000000"/>
            </w:tcBorders>
            <w:hideMark/>
          </w:tcPr>
          <w:p w14:paraId="51D1DA35" w14:textId="47116A1C" w:rsidR="00C91217" w:rsidRPr="00305E0F" w:rsidRDefault="00C91217" w:rsidP="00C91217">
            <w:pPr>
              <w:pStyle w:val="P68B1DB1-Normal27"/>
              <w:spacing w:before="60" w:after="60" w:line="240" w:lineRule="auto"/>
              <w:rPr>
                <w:lang w:val="en-GB"/>
              </w:rPr>
            </w:pPr>
            <w:r w:rsidRPr="00305E0F">
              <w:rPr>
                <w:lang w:val="en-GB"/>
              </w:rPr>
              <w:t>Satisfactory</w:t>
            </w:r>
          </w:p>
        </w:tc>
        <w:tc>
          <w:tcPr>
            <w:tcW w:w="0" w:type="auto"/>
            <w:tcBorders>
              <w:top w:val="single" w:sz="6" w:space="0" w:color="000000"/>
              <w:left w:val="single" w:sz="6" w:space="0" w:color="000000"/>
              <w:bottom w:val="single" w:sz="6" w:space="0" w:color="000000"/>
              <w:right w:val="single" w:sz="6" w:space="0" w:color="000000"/>
            </w:tcBorders>
            <w:hideMark/>
          </w:tcPr>
          <w:p w14:paraId="7AACF419" w14:textId="37C965AF" w:rsidR="00C91217" w:rsidRPr="00305E0F" w:rsidRDefault="00C91217" w:rsidP="00C91217">
            <w:pPr>
              <w:pStyle w:val="P68B1DB1-Normal27"/>
              <w:spacing w:before="60" w:after="60" w:line="240" w:lineRule="auto"/>
              <w:rPr>
                <w:lang w:val="en-GB"/>
              </w:rPr>
            </w:pPr>
            <w:r w:rsidRPr="00305E0F">
              <w:rPr>
                <w:lang w:val="en-GB"/>
              </w:rPr>
              <w:t>Weak</w:t>
            </w:r>
          </w:p>
        </w:tc>
      </w:tr>
      <w:tr w:rsidR="00305E0F" w:rsidRPr="00305E0F" w14:paraId="18476FD3" w14:textId="77777777">
        <w:tc>
          <w:tcPr>
            <w:tcW w:w="0" w:type="auto"/>
            <w:tcBorders>
              <w:top w:val="single" w:sz="6" w:space="0" w:color="000000"/>
              <w:left w:val="single" w:sz="6" w:space="0" w:color="000000"/>
              <w:bottom w:val="single" w:sz="6" w:space="0" w:color="000000"/>
              <w:right w:val="single" w:sz="6" w:space="0" w:color="000000"/>
            </w:tcBorders>
            <w:hideMark/>
          </w:tcPr>
          <w:p w14:paraId="17EAB7A0" w14:textId="77777777" w:rsidR="00EB0050" w:rsidRPr="00305E0F" w:rsidRDefault="00B02122">
            <w:pPr>
              <w:pStyle w:val="P68B1DB1-Normal26"/>
              <w:spacing w:before="60" w:after="60" w:line="240" w:lineRule="auto"/>
              <w:rPr>
                <w:bCs/>
                <w:lang w:val="en-GB"/>
              </w:rPr>
            </w:pPr>
            <w:r w:rsidRPr="00305E0F">
              <w:rPr>
                <w:lang w:val="en-GB"/>
              </w:rPr>
              <w:t xml:space="preserve">Factor: </w:t>
            </w:r>
          </w:p>
          <w:p w14:paraId="7A6859FC" w14:textId="2019C6C2" w:rsidR="00EB0050" w:rsidRPr="00305E0F" w:rsidRDefault="00B02122">
            <w:pPr>
              <w:pStyle w:val="P68B1DB1-Normal26"/>
              <w:spacing w:before="60" w:after="60" w:line="240" w:lineRule="auto"/>
              <w:rPr>
                <w:lang w:val="en-GB"/>
              </w:rPr>
            </w:pPr>
            <w:r w:rsidRPr="00305E0F">
              <w:rPr>
                <w:lang w:val="en-GB"/>
              </w:rPr>
              <w:t>political and legal environment</w:t>
            </w:r>
          </w:p>
        </w:tc>
        <w:tc>
          <w:tcPr>
            <w:tcW w:w="0" w:type="auto"/>
            <w:tcBorders>
              <w:top w:val="single" w:sz="6" w:space="0" w:color="000000"/>
              <w:left w:val="single" w:sz="6" w:space="0" w:color="000000"/>
              <w:bottom w:val="single" w:sz="6" w:space="0" w:color="000000"/>
              <w:right w:val="single" w:sz="6" w:space="0" w:color="000000"/>
            </w:tcBorders>
            <w:hideMark/>
          </w:tcPr>
          <w:p w14:paraId="1051147B"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118B76F2"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E5EE799"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9E7AF94"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2D88C6E7"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77"/>
            </w:tblGrid>
            <w:tr w:rsidR="00305E0F" w:rsidRPr="00305E0F" w14:paraId="16E674DA" w14:textId="77777777">
              <w:tc>
                <w:tcPr>
                  <w:tcW w:w="0" w:type="auto"/>
                  <w:hideMark/>
                </w:tcPr>
                <w:p w14:paraId="0799A7D4" w14:textId="558AF198" w:rsidR="00C91217" w:rsidRPr="00305E0F" w:rsidRDefault="00C91217" w:rsidP="00C91217">
                  <w:pPr>
                    <w:pStyle w:val="P68B1DB1-Normal5"/>
                    <w:spacing w:before="120" w:after="0" w:line="240" w:lineRule="auto"/>
                    <w:rPr>
                      <w:lang w:val="en-GB"/>
                    </w:rPr>
                  </w:pPr>
                  <w:r w:rsidRPr="00305E0F">
                    <w:rPr>
                      <w:lang w:val="en-GB"/>
                    </w:rPr>
                    <w:t>1.</w:t>
                  </w:r>
                </w:p>
              </w:tc>
              <w:tc>
                <w:tcPr>
                  <w:tcW w:w="0" w:type="auto"/>
                  <w:hideMark/>
                </w:tcPr>
                <w:p w14:paraId="2CC83002" w14:textId="19D281B7" w:rsidR="00C91217" w:rsidRPr="00305E0F" w:rsidRDefault="00C91217" w:rsidP="00C91217">
                  <w:pPr>
                    <w:pStyle w:val="P68B1DB1-Normal5"/>
                    <w:spacing w:before="120" w:after="0" w:line="240" w:lineRule="auto"/>
                    <w:rPr>
                      <w:lang w:val="en-GB"/>
                    </w:rPr>
                  </w:pPr>
                  <w:r w:rsidRPr="00305E0F">
                    <w:rPr>
                      <w:lang w:val="en-GB"/>
                    </w:rPr>
                    <w:t>Sub-factor: country risk</w:t>
                  </w:r>
                </w:p>
              </w:tc>
            </w:tr>
          </w:tbl>
          <w:p w14:paraId="221D848C"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172AEEC" w14:textId="6BF0644D" w:rsidR="00C91217" w:rsidRPr="00305E0F" w:rsidRDefault="00C91217" w:rsidP="00C91217">
            <w:pPr>
              <w:pStyle w:val="P68B1DB1-Normal27"/>
              <w:spacing w:before="60" w:after="60" w:line="240" w:lineRule="auto"/>
              <w:rPr>
                <w:lang w:val="en-GB"/>
              </w:rPr>
            </w:pPr>
            <w:r w:rsidRPr="00305E0F">
              <w:rPr>
                <w:lang w:val="en-GB"/>
              </w:rPr>
              <w:t>No country risk</w:t>
            </w:r>
          </w:p>
        </w:tc>
        <w:tc>
          <w:tcPr>
            <w:tcW w:w="0" w:type="auto"/>
            <w:tcBorders>
              <w:top w:val="single" w:sz="6" w:space="0" w:color="000000"/>
              <w:left w:val="single" w:sz="6" w:space="0" w:color="000000"/>
              <w:bottom w:val="single" w:sz="6" w:space="0" w:color="000000"/>
              <w:right w:val="single" w:sz="6" w:space="0" w:color="000000"/>
            </w:tcBorders>
            <w:hideMark/>
          </w:tcPr>
          <w:p w14:paraId="07AD7931" w14:textId="6826EE7A" w:rsidR="00C91217" w:rsidRPr="00305E0F" w:rsidRDefault="00C91217" w:rsidP="00C91217">
            <w:pPr>
              <w:pStyle w:val="P68B1DB1-Normal27"/>
              <w:spacing w:before="60" w:after="60" w:line="240" w:lineRule="auto"/>
              <w:rPr>
                <w:lang w:val="en-GB"/>
              </w:rPr>
            </w:pPr>
            <w:r w:rsidRPr="00305E0F">
              <w:rPr>
                <w:lang w:val="en-GB"/>
              </w:rPr>
              <w:t>Limited exposure to country risk (in particular, offshore location of reserves in an emerging country)</w:t>
            </w:r>
          </w:p>
        </w:tc>
        <w:tc>
          <w:tcPr>
            <w:tcW w:w="0" w:type="auto"/>
            <w:tcBorders>
              <w:top w:val="single" w:sz="6" w:space="0" w:color="000000"/>
              <w:left w:val="single" w:sz="6" w:space="0" w:color="000000"/>
              <w:bottom w:val="single" w:sz="6" w:space="0" w:color="000000"/>
              <w:right w:val="single" w:sz="6" w:space="0" w:color="000000"/>
            </w:tcBorders>
            <w:hideMark/>
          </w:tcPr>
          <w:p w14:paraId="250EFE08" w14:textId="307D9A5A" w:rsidR="00C91217" w:rsidRPr="00305E0F" w:rsidRDefault="00C91217" w:rsidP="00C91217">
            <w:pPr>
              <w:pStyle w:val="P68B1DB1-Normal27"/>
              <w:spacing w:before="60" w:after="60" w:line="240" w:lineRule="auto"/>
              <w:rPr>
                <w:lang w:val="en-GB"/>
              </w:rPr>
            </w:pPr>
            <w:r w:rsidRPr="00305E0F">
              <w:rPr>
                <w:lang w:val="en-GB"/>
              </w:rPr>
              <w:t>Exposure to country risk (in particular, offshore location of reserves in an emerging country)</w:t>
            </w:r>
          </w:p>
        </w:tc>
        <w:tc>
          <w:tcPr>
            <w:tcW w:w="0" w:type="auto"/>
            <w:tcBorders>
              <w:top w:val="single" w:sz="6" w:space="0" w:color="000000"/>
              <w:left w:val="single" w:sz="6" w:space="0" w:color="000000"/>
              <w:bottom w:val="single" w:sz="6" w:space="0" w:color="000000"/>
              <w:right w:val="single" w:sz="6" w:space="0" w:color="000000"/>
            </w:tcBorders>
            <w:hideMark/>
          </w:tcPr>
          <w:p w14:paraId="4B343958" w14:textId="0D22FFD6" w:rsidR="00C91217" w:rsidRPr="00305E0F" w:rsidRDefault="00C91217" w:rsidP="00C91217">
            <w:pPr>
              <w:pStyle w:val="P68B1DB1-Normal27"/>
              <w:spacing w:before="60" w:after="60" w:line="240" w:lineRule="auto"/>
              <w:rPr>
                <w:lang w:val="en-GB"/>
              </w:rPr>
            </w:pPr>
            <w:r w:rsidRPr="00305E0F">
              <w:rPr>
                <w:lang w:val="en-GB"/>
              </w:rPr>
              <w:t>Strong exposure to country risk (in particular, inland reserves in an emerging country)</w:t>
            </w:r>
          </w:p>
        </w:tc>
      </w:tr>
      <w:tr w:rsidR="00305E0F" w:rsidRPr="00305E0F" w14:paraId="376273C9"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77"/>
            </w:tblGrid>
            <w:tr w:rsidR="00305E0F" w:rsidRPr="00305E0F" w14:paraId="6BB9839D" w14:textId="77777777">
              <w:tc>
                <w:tcPr>
                  <w:tcW w:w="0" w:type="auto"/>
                  <w:hideMark/>
                </w:tcPr>
                <w:p w14:paraId="73434EE7" w14:textId="38C9B25E" w:rsidR="00C91217" w:rsidRPr="00305E0F" w:rsidRDefault="00C91217" w:rsidP="00C91217">
                  <w:pPr>
                    <w:pStyle w:val="P68B1DB1-Normal5"/>
                    <w:spacing w:before="120" w:after="0" w:line="240" w:lineRule="auto"/>
                    <w:rPr>
                      <w:lang w:val="en-GB"/>
                    </w:rPr>
                  </w:pPr>
                  <w:r w:rsidRPr="00305E0F">
                    <w:rPr>
                      <w:lang w:val="en-GB"/>
                    </w:rPr>
                    <w:t>2.</w:t>
                  </w:r>
                </w:p>
              </w:tc>
              <w:tc>
                <w:tcPr>
                  <w:tcW w:w="0" w:type="auto"/>
                  <w:hideMark/>
                </w:tcPr>
                <w:p w14:paraId="7836DC97" w14:textId="646038F4" w:rsidR="00C91217" w:rsidRPr="00305E0F" w:rsidRDefault="00C91217" w:rsidP="00C91217">
                  <w:pPr>
                    <w:pStyle w:val="P68B1DB1-Normal5"/>
                    <w:spacing w:before="120" w:after="0" w:line="240" w:lineRule="auto"/>
                    <w:rPr>
                      <w:lang w:val="en-GB"/>
                    </w:rPr>
                  </w:pPr>
                  <w:r w:rsidRPr="00305E0F">
                    <w:rPr>
                      <w:lang w:val="en-GB"/>
                    </w:rPr>
                    <w:t>Sub-factor: mitigation of country risks</w:t>
                  </w:r>
                </w:p>
              </w:tc>
            </w:tr>
          </w:tbl>
          <w:p w14:paraId="46FB1A7E"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3E7D6B49" w14:textId="77777777" w:rsidR="00C91217" w:rsidRPr="00305E0F" w:rsidRDefault="00C91217" w:rsidP="00C91217">
            <w:pPr>
              <w:pStyle w:val="oj-tbl-txt"/>
              <w:spacing w:before="60" w:beforeAutospacing="0" w:after="60" w:afterAutospacing="0"/>
              <w:rPr>
                <w:sz w:val="22"/>
                <w:szCs w:val="22"/>
                <w:lang w:val="en-GB"/>
              </w:rPr>
            </w:pPr>
            <w:r w:rsidRPr="00305E0F">
              <w:rPr>
                <w:sz w:val="22"/>
                <w:szCs w:val="22"/>
                <w:lang w:val="en-GB"/>
              </w:rPr>
              <w:t>Very strong mitigation:</w:t>
            </w:r>
          </w:p>
          <w:p w14:paraId="6C89A995" w14:textId="77777777" w:rsidR="00C91217" w:rsidRPr="00305E0F" w:rsidRDefault="00C91217" w:rsidP="00C91217">
            <w:pPr>
              <w:pStyle w:val="oj-tbl-txt"/>
              <w:spacing w:before="60" w:beforeAutospacing="0" w:after="60" w:afterAutospacing="0"/>
              <w:rPr>
                <w:sz w:val="22"/>
                <w:szCs w:val="22"/>
                <w:lang w:val="en-GB"/>
              </w:rPr>
            </w:pPr>
            <w:r w:rsidRPr="00305E0F">
              <w:rPr>
                <w:sz w:val="22"/>
                <w:szCs w:val="22"/>
                <w:lang w:val="en-GB"/>
              </w:rPr>
              <w:t>Strong offshore mechanisms</w:t>
            </w:r>
          </w:p>
          <w:p w14:paraId="7A5A3A8A" w14:textId="783B9FB4" w:rsidR="00C91217" w:rsidRPr="00305E0F" w:rsidRDefault="00C91217" w:rsidP="00C91217">
            <w:pPr>
              <w:pStyle w:val="P68B1DB1-Normal27"/>
              <w:spacing w:before="60" w:after="60" w:line="240" w:lineRule="auto"/>
              <w:rPr>
                <w:lang w:val="en-GB"/>
              </w:rPr>
            </w:pPr>
            <w:r w:rsidRPr="00305E0F">
              <w:rPr>
                <w:lang w:val="en-GB"/>
              </w:rPr>
              <w:t>Strategic commodity 1st class buyer</w:t>
            </w:r>
          </w:p>
        </w:tc>
        <w:tc>
          <w:tcPr>
            <w:tcW w:w="0" w:type="auto"/>
            <w:tcBorders>
              <w:top w:val="single" w:sz="6" w:space="0" w:color="000000"/>
              <w:left w:val="single" w:sz="6" w:space="0" w:color="000000"/>
              <w:bottom w:val="single" w:sz="6" w:space="0" w:color="000000"/>
              <w:right w:val="single" w:sz="6" w:space="0" w:color="000000"/>
            </w:tcBorders>
            <w:hideMark/>
          </w:tcPr>
          <w:p w14:paraId="71E93AF3" w14:textId="77777777" w:rsidR="00C91217" w:rsidRPr="00305E0F" w:rsidRDefault="00C91217" w:rsidP="00C91217">
            <w:pPr>
              <w:pStyle w:val="oj-tbl-txt"/>
              <w:spacing w:before="60" w:beforeAutospacing="0" w:after="60" w:afterAutospacing="0"/>
              <w:rPr>
                <w:sz w:val="22"/>
                <w:szCs w:val="22"/>
                <w:lang w:val="en-GB"/>
              </w:rPr>
            </w:pPr>
            <w:r w:rsidRPr="00305E0F">
              <w:rPr>
                <w:sz w:val="22"/>
                <w:szCs w:val="22"/>
                <w:lang w:val="en-GB"/>
              </w:rPr>
              <w:t>Strong mitigation:</w:t>
            </w:r>
          </w:p>
          <w:p w14:paraId="1B8766AE" w14:textId="77777777" w:rsidR="00C91217" w:rsidRPr="00305E0F" w:rsidRDefault="00C91217" w:rsidP="00C91217">
            <w:pPr>
              <w:pStyle w:val="oj-tbl-txt"/>
              <w:spacing w:before="60" w:beforeAutospacing="0" w:after="60" w:afterAutospacing="0"/>
              <w:rPr>
                <w:sz w:val="22"/>
                <w:szCs w:val="22"/>
                <w:lang w:val="en-GB"/>
              </w:rPr>
            </w:pPr>
            <w:r w:rsidRPr="00305E0F">
              <w:rPr>
                <w:sz w:val="22"/>
                <w:szCs w:val="22"/>
                <w:lang w:val="en-GB"/>
              </w:rPr>
              <w:t>Offshore mechanisms</w:t>
            </w:r>
          </w:p>
          <w:p w14:paraId="32FA0734" w14:textId="347AD1FE" w:rsidR="00C91217" w:rsidRPr="00305E0F" w:rsidRDefault="00C91217" w:rsidP="00C91217">
            <w:pPr>
              <w:pStyle w:val="P68B1DB1-Normal27"/>
              <w:spacing w:before="60" w:after="60" w:line="240" w:lineRule="auto"/>
              <w:rPr>
                <w:lang w:val="en-GB"/>
              </w:rPr>
            </w:pPr>
            <w:r w:rsidRPr="00305E0F">
              <w:rPr>
                <w:lang w:val="en-GB"/>
              </w:rPr>
              <w:t>Strategic commodity Strong buyer</w:t>
            </w:r>
          </w:p>
        </w:tc>
        <w:tc>
          <w:tcPr>
            <w:tcW w:w="0" w:type="auto"/>
            <w:tcBorders>
              <w:top w:val="single" w:sz="6" w:space="0" w:color="000000"/>
              <w:left w:val="single" w:sz="6" w:space="0" w:color="000000"/>
              <w:bottom w:val="single" w:sz="6" w:space="0" w:color="000000"/>
              <w:right w:val="single" w:sz="6" w:space="0" w:color="000000"/>
            </w:tcBorders>
            <w:hideMark/>
          </w:tcPr>
          <w:p w14:paraId="56B496FF" w14:textId="77777777" w:rsidR="00C91217" w:rsidRPr="00305E0F" w:rsidRDefault="00C91217" w:rsidP="00C91217">
            <w:pPr>
              <w:pStyle w:val="oj-tbl-txt"/>
              <w:spacing w:before="60" w:beforeAutospacing="0" w:after="60" w:afterAutospacing="0"/>
              <w:rPr>
                <w:sz w:val="22"/>
                <w:szCs w:val="22"/>
                <w:lang w:val="en-GB"/>
              </w:rPr>
            </w:pPr>
            <w:r w:rsidRPr="00305E0F">
              <w:rPr>
                <w:sz w:val="22"/>
                <w:szCs w:val="22"/>
                <w:lang w:val="en-GB"/>
              </w:rPr>
              <w:t>Acceptable mitigation:</w:t>
            </w:r>
          </w:p>
          <w:p w14:paraId="69119BBC" w14:textId="77777777" w:rsidR="00C91217" w:rsidRPr="00305E0F" w:rsidRDefault="00C91217" w:rsidP="00C91217">
            <w:pPr>
              <w:pStyle w:val="oj-tbl-txt"/>
              <w:spacing w:before="60" w:beforeAutospacing="0" w:after="60" w:afterAutospacing="0"/>
              <w:rPr>
                <w:sz w:val="22"/>
                <w:szCs w:val="22"/>
                <w:lang w:val="en-GB"/>
              </w:rPr>
            </w:pPr>
            <w:r w:rsidRPr="00305E0F">
              <w:rPr>
                <w:sz w:val="22"/>
                <w:szCs w:val="22"/>
                <w:lang w:val="en-GB"/>
              </w:rPr>
              <w:t>Offshore mechanisms</w:t>
            </w:r>
          </w:p>
          <w:p w14:paraId="1652AF53" w14:textId="6390791A" w:rsidR="00C91217" w:rsidRPr="00305E0F" w:rsidRDefault="00C91217" w:rsidP="00C91217">
            <w:pPr>
              <w:pStyle w:val="P68B1DB1-Normal27"/>
              <w:spacing w:before="60" w:after="60" w:line="240" w:lineRule="auto"/>
              <w:rPr>
                <w:lang w:val="en-GB"/>
              </w:rPr>
            </w:pPr>
            <w:r w:rsidRPr="00305E0F">
              <w:rPr>
                <w:lang w:val="en-GB"/>
              </w:rPr>
              <w:t>Less strategic commodity Acceptable buyer</w:t>
            </w:r>
          </w:p>
        </w:tc>
        <w:tc>
          <w:tcPr>
            <w:tcW w:w="0" w:type="auto"/>
            <w:tcBorders>
              <w:top w:val="single" w:sz="6" w:space="0" w:color="000000"/>
              <w:left w:val="single" w:sz="6" w:space="0" w:color="000000"/>
              <w:bottom w:val="single" w:sz="6" w:space="0" w:color="000000"/>
              <w:right w:val="single" w:sz="6" w:space="0" w:color="000000"/>
            </w:tcBorders>
            <w:hideMark/>
          </w:tcPr>
          <w:p w14:paraId="0925C7E0" w14:textId="77777777" w:rsidR="00C91217" w:rsidRPr="00305E0F" w:rsidRDefault="00C91217" w:rsidP="00C91217">
            <w:pPr>
              <w:pStyle w:val="oj-tbl-txt"/>
              <w:spacing w:before="60" w:beforeAutospacing="0" w:after="60" w:afterAutospacing="0"/>
              <w:rPr>
                <w:sz w:val="22"/>
                <w:szCs w:val="22"/>
                <w:lang w:val="en-GB"/>
              </w:rPr>
            </w:pPr>
            <w:r w:rsidRPr="00305E0F">
              <w:rPr>
                <w:sz w:val="22"/>
                <w:szCs w:val="22"/>
                <w:lang w:val="en-GB"/>
              </w:rPr>
              <w:t>Only partial mitigation:</w:t>
            </w:r>
          </w:p>
          <w:p w14:paraId="09719E9E" w14:textId="77777777" w:rsidR="00C91217" w:rsidRPr="00305E0F" w:rsidRDefault="00C91217" w:rsidP="00C91217">
            <w:pPr>
              <w:pStyle w:val="oj-tbl-txt"/>
              <w:spacing w:before="60" w:beforeAutospacing="0" w:after="60" w:afterAutospacing="0"/>
              <w:rPr>
                <w:sz w:val="22"/>
                <w:szCs w:val="22"/>
                <w:lang w:val="en-GB"/>
              </w:rPr>
            </w:pPr>
            <w:r w:rsidRPr="00305E0F">
              <w:rPr>
                <w:sz w:val="22"/>
                <w:szCs w:val="22"/>
                <w:lang w:val="en-GB"/>
              </w:rPr>
              <w:t>No offshore mechanisms</w:t>
            </w:r>
          </w:p>
          <w:p w14:paraId="6A7F796E" w14:textId="66DEB663" w:rsidR="00C91217" w:rsidRPr="00305E0F" w:rsidRDefault="00C91217" w:rsidP="00C91217">
            <w:pPr>
              <w:pStyle w:val="P68B1DB1-Normal27"/>
              <w:spacing w:before="60" w:after="60" w:line="240" w:lineRule="auto"/>
              <w:rPr>
                <w:lang w:val="en-GB"/>
              </w:rPr>
            </w:pPr>
            <w:r w:rsidRPr="00305E0F">
              <w:rPr>
                <w:lang w:val="en-GB"/>
              </w:rPr>
              <w:t>Non-strategic commodity Weak buyer</w:t>
            </w:r>
          </w:p>
        </w:tc>
      </w:tr>
      <w:tr w:rsidR="00305E0F" w:rsidRPr="00305E0F" w14:paraId="270A7AC1" w14:textId="77777777">
        <w:tc>
          <w:tcPr>
            <w:tcW w:w="0" w:type="auto"/>
            <w:tcBorders>
              <w:top w:val="single" w:sz="6" w:space="0" w:color="000000"/>
              <w:left w:val="single" w:sz="6" w:space="0" w:color="000000"/>
              <w:bottom w:val="single" w:sz="6" w:space="0" w:color="000000"/>
              <w:right w:val="single" w:sz="6" w:space="0" w:color="000000"/>
            </w:tcBorders>
            <w:hideMark/>
          </w:tcPr>
          <w:p w14:paraId="067D4019" w14:textId="76AC09E4" w:rsidR="00EB0050" w:rsidRPr="00305E0F" w:rsidRDefault="00B02122">
            <w:pPr>
              <w:pStyle w:val="P68B1DB1-Normal26"/>
              <w:spacing w:before="60" w:after="60" w:line="240" w:lineRule="auto"/>
              <w:rPr>
                <w:bCs/>
                <w:lang w:val="en-GB"/>
              </w:rPr>
            </w:pPr>
            <w:r w:rsidRPr="00305E0F">
              <w:rPr>
                <w:lang w:val="en-GB"/>
              </w:rPr>
              <w:t>Factor:</w:t>
            </w:r>
          </w:p>
          <w:p w14:paraId="5700C567" w14:textId="77B39E27" w:rsidR="00EB0050" w:rsidRPr="00305E0F" w:rsidRDefault="00C91217">
            <w:pPr>
              <w:pStyle w:val="P68B1DB1-Normal26"/>
              <w:spacing w:before="60" w:after="60" w:line="240" w:lineRule="auto"/>
              <w:rPr>
                <w:lang w:val="en-GB"/>
              </w:rPr>
            </w:pPr>
            <w:r w:rsidRPr="00305E0F">
              <w:rPr>
                <w:bCs/>
                <w:lang w:val="en-GB"/>
              </w:rPr>
              <w:t>asset characteristics</w:t>
            </w:r>
          </w:p>
        </w:tc>
        <w:tc>
          <w:tcPr>
            <w:tcW w:w="0" w:type="auto"/>
            <w:tcBorders>
              <w:top w:val="single" w:sz="6" w:space="0" w:color="000000"/>
              <w:left w:val="single" w:sz="6" w:space="0" w:color="000000"/>
              <w:bottom w:val="single" w:sz="6" w:space="0" w:color="000000"/>
              <w:right w:val="single" w:sz="6" w:space="0" w:color="000000"/>
            </w:tcBorders>
            <w:hideMark/>
          </w:tcPr>
          <w:p w14:paraId="53A1E306"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48F3885"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57809E8"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6920B69C"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40FD39D9"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251"/>
            </w:tblGrid>
            <w:tr w:rsidR="00305E0F" w:rsidRPr="00305E0F" w14:paraId="29BB7AD3" w14:textId="77777777">
              <w:tc>
                <w:tcPr>
                  <w:tcW w:w="0" w:type="auto"/>
                  <w:hideMark/>
                </w:tcPr>
                <w:p w14:paraId="58141029" w14:textId="5782460D" w:rsidR="00C91217" w:rsidRPr="00305E0F" w:rsidRDefault="00C91217" w:rsidP="00C91217">
                  <w:pPr>
                    <w:spacing w:before="120" w:after="0" w:line="240" w:lineRule="auto"/>
                    <w:rPr>
                      <w:rFonts w:ascii="Times New Roman" w:eastAsia="Times New Roman" w:hAnsi="Times New Roman" w:cs="Times New Roman"/>
                      <w:sz w:val="24"/>
                      <w:szCs w:val="24"/>
                      <w:lang w:val="en-GB"/>
                    </w:rPr>
                  </w:pPr>
                </w:p>
              </w:tc>
              <w:tc>
                <w:tcPr>
                  <w:tcW w:w="0" w:type="auto"/>
                  <w:hideMark/>
                </w:tcPr>
                <w:p w14:paraId="14BCCAC4" w14:textId="108AE0B4" w:rsidR="00C91217" w:rsidRPr="00305E0F" w:rsidRDefault="00C91217" w:rsidP="00C91217">
                  <w:pPr>
                    <w:pStyle w:val="P68B1DB1-Normal5"/>
                    <w:spacing w:before="120" w:after="0" w:line="240" w:lineRule="auto"/>
                    <w:rPr>
                      <w:lang w:val="en-GB"/>
                    </w:rPr>
                  </w:pPr>
                  <w:r w:rsidRPr="00305E0F">
                    <w:rPr>
                      <w:lang w:val="en-GB"/>
                    </w:rPr>
                    <w:t>Sub-factor: liquidity and susceptibility to damage</w:t>
                  </w:r>
                </w:p>
              </w:tc>
            </w:tr>
          </w:tbl>
          <w:p w14:paraId="1863BE48"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45878A86" w14:textId="5735302C" w:rsidR="00C91217" w:rsidRPr="00305E0F" w:rsidRDefault="00C91217" w:rsidP="00C91217">
            <w:pPr>
              <w:pStyle w:val="P68B1DB1-Normal27"/>
              <w:spacing w:before="60" w:after="60" w:line="240" w:lineRule="auto"/>
              <w:rPr>
                <w:lang w:val="en-GB"/>
              </w:rPr>
            </w:pPr>
            <w:r w:rsidRPr="00305E0F">
              <w:rPr>
                <w:lang w:val="en-GB"/>
              </w:rPr>
              <w:t>Commodity is quoted and can be hedged through futures or OTC instruments. Commodity is not susceptible to damage.</w:t>
            </w:r>
          </w:p>
        </w:tc>
        <w:tc>
          <w:tcPr>
            <w:tcW w:w="0" w:type="auto"/>
            <w:tcBorders>
              <w:top w:val="single" w:sz="6" w:space="0" w:color="000000"/>
              <w:left w:val="single" w:sz="6" w:space="0" w:color="000000"/>
              <w:bottom w:val="single" w:sz="6" w:space="0" w:color="000000"/>
              <w:right w:val="single" w:sz="6" w:space="0" w:color="000000"/>
            </w:tcBorders>
            <w:hideMark/>
          </w:tcPr>
          <w:p w14:paraId="7BDA239F" w14:textId="64966665" w:rsidR="00C91217" w:rsidRPr="00305E0F" w:rsidRDefault="00C91217" w:rsidP="00C91217">
            <w:pPr>
              <w:pStyle w:val="P68B1DB1-Normal27"/>
              <w:spacing w:before="60" w:after="60" w:line="240" w:lineRule="auto"/>
              <w:rPr>
                <w:lang w:val="en-GB"/>
              </w:rPr>
            </w:pPr>
            <w:r w:rsidRPr="00305E0F">
              <w:rPr>
                <w:lang w:val="en-GB"/>
              </w:rPr>
              <w:t>Commodity is quoted and can be hedged through OTC instruments. Commodity is not susceptible to damage.</w:t>
            </w:r>
          </w:p>
        </w:tc>
        <w:tc>
          <w:tcPr>
            <w:tcW w:w="0" w:type="auto"/>
            <w:tcBorders>
              <w:top w:val="single" w:sz="6" w:space="0" w:color="000000"/>
              <w:left w:val="single" w:sz="6" w:space="0" w:color="000000"/>
              <w:bottom w:val="single" w:sz="6" w:space="0" w:color="000000"/>
              <w:right w:val="single" w:sz="6" w:space="0" w:color="000000"/>
            </w:tcBorders>
            <w:hideMark/>
          </w:tcPr>
          <w:p w14:paraId="7A958F02" w14:textId="3CDAC9C1" w:rsidR="00C91217" w:rsidRPr="00305E0F" w:rsidRDefault="00C91217" w:rsidP="00C91217">
            <w:pPr>
              <w:pStyle w:val="P68B1DB1-Normal27"/>
              <w:spacing w:before="60" w:after="60" w:line="240" w:lineRule="auto"/>
              <w:rPr>
                <w:lang w:val="en-GB"/>
              </w:rPr>
            </w:pPr>
            <w:r w:rsidRPr="00305E0F">
              <w:rPr>
                <w:lang w:val="en-GB"/>
              </w:rPr>
              <w:t>Commodity is not quoted but is liquid. There is uncertainty about the possibility of hedging. Commodity is not susceptible to damage.</w:t>
            </w:r>
          </w:p>
        </w:tc>
        <w:tc>
          <w:tcPr>
            <w:tcW w:w="0" w:type="auto"/>
            <w:tcBorders>
              <w:top w:val="single" w:sz="6" w:space="0" w:color="000000"/>
              <w:left w:val="single" w:sz="6" w:space="0" w:color="000000"/>
              <w:bottom w:val="single" w:sz="6" w:space="0" w:color="000000"/>
              <w:right w:val="single" w:sz="6" w:space="0" w:color="000000"/>
            </w:tcBorders>
            <w:hideMark/>
          </w:tcPr>
          <w:p w14:paraId="569C307E" w14:textId="71CE840D" w:rsidR="00C91217" w:rsidRPr="00305E0F" w:rsidRDefault="00C91217" w:rsidP="00C91217">
            <w:pPr>
              <w:pStyle w:val="P68B1DB1-Normal27"/>
              <w:spacing w:before="60" w:after="60" w:line="240" w:lineRule="auto"/>
              <w:rPr>
                <w:lang w:val="en-GB"/>
              </w:rPr>
            </w:pPr>
            <w:r w:rsidRPr="00305E0F">
              <w:rPr>
                <w:lang w:val="en-GB"/>
              </w:rPr>
              <w:t>Commodity is not quoted. Liquidity is limited given the size and depth of the market. No appropriate hedging instruments. Commodity is susceptible to damage.</w:t>
            </w:r>
          </w:p>
        </w:tc>
      </w:tr>
      <w:tr w:rsidR="00305E0F" w:rsidRPr="00305E0F" w14:paraId="55F377EC" w14:textId="77777777">
        <w:tc>
          <w:tcPr>
            <w:tcW w:w="0" w:type="auto"/>
            <w:tcBorders>
              <w:top w:val="single" w:sz="6" w:space="0" w:color="000000"/>
              <w:left w:val="single" w:sz="6" w:space="0" w:color="000000"/>
              <w:bottom w:val="single" w:sz="6" w:space="0" w:color="000000"/>
              <w:right w:val="single" w:sz="6" w:space="0" w:color="000000"/>
            </w:tcBorders>
            <w:hideMark/>
          </w:tcPr>
          <w:p w14:paraId="30B1A2A5" w14:textId="461D8CB6" w:rsidR="00EB0050" w:rsidRPr="00305E0F" w:rsidRDefault="00B02122">
            <w:pPr>
              <w:pStyle w:val="P68B1DB1-Normal26"/>
              <w:spacing w:before="60" w:after="60" w:line="240" w:lineRule="auto"/>
              <w:rPr>
                <w:bCs/>
                <w:lang w:val="en-GB"/>
              </w:rPr>
            </w:pPr>
            <w:r w:rsidRPr="00305E0F">
              <w:rPr>
                <w:lang w:val="en-GB"/>
              </w:rPr>
              <w:t>Factor:</w:t>
            </w:r>
          </w:p>
          <w:p w14:paraId="4DA11F22" w14:textId="478817F8" w:rsidR="00EB0050" w:rsidRPr="00305E0F" w:rsidRDefault="00C91217">
            <w:pPr>
              <w:pStyle w:val="P68B1DB1-Normal26"/>
              <w:spacing w:before="60" w:after="60" w:line="240" w:lineRule="auto"/>
              <w:rPr>
                <w:lang w:val="en-GB"/>
              </w:rPr>
            </w:pPr>
            <w:r w:rsidRPr="00305E0F">
              <w:rPr>
                <w:bCs/>
                <w:lang w:val="en-GB"/>
              </w:rPr>
              <w:t>strength of sponsor (including public private partnership)</w:t>
            </w:r>
          </w:p>
        </w:tc>
        <w:tc>
          <w:tcPr>
            <w:tcW w:w="0" w:type="auto"/>
            <w:tcBorders>
              <w:top w:val="single" w:sz="6" w:space="0" w:color="000000"/>
              <w:left w:val="single" w:sz="6" w:space="0" w:color="000000"/>
              <w:bottom w:val="single" w:sz="6" w:space="0" w:color="000000"/>
              <w:right w:val="single" w:sz="6" w:space="0" w:color="000000"/>
            </w:tcBorders>
            <w:hideMark/>
          </w:tcPr>
          <w:p w14:paraId="39344B5F"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63C4432"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7110ECFB"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31604994"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158B514E"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77"/>
            </w:tblGrid>
            <w:tr w:rsidR="00305E0F" w:rsidRPr="00305E0F" w14:paraId="63429ABD" w14:textId="77777777">
              <w:tc>
                <w:tcPr>
                  <w:tcW w:w="0" w:type="auto"/>
                  <w:hideMark/>
                </w:tcPr>
                <w:p w14:paraId="784C8BAC" w14:textId="2767DCA0" w:rsidR="00C91217" w:rsidRPr="00305E0F" w:rsidRDefault="00C91217" w:rsidP="00C91217">
                  <w:pPr>
                    <w:pStyle w:val="P68B1DB1-Normal5"/>
                    <w:spacing w:before="120" w:after="0" w:line="240" w:lineRule="auto"/>
                    <w:rPr>
                      <w:lang w:val="en-GB"/>
                    </w:rPr>
                  </w:pPr>
                  <w:r w:rsidRPr="00305E0F">
                    <w:rPr>
                      <w:lang w:val="en-GB"/>
                    </w:rPr>
                    <w:t>1.</w:t>
                  </w:r>
                </w:p>
              </w:tc>
              <w:tc>
                <w:tcPr>
                  <w:tcW w:w="0" w:type="auto"/>
                  <w:hideMark/>
                </w:tcPr>
                <w:p w14:paraId="2B9737C0" w14:textId="1DBB42C7" w:rsidR="00C91217" w:rsidRPr="00305E0F" w:rsidRDefault="00C91217" w:rsidP="00C91217">
                  <w:pPr>
                    <w:pStyle w:val="P68B1DB1-Normal5"/>
                    <w:spacing w:before="120" w:after="0" w:line="240" w:lineRule="auto"/>
                    <w:rPr>
                      <w:lang w:val="en-GB"/>
                    </w:rPr>
                  </w:pPr>
                  <w:r w:rsidRPr="00305E0F">
                    <w:rPr>
                      <w:lang w:val="en-GB"/>
                    </w:rPr>
                    <w:t>Sub-factor: financial strength of trader</w:t>
                  </w:r>
                </w:p>
              </w:tc>
            </w:tr>
          </w:tbl>
          <w:p w14:paraId="0D372446"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17773C37" w14:textId="5EDEE30D" w:rsidR="00C91217" w:rsidRPr="00305E0F" w:rsidRDefault="00C91217" w:rsidP="00C91217">
            <w:pPr>
              <w:pStyle w:val="P68B1DB1-Normal27"/>
              <w:spacing w:before="60" w:after="60" w:line="240" w:lineRule="auto"/>
              <w:rPr>
                <w:lang w:val="en-GB"/>
              </w:rPr>
            </w:pPr>
            <w:r w:rsidRPr="00305E0F">
              <w:rPr>
                <w:lang w:val="en-GB"/>
              </w:rPr>
              <w:t>Very strong, relative to trading philosophy and risks</w:t>
            </w:r>
          </w:p>
        </w:tc>
        <w:tc>
          <w:tcPr>
            <w:tcW w:w="0" w:type="auto"/>
            <w:tcBorders>
              <w:top w:val="single" w:sz="6" w:space="0" w:color="000000"/>
              <w:left w:val="single" w:sz="6" w:space="0" w:color="000000"/>
              <w:bottom w:val="single" w:sz="6" w:space="0" w:color="000000"/>
              <w:right w:val="single" w:sz="6" w:space="0" w:color="000000"/>
            </w:tcBorders>
            <w:hideMark/>
          </w:tcPr>
          <w:p w14:paraId="544DD8F4" w14:textId="0AF70AC1" w:rsidR="00C91217" w:rsidRPr="00305E0F" w:rsidRDefault="00C91217" w:rsidP="00C91217">
            <w:pPr>
              <w:pStyle w:val="P68B1DB1-Normal27"/>
              <w:spacing w:before="60" w:after="60" w:line="240" w:lineRule="auto"/>
              <w:rPr>
                <w:lang w:val="en-GB"/>
              </w:rPr>
            </w:pPr>
            <w:r w:rsidRPr="00305E0F">
              <w:rPr>
                <w:lang w:val="en-GB"/>
              </w:rPr>
              <w:t>Strong</w:t>
            </w:r>
          </w:p>
        </w:tc>
        <w:tc>
          <w:tcPr>
            <w:tcW w:w="0" w:type="auto"/>
            <w:tcBorders>
              <w:top w:val="single" w:sz="6" w:space="0" w:color="000000"/>
              <w:left w:val="single" w:sz="6" w:space="0" w:color="000000"/>
              <w:bottom w:val="single" w:sz="6" w:space="0" w:color="000000"/>
              <w:right w:val="single" w:sz="6" w:space="0" w:color="000000"/>
            </w:tcBorders>
            <w:hideMark/>
          </w:tcPr>
          <w:p w14:paraId="4988F3B7" w14:textId="1A4C3A01" w:rsidR="00C91217" w:rsidRPr="00305E0F" w:rsidRDefault="00C91217" w:rsidP="00C91217">
            <w:pPr>
              <w:pStyle w:val="P68B1DB1-Normal27"/>
              <w:spacing w:before="60" w:after="60" w:line="240" w:lineRule="auto"/>
              <w:rPr>
                <w:lang w:val="en-GB"/>
              </w:rPr>
            </w:pPr>
            <w:r w:rsidRPr="00305E0F">
              <w:rPr>
                <w:lang w:val="en-GB"/>
              </w:rPr>
              <w:t>Adequate</w:t>
            </w:r>
          </w:p>
        </w:tc>
        <w:tc>
          <w:tcPr>
            <w:tcW w:w="0" w:type="auto"/>
            <w:tcBorders>
              <w:top w:val="single" w:sz="6" w:space="0" w:color="000000"/>
              <w:left w:val="single" w:sz="6" w:space="0" w:color="000000"/>
              <w:bottom w:val="single" w:sz="6" w:space="0" w:color="000000"/>
              <w:right w:val="single" w:sz="6" w:space="0" w:color="000000"/>
            </w:tcBorders>
            <w:hideMark/>
          </w:tcPr>
          <w:p w14:paraId="25FA7C9D" w14:textId="0DB01B21" w:rsidR="00C91217" w:rsidRPr="00305E0F" w:rsidRDefault="00C91217" w:rsidP="00C91217">
            <w:pPr>
              <w:pStyle w:val="P68B1DB1-Normal27"/>
              <w:spacing w:before="60" w:after="60" w:line="240" w:lineRule="auto"/>
              <w:rPr>
                <w:lang w:val="en-GB"/>
              </w:rPr>
            </w:pPr>
            <w:r w:rsidRPr="00305E0F">
              <w:rPr>
                <w:lang w:val="en-GB"/>
              </w:rPr>
              <w:t>Weak</w:t>
            </w:r>
          </w:p>
        </w:tc>
      </w:tr>
      <w:tr w:rsidR="00305E0F" w:rsidRPr="00305E0F" w14:paraId="273ACB40"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77"/>
            </w:tblGrid>
            <w:tr w:rsidR="00305E0F" w:rsidRPr="00305E0F" w14:paraId="2DE2115C" w14:textId="77777777">
              <w:tc>
                <w:tcPr>
                  <w:tcW w:w="0" w:type="auto"/>
                  <w:hideMark/>
                </w:tcPr>
                <w:p w14:paraId="1CBACEA4" w14:textId="4DCC129B" w:rsidR="00C91217" w:rsidRPr="00305E0F" w:rsidRDefault="00C91217" w:rsidP="00C91217">
                  <w:pPr>
                    <w:pStyle w:val="P68B1DB1-Normal5"/>
                    <w:spacing w:before="120" w:after="0" w:line="240" w:lineRule="auto"/>
                    <w:rPr>
                      <w:lang w:val="en-GB"/>
                    </w:rPr>
                  </w:pPr>
                  <w:r w:rsidRPr="00305E0F">
                    <w:rPr>
                      <w:lang w:val="en-GB"/>
                    </w:rPr>
                    <w:t>2.</w:t>
                  </w:r>
                </w:p>
              </w:tc>
              <w:tc>
                <w:tcPr>
                  <w:tcW w:w="0" w:type="auto"/>
                  <w:hideMark/>
                </w:tcPr>
                <w:p w14:paraId="459630FC" w14:textId="11ECE1F9" w:rsidR="00C91217" w:rsidRPr="00305E0F" w:rsidRDefault="00C91217" w:rsidP="00C91217">
                  <w:pPr>
                    <w:pStyle w:val="P68B1DB1-Normal5"/>
                    <w:spacing w:before="120" w:after="0" w:line="240" w:lineRule="auto"/>
                    <w:rPr>
                      <w:lang w:val="en-GB"/>
                    </w:rPr>
                  </w:pPr>
                  <w:r w:rsidRPr="00305E0F">
                    <w:rPr>
                      <w:lang w:val="en-GB"/>
                    </w:rPr>
                    <w:t>Sub-factor: track record, including ability to manage the logistic process</w:t>
                  </w:r>
                </w:p>
              </w:tc>
            </w:tr>
          </w:tbl>
          <w:p w14:paraId="54C0B9C8"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00A412D0" w14:textId="7EAA0933" w:rsidR="00C91217" w:rsidRPr="00305E0F" w:rsidRDefault="00C91217" w:rsidP="00C91217">
            <w:pPr>
              <w:pStyle w:val="P68B1DB1-Normal27"/>
              <w:spacing w:before="60" w:after="60" w:line="240" w:lineRule="auto"/>
              <w:rPr>
                <w:lang w:val="en-GB"/>
              </w:rPr>
            </w:pPr>
            <w:r w:rsidRPr="00305E0F">
              <w:rPr>
                <w:lang w:val="en-GB"/>
              </w:rPr>
              <w:t>Extensive experience with the type of transaction in question. Strong record of operating success and cost efficiency.</w:t>
            </w:r>
          </w:p>
        </w:tc>
        <w:tc>
          <w:tcPr>
            <w:tcW w:w="0" w:type="auto"/>
            <w:tcBorders>
              <w:top w:val="single" w:sz="6" w:space="0" w:color="000000"/>
              <w:left w:val="single" w:sz="6" w:space="0" w:color="000000"/>
              <w:bottom w:val="single" w:sz="6" w:space="0" w:color="000000"/>
              <w:right w:val="single" w:sz="6" w:space="0" w:color="000000"/>
            </w:tcBorders>
            <w:hideMark/>
          </w:tcPr>
          <w:p w14:paraId="31727148" w14:textId="372EC533" w:rsidR="00C91217" w:rsidRPr="00305E0F" w:rsidRDefault="00C91217" w:rsidP="00C91217">
            <w:pPr>
              <w:pStyle w:val="P68B1DB1-Normal27"/>
              <w:spacing w:before="60" w:after="60" w:line="240" w:lineRule="auto"/>
              <w:rPr>
                <w:lang w:val="en-GB"/>
              </w:rPr>
            </w:pPr>
            <w:r w:rsidRPr="00305E0F">
              <w:rPr>
                <w:lang w:val="en-GB"/>
              </w:rPr>
              <w:t>Sufficient experience with the type of transaction in question. Above average record of operating success and cost efficiency.</w:t>
            </w:r>
          </w:p>
        </w:tc>
        <w:tc>
          <w:tcPr>
            <w:tcW w:w="0" w:type="auto"/>
            <w:tcBorders>
              <w:top w:val="single" w:sz="6" w:space="0" w:color="000000"/>
              <w:left w:val="single" w:sz="6" w:space="0" w:color="000000"/>
              <w:bottom w:val="single" w:sz="6" w:space="0" w:color="000000"/>
              <w:right w:val="single" w:sz="6" w:space="0" w:color="000000"/>
            </w:tcBorders>
            <w:hideMark/>
          </w:tcPr>
          <w:p w14:paraId="0E70A815" w14:textId="4FCC98F4" w:rsidR="00C91217" w:rsidRPr="00305E0F" w:rsidRDefault="00C91217" w:rsidP="00C91217">
            <w:pPr>
              <w:pStyle w:val="P68B1DB1-Normal27"/>
              <w:spacing w:before="60" w:after="60" w:line="240" w:lineRule="auto"/>
              <w:rPr>
                <w:lang w:val="en-GB"/>
              </w:rPr>
            </w:pPr>
            <w:r w:rsidRPr="00305E0F">
              <w:rPr>
                <w:lang w:val="en-GB"/>
              </w:rPr>
              <w:t>Limited experience with the type of transaction in question. Average record of operating success and cost efficiency.</w:t>
            </w:r>
          </w:p>
        </w:tc>
        <w:tc>
          <w:tcPr>
            <w:tcW w:w="0" w:type="auto"/>
            <w:tcBorders>
              <w:top w:val="single" w:sz="6" w:space="0" w:color="000000"/>
              <w:left w:val="single" w:sz="6" w:space="0" w:color="000000"/>
              <w:bottom w:val="single" w:sz="6" w:space="0" w:color="000000"/>
              <w:right w:val="single" w:sz="6" w:space="0" w:color="000000"/>
            </w:tcBorders>
            <w:hideMark/>
          </w:tcPr>
          <w:p w14:paraId="12ECF334" w14:textId="6DC3F930" w:rsidR="00C91217" w:rsidRPr="00305E0F" w:rsidRDefault="00C91217" w:rsidP="00C91217">
            <w:pPr>
              <w:pStyle w:val="P68B1DB1-Normal27"/>
              <w:spacing w:before="60" w:after="60" w:line="240" w:lineRule="auto"/>
              <w:rPr>
                <w:lang w:val="en-GB"/>
              </w:rPr>
            </w:pPr>
            <w:r w:rsidRPr="00305E0F">
              <w:rPr>
                <w:lang w:val="en-GB"/>
              </w:rPr>
              <w:t>Limited or uncertain track record in general. Volatile costs and profits.</w:t>
            </w:r>
          </w:p>
        </w:tc>
      </w:tr>
      <w:tr w:rsidR="00305E0F" w:rsidRPr="00305E0F" w14:paraId="5CA2BBBC"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77"/>
            </w:tblGrid>
            <w:tr w:rsidR="00305E0F" w:rsidRPr="00305E0F" w14:paraId="5BE51E5A" w14:textId="77777777">
              <w:tc>
                <w:tcPr>
                  <w:tcW w:w="0" w:type="auto"/>
                  <w:hideMark/>
                </w:tcPr>
                <w:p w14:paraId="15941EAC" w14:textId="0B1ABA3D" w:rsidR="00C91217" w:rsidRPr="00305E0F" w:rsidRDefault="00C91217" w:rsidP="00C91217">
                  <w:pPr>
                    <w:pStyle w:val="P68B1DB1-Normal5"/>
                    <w:spacing w:before="120" w:after="0" w:line="240" w:lineRule="auto"/>
                    <w:rPr>
                      <w:lang w:val="en-GB"/>
                    </w:rPr>
                  </w:pPr>
                  <w:r w:rsidRPr="00305E0F">
                    <w:rPr>
                      <w:lang w:val="en-GB"/>
                    </w:rPr>
                    <w:t>3.</w:t>
                  </w:r>
                </w:p>
              </w:tc>
              <w:tc>
                <w:tcPr>
                  <w:tcW w:w="0" w:type="auto"/>
                  <w:hideMark/>
                </w:tcPr>
                <w:p w14:paraId="6E696218" w14:textId="77777777" w:rsidR="00C91217" w:rsidRPr="00305E0F" w:rsidRDefault="00C91217" w:rsidP="00C91217">
                  <w:pPr>
                    <w:pStyle w:val="P68B1DB1-Normal5"/>
                    <w:spacing w:before="120" w:after="0" w:line="240" w:lineRule="auto"/>
                    <w:rPr>
                      <w:lang w:val="en-GB"/>
                    </w:rPr>
                  </w:pPr>
                  <w:r w:rsidRPr="00305E0F">
                    <w:rPr>
                      <w:lang w:val="en-GB"/>
                    </w:rPr>
                    <w:t>Sub-factor: trading controls and hedging policies</w:t>
                  </w:r>
                </w:p>
              </w:tc>
            </w:tr>
          </w:tbl>
          <w:p w14:paraId="7FCA4D04"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0EF988FE" w14:textId="53FD33B4" w:rsidR="00C91217" w:rsidRPr="00305E0F" w:rsidRDefault="00C91217" w:rsidP="00C91217">
            <w:pPr>
              <w:pStyle w:val="P68B1DB1-Normal27"/>
              <w:spacing w:before="60" w:after="60" w:line="240" w:lineRule="auto"/>
              <w:rPr>
                <w:lang w:val="en-GB"/>
              </w:rPr>
            </w:pPr>
            <w:r w:rsidRPr="00305E0F">
              <w:rPr>
                <w:lang w:val="en-GB"/>
              </w:rPr>
              <w:t>Strong standards for counterparty selection, hedging, and monitoring</w:t>
            </w:r>
          </w:p>
        </w:tc>
        <w:tc>
          <w:tcPr>
            <w:tcW w:w="0" w:type="auto"/>
            <w:tcBorders>
              <w:top w:val="single" w:sz="6" w:space="0" w:color="000000"/>
              <w:left w:val="single" w:sz="6" w:space="0" w:color="000000"/>
              <w:bottom w:val="single" w:sz="6" w:space="0" w:color="000000"/>
              <w:right w:val="single" w:sz="6" w:space="0" w:color="000000"/>
            </w:tcBorders>
            <w:hideMark/>
          </w:tcPr>
          <w:p w14:paraId="1609398A" w14:textId="4E67A5B6" w:rsidR="00C91217" w:rsidRPr="00305E0F" w:rsidRDefault="00C91217" w:rsidP="00C91217">
            <w:pPr>
              <w:pStyle w:val="P68B1DB1-Normal27"/>
              <w:spacing w:before="60" w:after="60" w:line="240" w:lineRule="auto"/>
              <w:rPr>
                <w:lang w:val="en-GB"/>
              </w:rPr>
            </w:pPr>
            <w:r w:rsidRPr="00305E0F">
              <w:rPr>
                <w:lang w:val="en-GB"/>
              </w:rPr>
              <w:t>Adequate standards for counterparty selection, hedging, and monitoring</w:t>
            </w:r>
          </w:p>
        </w:tc>
        <w:tc>
          <w:tcPr>
            <w:tcW w:w="0" w:type="auto"/>
            <w:tcBorders>
              <w:top w:val="single" w:sz="6" w:space="0" w:color="000000"/>
              <w:left w:val="single" w:sz="6" w:space="0" w:color="000000"/>
              <w:bottom w:val="single" w:sz="6" w:space="0" w:color="000000"/>
              <w:right w:val="single" w:sz="6" w:space="0" w:color="000000"/>
            </w:tcBorders>
            <w:hideMark/>
          </w:tcPr>
          <w:p w14:paraId="7AF11E9F" w14:textId="1B656621" w:rsidR="00C91217" w:rsidRPr="00305E0F" w:rsidRDefault="00C91217" w:rsidP="00C91217">
            <w:pPr>
              <w:pStyle w:val="P68B1DB1-Normal27"/>
              <w:spacing w:before="60" w:after="60" w:line="240" w:lineRule="auto"/>
              <w:rPr>
                <w:lang w:val="en-GB"/>
              </w:rPr>
            </w:pPr>
            <w:r w:rsidRPr="00305E0F">
              <w:rPr>
                <w:lang w:val="en-GB"/>
              </w:rPr>
              <w:t>Past deals have experienced no or minor problems</w:t>
            </w:r>
          </w:p>
        </w:tc>
        <w:tc>
          <w:tcPr>
            <w:tcW w:w="0" w:type="auto"/>
            <w:tcBorders>
              <w:top w:val="single" w:sz="6" w:space="0" w:color="000000"/>
              <w:left w:val="single" w:sz="6" w:space="0" w:color="000000"/>
              <w:bottom w:val="single" w:sz="6" w:space="0" w:color="000000"/>
              <w:right w:val="single" w:sz="6" w:space="0" w:color="000000"/>
            </w:tcBorders>
            <w:hideMark/>
          </w:tcPr>
          <w:p w14:paraId="0F30C282" w14:textId="08E2230B" w:rsidR="00C91217" w:rsidRPr="00305E0F" w:rsidRDefault="00C91217" w:rsidP="00C91217">
            <w:pPr>
              <w:pStyle w:val="P68B1DB1-Normal27"/>
              <w:spacing w:before="60" w:after="60" w:line="240" w:lineRule="auto"/>
              <w:rPr>
                <w:lang w:val="en-GB"/>
              </w:rPr>
            </w:pPr>
            <w:r w:rsidRPr="00305E0F">
              <w:rPr>
                <w:lang w:val="en-GB"/>
              </w:rPr>
              <w:t>Trader has experienced significant losses on past deals</w:t>
            </w:r>
          </w:p>
        </w:tc>
      </w:tr>
      <w:tr w:rsidR="00305E0F" w:rsidRPr="00305E0F" w14:paraId="03F6B261"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77"/>
            </w:tblGrid>
            <w:tr w:rsidR="00305E0F" w:rsidRPr="00305E0F" w14:paraId="7B3ABA9D" w14:textId="77777777">
              <w:tc>
                <w:tcPr>
                  <w:tcW w:w="0" w:type="auto"/>
                  <w:hideMark/>
                </w:tcPr>
                <w:p w14:paraId="6A08F236" w14:textId="19273DF2" w:rsidR="00C91217" w:rsidRPr="00305E0F" w:rsidRDefault="00C91217" w:rsidP="00C91217">
                  <w:pPr>
                    <w:pStyle w:val="P68B1DB1-Normal5"/>
                    <w:spacing w:before="120" w:after="0" w:line="240" w:lineRule="auto"/>
                    <w:rPr>
                      <w:lang w:val="en-GB"/>
                    </w:rPr>
                  </w:pPr>
                  <w:r w:rsidRPr="00305E0F">
                    <w:rPr>
                      <w:lang w:val="en-GB"/>
                    </w:rPr>
                    <w:t>4.</w:t>
                  </w:r>
                </w:p>
              </w:tc>
              <w:tc>
                <w:tcPr>
                  <w:tcW w:w="0" w:type="auto"/>
                  <w:hideMark/>
                </w:tcPr>
                <w:p w14:paraId="7440F66D" w14:textId="77777777" w:rsidR="00C91217" w:rsidRPr="00305E0F" w:rsidRDefault="00C91217" w:rsidP="00C91217">
                  <w:pPr>
                    <w:pStyle w:val="P68B1DB1-Normal5"/>
                    <w:spacing w:before="120" w:after="0" w:line="240" w:lineRule="auto"/>
                    <w:rPr>
                      <w:lang w:val="en-GB"/>
                    </w:rPr>
                  </w:pPr>
                  <w:r w:rsidRPr="00305E0F">
                    <w:rPr>
                      <w:lang w:val="en-GB"/>
                    </w:rPr>
                    <w:t>Sub-factor: quality of financial information</w:t>
                  </w:r>
                </w:p>
              </w:tc>
            </w:tr>
          </w:tbl>
          <w:p w14:paraId="17162587" w14:textId="77777777" w:rsidR="00C91217" w:rsidRPr="00305E0F" w:rsidRDefault="00C91217" w:rsidP="00C91217">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47AA75B3" w14:textId="34BB7B4A" w:rsidR="00C91217" w:rsidRPr="00305E0F" w:rsidRDefault="00C91217" w:rsidP="00C91217">
            <w:pPr>
              <w:pStyle w:val="P68B1DB1-Normal27"/>
              <w:spacing w:before="60" w:after="60" w:line="240" w:lineRule="auto"/>
              <w:rPr>
                <w:lang w:val="en-GB"/>
              </w:rPr>
            </w:pPr>
            <w:r w:rsidRPr="00305E0F">
              <w:rPr>
                <w:lang w:val="en-GB"/>
              </w:rPr>
              <w:t>Excellent</w:t>
            </w:r>
          </w:p>
        </w:tc>
        <w:tc>
          <w:tcPr>
            <w:tcW w:w="0" w:type="auto"/>
            <w:tcBorders>
              <w:top w:val="single" w:sz="6" w:space="0" w:color="000000"/>
              <w:left w:val="single" w:sz="6" w:space="0" w:color="000000"/>
              <w:bottom w:val="single" w:sz="6" w:space="0" w:color="000000"/>
              <w:right w:val="single" w:sz="6" w:space="0" w:color="000000"/>
            </w:tcBorders>
            <w:hideMark/>
          </w:tcPr>
          <w:p w14:paraId="71721CB5" w14:textId="1543FBFA" w:rsidR="00C91217" w:rsidRPr="00305E0F" w:rsidRDefault="00C91217" w:rsidP="00C91217">
            <w:pPr>
              <w:pStyle w:val="P68B1DB1-Normal27"/>
              <w:spacing w:before="60" w:after="60" w:line="240" w:lineRule="auto"/>
              <w:rPr>
                <w:lang w:val="en-GB"/>
              </w:rPr>
            </w:pPr>
            <w:r w:rsidRPr="00305E0F">
              <w:rPr>
                <w:lang w:val="en-GB"/>
              </w:rPr>
              <w:t>Good</w:t>
            </w:r>
          </w:p>
        </w:tc>
        <w:tc>
          <w:tcPr>
            <w:tcW w:w="0" w:type="auto"/>
            <w:tcBorders>
              <w:top w:val="single" w:sz="6" w:space="0" w:color="000000"/>
              <w:left w:val="single" w:sz="6" w:space="0" w:color="000000"/>
              <w:bottom w:val="single" w:sz="6" w:space="0" w:color="000000"/>
              <w:right w:val="single" w:sz="6" w:space="0" w:color="000000"/>
            </w:tcBorders>
            <w:hideMark/>
          </w:tcPr>
          <w:p w14:paraId="41C42CF0" w14:textId="1A3EBC1D" w:rsidR="00C91217" w:rsidRPr="00305E0F" w:rsidRDefault="00C91217" w:rsidP="00C91217">
            <w:pPr>
              <w:pStyle w:val="P68B1DB1-Normal27"/>
              <w:spacing w:before="60" w:after="60" w:line="240" w:lineRule="auto"/>
              <w:rPr>
                <w:lang w:val="en-GB"/>
              </w:rPr>
            </w:pPr>
            <w:r w:rsidRPr="00305E0F">
              <w:rPr>
                <w:lang w:val="en-GB"/>
              </w:rPr>
              <w:t>Satisfactory</w:t>
            </w:r>
          </w:p>
        </w:tc>
        <w:tc>
          <w:tcPr>
            <w:tcW w:w="0" w:type="auto"/>
            <w:tcBorders>
              <w:top w:val="single" w:sz="6" w:space="0" w:color="000000"/>
              <w:left w:val="single" w:sz="6" w:space="0" w:color="000000"/>
              <w:bottom w:val="single" w:sz="6" w:space="0" w:color="000000"/>
              <w:right w:val="single" w:sz="6" w:space="0" w:color="000000"/>
            </w:tcBorders>
            <w:hideMark/>
          </w:tcPr>
          <w:p w14:paraId="1DFCBD4B" w14:textId="2BC31258" w:rsidR="00C91217" w:rsidRPr="00305E0F" w:rsidRDefault="00C91217" w:rsidP="00C91217">
            <w:pPr>
              <w:pStyle w:val="P68B1DB1-Normal27"/>
              <w:spacing w:before="60" w:after="60" w:line="240" w:lineRule="auto"/>
              <w:rPr>
                <w:lang w:val="en-GB"/>
              </w:rPr>
            </w:pPr>
            <w:r w:rsidRPr="00305E0F">
              <w:rPr>
                <w:lang w:val="en-GB"/>
              </w:rPr>
              <w:t>Financial disclosure contains some uncertainties or is insufficient</w:t>
            </w:r>
          </w:p>
        </w:tc>
      </w:tr>
      <w:tr w:rsidR="00305E0F" w:rsidRPr="00305E0F" w14:paraId="62964E20" w14:textId="77777777">
        <w:tc>
          <w:tcPr>
            <w:tcW w:w="0" w:type="auto"/>
            <w:tcBorders>
              <w:top w:val="single" w:sz="6" w:space="0" w:color="000000"/>
              <w:left w:val="single" w:sz="6" w:space="0" w:color="000000"/>
              <w:bottom w:val="single" w:sz="6" w:space="0" w:color="000000"/>
              <w:right w:val="single" w:sz="6" w:space="0" w:color="000000"/>
            </w:tcBorders>
            <w:hideMark/>
          </w:tcPr>
          <w:p w14:paraId="5FD530E6" w14:textId="10C1D51A" w:rsidR="00EB0050" w:rsidRPr="00305E0F" w:rsidRDefault="00B02122">
            <w:pPr>
              <w:pStyle w:val="P68B1DB1-Normal26"/>
              <w:spacing w:before="60" w:after="60" w:line="240" w:lineRule="auto"/>
              <w:rPr>
                <w:bCs/>
                <w:lang w:val="en-GB"/>
              </w:rPr>
            </w:pPr>
            <w:r w:rsidRPr="00305E0F">
              <w:rPr>
                <w:lang w:val="en-GB"/>
              </w:rPr>
              <w:t>Factor:</w:t>
            </w:r>
          </w:p>
          <w:p w14:paraId="2A25D555" w14:textId="08D714E2" w:rsidR="00EB0050" w:rsidRPr="00305E0F" w:rsidRDefault="00C91217">
            <w:pPr>
              <w:pStyle w:val="P68B1DB1-Normal26"/>
              <w:spacing w:before="60" w:after="60" w:line="240" w:lineRule="auto"/>
              <w:rPr>
                <w:lang w:val="en-GB"/>
              </w:rPr>
            </w:pPr>
            <w:r w:rsidRPr="00305E0F">
              <w:rPr>
                <w:bCs/>
                <w:lang w:val="en-GB"/>
              </w:rPr>
              <w:t>security package</w:t>
            </w:r>
          </w:p>
        </w:tc>
        <w:tc>
          <w:tcPr>
            <w:tcW w:w="0" w:type="auto"/>
            <w:tcBorders>
              <w:top w:val="single" w:sz="6" w:space="0" w:color="000000"/>
              <w:left w:val="single" w:sz="6" w:space="0" w:color="000000"/>
              <w:bottom w:val="single" w:sz="6" w:space="0" w:color="000000"/>
              <w:right w:val="single" w:sz="6" w:space="0" w:color="000000"/>
            </w:tcBorders>
            <w:hideMark/>
          </w:tcPr>
          <w:p w14:paraId="0875EA29"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EA4D6ED"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04D60623" w14:textId="77777777" w:rsidR="00EB0050" w:rsidRPr="00305E0F" w:rsidRDefault="00B02122">
            <w:pPr>
              <w:pStyle w:val="P68B1DB1-Normal5"/>
              <w:spacing w:before="120" w:after="0" w:line="240" w:lineRule="auto"/>
              <w:jc w:val="both"/>
              <w:rPr>
                <w:lang w:val="en-GB"/>
              </w:rPr>
            </w:pPr>
            <w:r w:rsidRPr="00305E0F">
              <w:rPr>
                <w:lang w:val="en-GB"/>
              </w:rPr>
              <w:t> </w:t>
            </w:r>
          </w:p>
        </w:tc>
        <w:tc>
          <w:tcPr>
            <w:tcW w:w="0" w:type="auto"/>
            <w:tcBorders>
              <w:top w:val="single" w:sz="6" w:space="0" w:color="000000"/>
              <w:left w:val="single" w:sz="6" w:space="0" w:color="000000"/>
              <w:bottom w:val="single" w:sz="6" w:space="0" w:color="000000"/>
              <w:right w:val="single" w:sz="6" w:space="0" w:color="000000"/>
            </w:tcBorders>
            <w:hideMark/>
          </w:tcPr>
          <w:p w14:paraId="21B61D7F" w14:textId="77777777" w:rsidR="00EB0050" w:rsidRPr="00305E0F" w:rsidRDefault="00B02122">
            <w:pPr>
              <w:pStyle w:val="P68B1DB1-Normal5"/>
              <w:spacing w:before="120" w:after="0" w:line="240" w:lineRule="auto"/>
              <w:jc w:val="both"/>
              <w:rPr>
                <w:lang w:val="en-GB"/>
              </w:rPr>
            </w:pPr>
            <w:r w:rsidRPr="00305E0F">
              <w:rPr>
                <w:lang w:val="en-GB"/>
              </w:rPr>
              <w:t> </w:t>
            </w:r>
          </w:p>
        </w:tc>
      </w:tr>
      <w:tr w:rsidR="00305E0F" w:rsidRPr="00305E0F" w14:paraId="3510CDFE"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77"/>
            </w:tblGrid>
            <w:tr w:rsidR="00305E0F" w:rsidRPr="00305E0F" w14:paraId="34FA046B" w14:textId="77777777">
              <w:tc>
                <w:tcPr>
                  <w:tcW w:w="0" w:type="auto"/>
                  <w:hideMark/>
                </w:tcPr>
                <w:p w14:paraId="3B401C49" w14:textId="3F727A4F" w:rsidR="001171E5" w:rsidRPr="00305E0F" w:rsidRDefault="001171E5" w:rsidP="001171E5">
                  <w:pPr>
                    <w:pStyle w:val="P68B1DB1-Normal5"/>
                    <w:spacing w:before="120" w:after="0" w:line="240" w:lineRule="auto"/>
                    <w:rPr>
                      <w:lang w:val="en-GB"/>
                    </w:rPr>
                  </w:pPr>
                  <w:r w:rsidRPr="00305E0F">
                    <w:rPr>
                      <w:lang w:val="en-GB"/>
                    </w:rPr>
                    <w:t>1.</w:t>
                  </w:r>
                </w:p>
              </w:tc>
              <w:tc>
                <w:tcPr>
                  <w:tcW w:w="0" w:type="auto"/>
                  <w:hideMark/>
                </w:tcPr>
                <w:p w14:paraId="2589DD42" w14:textId="1385C7DA" w:rsidR="001171E5" w:rsidRPr="00305E0F" w:rsidRDefault="001171E5" w:rsidP="001171E5">
                  <w:pPr>
                    <w:pStyle w:val="P68B1DB1-Normal5"/>
                    <w:spacing w:before="120" w:after="0" w:line="240" w:lineRule="auto"/>
                    <w:rPr>
                      <w:lang w:val="en-GB"/>
                    </w:rPr>
                  </w:pPr>
                  <w:r w:rsidRPr="00305E0F">
                    <w:rPr>
                      <w:lang w:val="en-GB"/>
                    </w:rPr>
                    <w:t>Sub-factor: asset control</w:t>
                  </w:r>
                </w:p>
              </w:tc>
            </w:tr>
          </w:tbl>
          <w:p w14:paraId="768855BC" w14:textId="77777777" w:rsidR="001171E5" w:rsidRPr="00305E0F" w:rsidRDefault="001171E5" w:rsidP="001171E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674DF778" w14:textId="5EC3DB9A" w:rsidR="001171E5" w:rsidRPr="00305E0F" w:rsidRDefault="001171E5" w:rsidP="001171E5">
            <w:pPr>
              <w:pStyle w:val="P68B1DB1-Normal27"/>
              <w:spacing w:before="60" w:after="60" w:line="240" w:lineRule="auto"/>
              <w:rPr>
                <w:lang w:val="en-GB"/>
              </w:rPr>
            </w:pPr>
            <w:r w:rsidRPr="00305E0F">
              <w:rPr>
                <w:lang w:val="en-GB"/>
              </w:rPr>
              <w:t>First perfected security interest provides the lender legal control of the assets at any time if needed.</w:t>
            </w:r>
          </w:p>
        </w:tc>
        <w:tc>
          <w:tcPr>
            <w:tcW w:w="0" w:type="auto"/>
            <w:tcBorders>
              <w:top w:val="single" w:sz="6" w:space="0" w:color="000000"/>
              <w:left w:val="single" w:sz="6" w:space="0" w:color="000000"/>
              <w:bottom w:val="single" w:sz="6" w:space="0" w:color="000000"/>
              <w:right w:val="single" w:sz="6" w:space="0" w:color="000000"/>
            </w:tcBorders>
            <w:hideMark/>
          </w:tcPr>
          <w:p w14:paraId="351B9F45" w14:textId="4936B327" w:rsidR="001171E5" w:rsidRPr="00305E0F" w:rsidRDefault="001171E5" w:rsidP="001171E5">
            <w:pPr>
              <w:pStyle w:val="P68B1DB1-Normal27"/>
              <w:spacing w:before="60" w:after="60" w:line="240" w:lineRule="auto"/>
              <w:rPr>
                <w:lang w:val="en-GB"/>
              </w:rPr>
            </w:pPr>
            <w:r w:rsidRPr="00305E0F">
              <w:rPr>
                <w:lang w:val="en-GB"/>
              </w:rPr>
              <w:t>First perfected security interest provides the lender legal control of the assets at any time if needed.</w:t>
            </w:r>
          </w:p>
        </w:tc>
        <w:tc>
          <w:tcPr>
            <w:tcW w:w="0" w:type="auto"/>
            <w:tcBorders>
              <w:top w:val="single" w:sz="6" w:space="0" w:color="000000"/>
              <w:left w:val="single" w:sz="6" w:space="0" w:color="000000"/>
              <w:bottom w:val="single" w:sz="6" w:space="0" w:color="000000"/>
              <w:right w:val="single" w:sz="6" w:space="0" w:color="000000"/>
            </w:tcBorders>
            <w:hideMark/>
          </w:tcPr>
          <w:p w14:paraId="7FB9EA63" w14:textId="2115A225" w:rsidR="001171E5" w:rsidRPr="00305E0F" w:rsidRDefault="001171E5" w:rsidP="001171E5">
            <w:pPr>
              <w:pStyle w:val="P68B1DB1-Normal27"/>
              <w:spacing w:before="60" w:after="60" w:line="240" w:lineRule="auto"/>
              <w:rPr>
                <w:lang w:val="en-GB"/>
              </w:rPr>
            </w:pPr>
            <w:r w:rsidRPr="00305E0F">
              <w:rPr>
                <w:lang w:val="en-GB"/>
              </w:rPr>
              <w:t>At some point in the process, there is a rupture in the control of the assets by the lender. The rupture is mitigated by knowledge of the trade process or a third party undertaking as the case may be.</w:t>
            </w:r>
          </w:p>
        </w:tc>
        <w:tc>
          <w:tcPr>
            <w:tcW w:w="0" w:type="auto"/>
            <w:tcBorders>
              <w:top w:val="single" w:sz="6" w:space="0" w:color="000000"/>
              <w:left w:val="single" w:sz="6" w:space="0" w:color="000000"/>
              <w:bottom w:val="single" w:sz="6" w:space="0" w:color="000000"/>
              <w:right w:val="single" w:sz="6" w:space="0" w:color="000000"/>
            </w:tcBorders>
            <w:hideMark/>
          </w:tcPr>
          <w:p w14:paraId="1A61CD61" w14:textId="77F3B185" w:rsidR="001171E5" w:rsidRPr="00305E0F" w:rsidRDefault="001171E5" w:rsidP="001171E5">
            <w:pPr>
              <w:pStyle w:val="P68B1DB1-Normal27"/>
              <w:spacing w:before="60" w:after="60" w:line="240" w:lineRule="auto"/>
              <w:rPr>
                <w:lang w:val="en-GB"/>
              </w:rPr>
            </w:pPr>
            <w:r w:rsidRPr="00305E0F">
              <w:rPr>
                <w:lang w:val="en-GB"/>
              </w:rPr>
              <w:t>Contract leaves room for some risk of losing control over the assets. Recovery could be jeopardised.</w:t>
            </w:r>
          </w:p>
        </w:tc>
      </w:tr>
      <w:tr w:rsidR="001171E5" w:rsidRPr="00305E0F" w14:paraId="431B3861" w14:textId="77777777">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77"/>
            </w:tblGrid>
            <w:tr w:rsidR="00305E0F" w:rsidRPr="00305E0F" w14:paraId="73E241DE" w14:textId="77777777">
              <w:tc>
                <w:tcPr>
                  <w:tcW w:w="0" w:type="auto"/>
                  <w:hideMark/>
                </w:tcPr>
                <w:p w14:paraId="60BB5540" w14:textId="43F87E1C" w:rsidR="001171E5" w:rsidRPr="00305E0F" w:rsidRDefault="001171E5" w:rsidP="001171E5">
                  <w:pPr>
                    <w:pStyle w:val="P68B1DB1-Normal5"/>
                    <w:spacing w:before="120" w:after="0" w:line="240" w:lineRule="auto"/>
                    <w:rPr>
                      <w:lang w:val="en-GB"/>
                    </w:rPr>
                  </w:pPr>
                  <w:r w:rsidRPr="00305E0F">
                    <w:rPr>
                      <w:lang w:val="en-GB"/>
                    </w:rPr>
                    <w:t xml:space="preserve">2. </w:t>
                  </w:r>
                </w:p>
              </w:tc>
              <w:tc>
                <w:tcPr>
                  <w:tcW w:w="0" w:type="auto"/>
                  <w:hideMark/>
                </w:tcPr>
                <w:p w14:paraId="0DC25923" w14:textId="77777777" w:rsidR="001171E5" w:rsidRPr="00305E0F" w:rsidRDefault="001171E5" w:rsidP="001171E5">
                  <w:pPr>
                    <w:pStyle w:val="P68B1DB1-Normal5"/>
                    <w:spacing w:before="120" w:after="0" w:line="240" w:lineRule="auto"/>
                    <w:rPr>
                      <w:lang w:val="en-GB"/>
                    </w:rPr>
                  </w:pPr>
                  <w:r w:rsidRPr="00305E0F">
                    <w:rPr>
                      <w:lang w:val="en-GB"/>
                    </w:rPr>
                    <w:t>Sub-factor: insurance against damages</w:t>
                  </w:r>
                </w:p>
              </w:tc>
            </w:tr>
          </w:tbl>
          <w:p w14:paraId="4A05DDA8" w14:textId="77777777" w:rsidR="001171E5" w:rsidRPr="00305E0F" w:rsidRDefault="001171E5" w:rsidP="001171E5">
            <w:pPr>
              <w:spacing w:after="0" w:line="240" w:lineRule="auto"/>
              <w:rPr>
                <w:rFonts w:ascii="Times New Roman" w:eastAsia="Times New Roman" w:hAnsi="Times New Roman" w:cs="Times New Roman"/>
                <w:sz w:val="24"/>
                <w:szCs w:val="24"/>
                <w:lang w:val="en-GB"/>
              </w:rPr>
            </w:pPr>
          </w:p>
        </w:tc>
        <w:tc>
          <w:tcPr>
            <w:tcW w:w="0" w:type="auto"/>
            <w:tcBorders>
              <w:top w:val="single" w:sz="6" w:space="0" w:color="000000"/>
              <w:left w:val="single" w:sz="6" w:space="0" w:color="000000"/>
              <w:bottom w:val="single" w:sz="6" w:space="0" w:color="000000"/>
              <w:right w:val="single" w:sz="6" w:space="0" w:color="000000"/>
            </w:tcBorders>
            <w:hideMark/>
          </w:tcPr>
          <w:p w14:paraId="5E15412F" w14:textId="61F0CEC6" w:rsidR="001171E5" w:rsidRPr="00305E0F" w:rsidRDefault="001171E5" w:rsidP="001171E5">
            <w:pPr>
              <w:pStyle w:val="P68B1DB1-Normal27"/>
              <w:spacing w:before="60" w:after="60" w:line="240" w:lineRule="auto"/>
              <w:rPr>
                <w:lang w:val="en-GB"/>
              </w:rPr>
            </w:pPr>
            <w:r w:rsidRPr="00305E0F">
              <w:rPr>
                <w:lang w:val="en-GB"/>
              </w:rPr>
              <w:t>Strong insurance coverage including collateral damages with top quality insurance companies</w:t>
            </w:r>
          </w:p>
        </w:tc>
        <w:tc>
          <w:tcPr>
            <w:tcW w:w="0" w:type="auto"/>
            <w:tcBorders>
              <w:top w:val="single" w:sz="6" w:space="0" w:color="000000"/>
              <w:left w:val="single" w:sz="6" w:space="0" w:color="000000"/>
              <w:bottom w:val="single" w:sz="6" w:space="0" w:color="000000"/>
              <w:right w:val="single" w:sz="6" w:space="0" w:color="000000"/>
            </w:tcBorders>
            <w:hideMark/>
          </w:tcPr>
          <w:p w14:paraId="70728907" w14:textId="2BA76D8A" w:rsidR="001171E5" w:rsidRPr="00305E0F" w:rsidRDefault="001171E5" w:rsidP="001171E5">
            <w:pPr>
              <w:pStyle w:val="P68B1DB1-Normal27"/>
              <w:spacing w:before="60" w:after="60" w:line="240" w:lineRule="auto"/>
              <w:rPr>
                <w:lang w:val="en-GB"/>
              </w:rPr>
            </w:pPr>
            <w:r w:rsidRPr="00305E0F">
              <w:rPr>
                <w:lang w:val="en-GB"/>
              </w:rPr>
              <w:t>Satisfactory insurance coverage (not including collateral damages) with good quality insurance companies</w:t>
            </w:r>
          </w:p>
        </w:tc>
        <w:tc>
          <w:tcPr>
            <w:tcW w:w="0" w:type="auto"/>
            <w:tcBorders>
              <w:top w:val="single" w:sz="6" w:space="0" w:color="000000"/>
              <w:left w:val="single" w:sz="6" w:space="0" w:color="000000"/>
              <w:bottom w:val="single" w:sz="6" w:space="0" w:color="000000"/>
              <w:right w:val="single" w:sz="6" w:space="0" w:color="000000"/>
            </w:tcBorders>
            <w:hideMark/>
          </w:tcPr>
          <w:p w14:paraId="74FFD364" w14:textId="224FA50D" w:rsidR="001171E5" w:rsidRPr="00305E0F" w:rsidRDefault="001171E5" w:rsidP="001171E5">
            <w:pPr>
              <w:pStyle w:val="P68B1DB1-Normal27"/>
              <w:spacing w:before="60" w:after="60" w:line="240" w:lineRule="auto"/>
              <w:rPr>
                <w:lang w:val="en-GB"/>
              </w:rPr>
            </w:pPr>
            <w:r w:rsidRPr="00305E0F">
              <w:rPr>
                <w:lang w:val="en-GB"/>
              </w:rPr>
              <w:t>Fair insurance coverage (not including collateral damages) with acceptable quality insurance companies</w:t>
            </w:r>
          </w:p>
        </w:tc>
        <w:tc>
          <w:tcPr>
            <w:tcW w:w="0" w:type="auto"/>
            <w:tcBorders>
              <w:top w:val="single" w:sz="6" w:space="0" w:color="000000"/>
              <w:left w:val="single" w:sz="6" w:space="0" w:color="000000"/>
              <w:bottom w:val="single" w:sz="6" w:space="0" w:color="000000"/>
              <w:right w:val="single" w:sz="6" w:space="0" w:color="000000"/>
            </w:tcBorders>
            <w:hideMark/>
          </w:tcPr>
          <w:p w14:paraId="155D9B4B" w14:textId="7458D1B7" w:rsidR="001171E5" w:rsidRPr="00305E0F" w:rsidRDefault="001171E5" w:rsidP="001171E5">
            <w:pPr>
              <w:pStyle w:val="P68B1DB1-Normal27"/>
              <w:spacing w:before="60" w:after="60" w:line="240" w:lineRule="auto"/>
              <w:rPr>
                <w:lang w:val="en-GB"/>
              </w:rPr>
            </w:pPr>
            <w:r w:rsidRPr="00305E0F">
              <w:rPr>
                <w:lang w:val="en-GB"/>
              </w:rPr>
              <w:t>Weak insurance coverage (not including collateral damages) or with weak quality insurance companies</w:t>
            </w:r>
          </w:p>
        </w:tc>
      </w:tr>
    </w:tbl>
    <w:p w14:paraId="5DC24E57" w14:textId="77777777" w:rsidR="00EB0050" w:rsidRPr="00305E0F" w:rsidRDefault="00EB0050">
      <w:pPr>
        <w:rPr>
          <w:rFonts w:ascii="Times New Roman" w:hAnsi="Times New Roman" w:cs="Times New Roman"/>
          <w:lang w:val="en-GB"/>
        </w:rPr>
      </w:pPr>
    </w:p>
    <w:p w14:paraId="6E95091C" w14:textId="77777777" w:rsidR="00EB0050" w:rsidRPr="00305E0F" w:rsidRDefault="00EB0050">
      <w:pPr>
        <w:pStyle w:val="ListParagraph"/>
        <w:shd w:val="clear" w:color="auto" w:fill="FFFFFF"/>
        <w:tabs>
          <w:tab w:val="left" w:pos="0"/>
        </w:tabs>
        <w:spacing w:before="60" w:after="0" w:line="240" w:lineRule="auto"/>
        <w:ind w:left="0"/>
        <w:jc w:val="center"/>
        <w:rPr>
          <w:rFonts w:ascii="Times New Roman" w:hAnsi="Times New Roman" w:cs="Times New Roman"/>
          <w:b/>
          <w:bCs/>
          <w:sz w:val="24"/>
          <w:szCs w:val="24"/>
          <w:lang w:val="en-GB"/>
        </w:rPr>
      </w:pPr>
    </w:p>
    <w:sectPr w:rsidR="00EB0050" w:rsidRPr="00305E0F" w:rsidSect="00C32101">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FC8C" w14:textId="77777777" w:rsidR="00697B83" w:rsidRDefault="00697B83">
      <w:pPr>
        <w:spacing w:after="0" w:line="240" w:lineRule="auto"/>
      </w:pPr>
      <w:r>
        <w:separator/>
      </w:r>
    </w:p>
  </w:endnote>
  <w:endnote w:type="continuationSeparator" w:id="0">
    <w:p w14:paraId="088A2A77" w14:textId="77777777" w:rsidR="00697B83" w:rsidRDefault="00697B83">
      <w:pPr>
        <w:spacing w:after="0" w:line="240" w:lineRule="auto"/>
      </w:pPr>
      <w:r>
        <w:continuationSeparator/>
      </w:r>
    </w:p>
  </w:endnote>
  <w:endnote w:type="continuationNotice" w:id="1">
    <w:p w14:paraId="0AF77BE4" w14:textId="77777777" w:rsidR="00697B83" w:rsidRDefault="00697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F90B" w14:textId="4CD15CCD" w:rsidR="00066870" w:rsidRDefault="00066870">
    <w:pPr>
      <w:pStyle w:val="Footer"/>
    </w:pPr>
    <w:r>
      <w:rPr>
        <w:noProof/>
      </w:rPr>
      <mc:AlternateContent>
        <mc:Choice Requires="wps">
          <w:drawing>
            <wp:anchor distT="0" distB="0" distL="0" distR="0" simplePos="0" relativeHeight="251662336" behindDoc="0" locked="0" layoutInCell="1" allowOverlap="1" wp14:anchorId="16E212EB" wp14:editId="0F632657">
              <wp:simplePos x="635" y="635"/>
              <wp:positionH relativeFrom="page">
                <wp:align>center</wp:align>
              </wp:positionH>
              <wp:positionV relativeFrom="page">
                <wp:align>bottom</wp:align>
              </wp:positionV>
              <wp:extent cx="5939790" cy="458470"/>
              <wp:effectExtent l="0" t="0" r="3810" b="0"/>
              <wp:wrapNone/>
              <wp:docPr id="1985629647"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9790" cy="458470"/>
                      </a:xfrm>
                      <a:prstGeom prst="rect">
                        <a:avLst/>
                      </a:prstGeom>
                      <a:noFill/>
                      <a:ln>
                        <a:noFill/>
                      </a:ln>
                    </wps:spPr>
                    <wps:txbx>
                      <w:txbxContent>
                        <w:p w14:paraId="3E2FDAED" w14:textId="4CEE787C" w:rsidR="00066870" w:rsidRPr="00066870" w:rsidRDefault="00066870" w:rsidP="00066870">
                          <w:pPr>
                            <w:spacing w:after="0"/>
                            <w:rPr>
                              <w:rFonts w:ascii="Calibri" w:eastAsia="Calibri" w:hAnsi="Calibri" w:cs="Calibri"/>
                              <w:noProof/>
                              <w:color w:val="000000"/>
                              <w:sz w:val="16"/>
                              <w:szCs w:val="16"/>
                            </w:rPr>
                          </w:pPr>
                          <w:r w:rsidRPr="00066870">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212EB"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margin-left:0;margin-top:0;width:467.7pt;height:36.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nLiKEAIAAB0EAAAOAAAAZHJzL2Uyb0RvYy54bWysU01v2zAMvQ/YfxB0X+xkzdoYcYqsRYYB QVsgHXpWZCk2YIkCpcTOfv0oJW66bqdhF5kmKX689zS/7U3LDgp9A7bk41HOmbISqsbuSv7jefXp hjMfhK1EC1aV/Kg8v118/DDvXKEmUENbKWRUxPqicyWvQ3BFlnlZKyP8CJyyFNSARgT6xV1Woeio ummzSZ5/yTrAyiFI5T15709Bvkj1tVYyPGrtVWBtyWm2kE5M5zae2WIuih0KVzfyPIb4hymMaCw1 fS11L4Jge2z+KGUaieBBh5EEk4HWjVRpB9pmnL/bZlMLp9IuBI53rzD5/1dWPhw27glZ6L9CTwRG QDrnC0/OuE+v0cQvTcooThAeX2FTfWCSnNPZ59n1jEKSYlfTm6vrhGt2ue3Qh28KDItGyZFoSWiJ w9oH6kipQ0psZmHVtG2iprW/OSgxerLLiNEK/bZnTVXyyTD+FqojbYVwItw7uWqo9Vr48CSQGKZp SbXhkQ7dQldyOFuc1YA//+aP+QQ8RTnrSDEltyRpztrvlgiJ4hoMHIxtMsazfJpT3O7NHZAOx/Qk nEwmeTG0g6kRzAvpeRkbUUhYSe1Kvh3Mu3CSLr0HqZbLlEQ6ciKs7cbJWDrCFbF87l8EujPggah6 gEFOoniH+yk33vRuuQ+EfiIlQnsC8ow4aTBxdX4vUeRv/1PW5VUvfgEAAP//AwBQSwMEFAAGAAgA AAAhAIvBRj/cAAAABAEAAA8AAABkcnMvZG93bnJldi54bWxMj81OwzAQhO9IvIO1SNyoQ0IpTeNU qBKnIqT+XLi59jYJxOsodtr07Vm4lMtKoxnNfFssR9eKE/ah8aTgcZKAQDLeNlQp2O/eHl5AhKjJ 6tYTKrhggGV5e1Po3PozbfC0jZXgEgq5VlDH2OVSBlOj02HiOyT2jr53OrLsK2l7feZy18o0SZ6l 0w3xQq07XNVovreDUzDdxPfhg3bZ55hevtbdymTHtVHq/m58XYCIOMZrGH7xGR1KZjr4gWwQrQJ+ JP5d9ubZ9AnEQcEsTUGWhfwPX/4AAAD//wMAUEsBAi0AFAAGAAgAAAAhALaDOJL+AAAA4QEAABMA AAAAAAAAAAAAAAAAAAAAAFtDb250ZW50X1R5cGVzXS54bWxQSwECLQAUAAYACAAAACEAOP0h/9YA AACUAQAACwAAAAAAAAAAAAAAAAAvAQAAX3JlbHMvLnJlbHNQSwECLQAUAAYACAAAACEAzpy4ihAC AAAdBAAADgAAAAAAAAAAAAAAAAAuAgAAZHJzL2Uyb0RvYy54bWxQSwECLQAUAAYACAAAACEAi8FG P9wAAAAEAQAADwAAAAAAAAAAAAAAAABqBAAAZHJzL2Rvd25yZXYueG1sUEsFBgAAAAAEAAQA8wAA AHMFAAAAAA== " filled="f" stroked="f">
              <v:textbox style="mso-fit-shape-to-text:t" inset="0,0,0,15pt">
                <w:txbxContent>
                  <w:p w14:paraId="3E2FDAED" w14:textId="4CEE787C" w:rsidR="00066870" w:rsidRPr="00066870" w:rsidRDefault="00066870" w:rsidP="00066870">
                    <w:pPr>
                      <w:spacing w:after="0"/>
                      <w:rPr>
                        <w:rFonts w:ascii="Calibri" w:eastAsia="Calibri" w:hAnsi="Calibri" w:cs="Calibri"/>
                        <w:noProof/>
                        <w:color w:val="000000"/>
                        <w:sz w:val="16"/>
                        <w:szCs w:val="16"/>
                      </w:rPr>
                    </w:pPr>
                    <w:r w:rsidRPr="00066870">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F98C" w14:textId="5EA1D10F" w:rsidR="00EB0050" w:rsidRDefault="00000000">
    <w:pPr>
      <w:pStyle w:val="P68B1DB1-Footer29"/>
      <w:jc w:val="right"/>
    </w:pPr>
    <w:sdt>
      <w:sdtPr>
        <w:id w:val="620806644"/>
        <w:docPartObj>
          <w:docPartGallery w:val="Page Numbers (Bottom of Page)"/>
          <w:docPartUnique/>
        </w:docPartObj>
      </w:sdtPr>
      <w:sdtEndPr>
        <w:rPr>
          <w:noProof/>
        </w:rPr>
      </w:sdtEndPr>
      <w:sdtContent>
        <w:r w:rsidR="00066870">
          <w:fldChar w:fldCharType="begin"/>
        </w:r>
        <w:r w:rsidR="00066870">
          <w:instrText xml:space="preserve"> PAGE   \* MERGEFORMAT </w:instrText>
        </w:r>
        <w:r w:rsidR="00066870">
          <w:fldChar w:fldCharType="separate"/>
        </w:r>
        <w:r w:rsidR="00066870">
          <w:t>2</w:t>
        </w:r>
        <w:r w:rsidR="00066870">
          <w:fldChar w:fldCharType="end"/>
        </w:r>
      </w:sdtContent>
    </w:sdt>
  </w:p>
  <w:p w14:paraId="111935FE" w14:textId="77777777" w:rsidR="00EB0050" w:rsidRDefault="00EB0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9905" w14:textId="030D5BE8" w:rsidR="00066870" w:rsidRDefault="00066870">
    <w:pPr>
      <w:pStyle w:val="Footer"/>
    </w:pPr>
    <w:r>
      <w:rPr>
        <w:noProof/>
      </w:rPr>
      <mc:AlternateContent>
        <mc:Choice Requires="wps">
          <w:drawing>
            <wp:anchor distT="0" distB="0" distL="0" distR="0" simplePos="0" relativeHeight="251661312" behindDoc="0" locked="0" layoutInCell="1" allowOverlap="1" wp14:anchorId="328B972B" wp14:editId="7A4C6EAF">
              <wp:simplePos x="635" y="635"/>
              <wp:positionH relativeFrom="page">
                <wp:align>center</wp:align>
              </wp:positionH>
              <wp:positionV relativeFrom="page">
                <wp:align>bottom</wp:align>
              </wp:positionV>
              <wp:extent cx="5939790" cy="458470"/>
              <wp:effectExtent l="0" t="0" r="3810" b="0"/>
              <wp:wrapNone/>
              <wp:docPr id="58961477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9790" cy="458470"/>
                      </a:xfrm>
                      <a:prstGeom prst="rect">
                        <a:avLst/>
                      </a:prstGeom>
                      <a:noFill/>
                      <a:ln>
                        <a:noFill/>
                      </a:ln>
                    </wps:spPr>
                    <wps:txbx>
                      <w:txbxContent>
                        <w:p w14:paraId="53CF8217" w14:textId="5ABE9B53" w:rsidR="00066870" w:rsidRPr="00066870" w:rsidRDefault="00066870" w:rsidP="00066870">
                          <w:pPr>
                            <w:spacing w:after="0"/>
                            <w:rPr>
                              <w:rFonts w:ascii="Calibri" w:eastAsia="Calibri" w:hAnsi="Calibri" w:cs="Calibri"/>
                              <w:noProof/>
                              <w:color w:val="000000"/>
                              <w:sz w:val="16"/>
                              <w:szCs w:val="16"/>
                            </w:rPr>
                          </w:pPr>
                          <w:r w:rsidRPr="00066870">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B972B" id="_x0000_t202" coordsize="21600,21600" o:spt="202" path="m,l,21600r21600,l21600,xe">
              <v:stroke joinstyle="miter"/>
              <v:path gradientshapeok="t" o:connecttype="rect"/>
            </v:shapetype>
            <v:shape id="Text Box 4" o:spid="_x0000_s1029" type="#_x0000_t202" alt="Atenţie! Se interzice deţinerea, sustragerea, alterarea, multiplicarea, distrugerea sau folosirea  acestui document fără a dispune de drept de acces autorizat." style="position:absolute;margin-left:0;margin-top:0;width:467.7pt;height:36.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oKU6DwIAAB0EAAAOAAAAZHJzL2Uyb0RvYy54bWysU11v2jAUfZ+0/2D5fSR0ZS0RoWKtmCah thKd+mwch0RKfC3bkLBfv2NDoOv2NO3Fubn3+n6cczy769uG7ZV1Nemcj0cpZ0pLKmq9zfmPl+Wn W86cF7oQDWmV84Ny/G7+8cOsM5m6ooqaQlmGItplncl55b3JksTJSrXCjcgojWBJthUev3abFFZ0 qN42yVWafkk6soWxJJVz8D4cg3we65elkv6pLJ3yrMk5ZvPxtPHchDOZz0S2tcJUtTyNIf5hilbU Gk3PpR6EF2xn6z9KtbW05Kj0I0ltQmVZSxV3wDbj9N0260oYFXcBOM6cYXL/r6x83K/Ns2W+/0o9 CAyAdMZlDs6wT1/aNnwxKUMcEB7OsKneMwnnZPp5ejNFSCJ2Pbm9vom4Jpfbxjr/TVHLgpFzC1oi WmK/ch4dkTqkhGaalnXTRGoa/ZsDicGTXEYMlu83PasLTDKMv6HigK0sHQl3Ri5rtF4J55+FBcOY Fqr1TzjKhrqc08nirCL782/+kA/gEeWsg2JyriFpzprvGoQEcQ2GHYxNNMbTdJIirnftPUGHYzwJ I6MJr/XNYJaW2lfoeREaISS0RLucbwbz3h+li/cg1WIRk6AjI/xKr40MpQNcAcuX/lVYcwLcg6pH GuQksne4H3PDTWcWOw/0IykB2iOQJ8ShwcjV6b0Ekb/9j1mXVz3/BQAA//8DAFBLAwQUAAYACAAA ACEAi8FGP9wAAAAEAQAADwAAAGRycy9kb3ducmV2LnhtbEyPzU7DMBCE70i8g7VI3KhDQilN41So EqcipP5cuLn2NgnE6yh22vTtWbiUy0qjGc18WyxH14oT9qHxpOBxkoBAMt42VCnY794eXkCEqMnq 1hMquGCAZXl7U+jc+jNt8LSNleASCrlWUMfY5VIGU6PTYeI7JPaOvnc6suwraXt95nLXyjRJnqXT DfFCrTtc1Wi+t4NTMN3E9+GDdtnnmF6+1t3KZMe1Uer+bnxdgIg4xmsYfvEZHUpmOviBbBCtAn4k /l325tn0CcRBwSxNQZaF/A9f/gAAAP//AwBQSwECLQAUAAYACAAAACEAtoM4kv4AAADhAQAAEwAA AAAAAAAAAAAAAAAAAAAAW0NvbnRlbnRfVHlwZXNdLnhtbFBLAQItABQABgAIAAAAIQA4/SH/1gAA AJQBAAALAAAAAAAAAAAAAAAAAC8BAABfcmVscy8ucmVsc1BLAQItABQABgAIAAAAIQDNoKU6DwIA AB0EAAAOAAAAAAAAAAAAAAAAAC4CAABkcnMvZTJvRG9jLnhtbFBLAQItABQABgAIAAAAIQCLwUY/ 3AAAAAQBAAAPAAAAAAAAAAAAAAAAAGkEAABkcnMvZG93bnJldi54bWxQSwUGAAAAAAQABADzAAAA cgUAAAAA " filled="f" stroked="f">
              <v:textbox style="mso-fit-shape-to-text:t" inset="0,0,0,15pt">
                <w:txbxContent>
                  <w:p w14:paraId="53CF8217" w14:textId="5ABE9B53" w:rsidR="00066870" w:rsidRPr="00066870" w:rsidRDefault="00066870" w:rsidP="00066870">
                    <w:pPr>
                      <w:spacing w:after="0"/>
                      <w:rPr>
                        <w:rFonts w:ascii="Calibri" w:eastAsia="Calibri" w:hAnsi="Calibri" w:cs="Calibri"/>
                        <w:noProof/>
                        <w:color w:val="000000"/>
                        <w:sz w:val="16"/>
                        <w:szCs w:val="16"/>
                      </w:rPr>
                    </w:pPr>
                    <w:r w:rsidRPr="00066870">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F149" w14:textId="77777777" w:rsidR="00697B83" w:rsidRDefault="00697B83">
      <w:pPr>
        <w:spacing w:after="0" w:line="240" w:lineRule="auto"/>
      </w:pPr>
      <w:r>
        <w:separator/>
      </w:r>
    </w:p>
  </w:footnote>
  <w:footnote w:type="continuationSeparator" w:id="0">
    <w:p w14:paraId="2768BAC0" w14:textId="77777777" w:rsidR="00697B83" w:rsidRDefault="00697B83">
      <w:pPr>
        <w:spacing w:after="0" w:line="240" w:lineRule="auto"/>
      </w:pPr>
      <w:r>
        <w:continuationSeparator/>
      </w:r>
    </w:p>
  </w:footnote>
  <w:footnote w:type="continuationNotice" w:id="1">
    <w:p w14:paraId="2E938919" w14:textId="77777777" w:rsidR="00697B83" w:rsidRDefault="00697B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9CA" w14:textId="2B4A0886" w:rsidR="00066870" w:rsidRDefault="00066870">
    <w:pPr>
      <w:pStyle w:val="Header"/>
    </w:pPr>
    <w:r>
      <w:rPr>
        <w:noProof/>
      </w:rPr>
      <mc:AlternateContent>
        <mc:Choice Requires="wps">
          <w:drawing>
            <wp:anchor distT="0" distB="0" distL="0" distR="0" simplePos="0" relativeHeight="251659264" behindDoc="0" locked="0" layoutInCell="1" allowOverlap="1" wp14:anchorId="5235D17F" wp14:editId="7360A540">
              <wp:simplePos x="635" y="635"/>
              <wp:positionH relativeFrom="page">
                <wp:align>right</wp:align>
              </wp:positionH>
              <wp:positionV relativeFrom="page">
                <wp:align>top</wp:align>
              </wp:positionV>
              <wp:extent cx="527050" cy="391160"/>
              <wp:effectExtent l="0" t="0" r="0" b="8890"/>
              <wp:wrapNone/>
              <wp:docPr id="1308430591"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7050" cy="391160"/>
                      </a:xfrm>
                      <a:prstGeom prst="rect">
                        <a:avLst/>
                      </a:prstGeom>
                      <a:noFill/>
                      <a:ln>
                        <a:noFill/>
                      </a:ln>
                    </wps:spPr>
                    <wps:txbx>
                      <w:txbxContent>
                        <w:p w14:paraId="2F7856C3" w14:textId="36A55660" w:rsidR="00066870" w:rsidRPr="00066870" w:rsidRDefault="00066870" w:rsidP="00066870">
                          <w:pPr>
                            <w:spacing w:after="0"/>
                            <w:rPr>
                              <w:rFonts w:ascii="Calibri" w:eastAsia="Calibri" w:hAnsi="Calibri" w:cs="Calibri"/>
                              <w:noProof/>
                              <w:color w:val="000000"/>
                              <w:sz w:val="24"/>
                              <w:szCs w:val="24"/>
                            </w:rPr>
                          </w:pPr>
                          <w:r w:rsidRPr="00066870">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35D17F" id="_x0000_t202" coordsize="21600,21600" o:spt="202" path="m,l,21600r21600,l21600,xe">
              <v:stroke joinstyle="miter"/>
              <v:path gradientshapeok="t" o:connecttype="rect"/>
            </v:shapetype>
            <v:shape id="Text Box 2" o:spid="_x0000_s1026" type="#_x0000_t202" alt="SP-2" style="position:absolute;margin-left:-9.7pt;margin-top:0;width:41.5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P0soDQIAABoEAAAOAAAAZHJzL2Uyb0RvYy54bWysU0tv2zAMvg/YfxB0X2xnS9cacYqsRYYB RVsgHXpWZCk2IIuCxMTOfv0oxUm2bqdhF5kv8/Hx4/x26AzbKx9asBUvJjlnykqoW7ut+PeX1Ydr zgIKWwsDVlX8oAK/Xbx/N+9dqabQgKmVZ5TEhrJ3FW8QXZllQTaqE2ECTllyavCdQFL9Nqu96Cl7 Z7Jpnl9lPfjaeZAqBLLeH518kfJrrSQ+aR0UMlNx6g3T69O7iW+2mIty64VrWjm2If6hi060loqe U90LFGzn2z9Sda30EEDjREKXgdatVGkGmqbI30yzboRTaRYCJ7gzTOH/pZWP+7V79gyHLzDQAiMg vQtlIGOcZ9C+i1/qlJGfIDycYVMDMknG2fRzPiOPJNfHm6K4SrBml5+dD/hVQceiUHFPW0lgif1D QCpIoaeQWMvCqjUmbcbY3wwUGC3ZpcMo4bAZxrY3UB9oGg/HRQcnVy3VfBABn4WnzVKbxFZ8okcb 6CsOo8RZA/7H3+wxngAnL2c9MaXilqjMmflmaRGRVEkobggE0nzSprNPedQ2pyC76+6ASFjQPTiZ xBiM5iRqD90rkXkZq5FLWEk1K44n8Q6PvKVjkGq5TEFEIifwwa6djKkjWBHJl+FVeDfCjbSnRzhx SZRvUD/Gxj+DW+6QsE8ricAe0RzxJgKmTY3HEhn+q56iLie9+AkAAP//AwBQSwMEFAAGAAgAAAAh ACndtwHbAAAAAwEAAA8AAABkcnMvZG93bnJldi54bWxMj0FLw0AQhe+C/2EZwYvYTS2EGLMpIhTs wYOtOXjbZKdJMDsbdrdp8u8dvejlweMN731TbGc7iAl96B0pWK8SEEiNMz21Cj6Ou/sMRIiajB4c oYIFA2zL66tC58Zd6B2nQ2wFl1DItYIuxjGXMjQdWh1WbkTi7OS81ZGtb6Xx+sLldpAPSZJKq3vi hU6P+NJh83U4WwXV7O/edo/716X+7Kcl2Veb7FQpdXszPz+BiDjHv2P4wWd0KJmpdmcyQQwK+JH4 q5xlG3a1gnSdgiwL+Z+9/AYAAP//AwBQSwECLQAUAAYACAAAACEAtoM4kv4AAADhAQAAEwAAAAAA AAAAAAAAAAAAAAAAW0NvbnRlbnRfVHlwZXNdLnhtbFBLAQItABQABgAIAAAAIQA4/SH/1gAAAJQB AAALAAAAAAAAAAAAAAAAAC8BAABfcmVscy8ucmVsc1BLAQItABQABgAIAAAAIQA7P0soDQIAABoE AAAOAAAAAAAAAAAAAAAAAC4CAABkcnMvZTJvRG9jLnhtbFBLAQItABQABgAIAAAAIQAp3bcB2wAA AAMBAAAPAAAAAAAAAAAAAAAAAGcEAABkcnMvZG93bnJldi54bWxQSwUGAAAAAAQABADzAAAAbwUA AAAA " filled="f" stroked="f">
              <v:textbox style="mso-fit-shape-to-text:t" inset="0,15pt,20pt,0">
                <w:txbxContent>
                  <w:p w14:paraId="2F7856C3" w14:textId="36A55660" w:rsidR="00066870" w:rsidRPr="00066870" w:rsidRDefault="00066870" w:rsidP="00066870">
                    <w:pPr>
                      <w:spacing w:after="0"/>
                      <w:rPr>
                        <w:rFonts w:ascii="Calibri" w:eastAsia="Calibri" w:hAnsi="Calibri" w:cs="Calibri"/>
                        <w:noProof/>
                        <w:color w:val="000000"/>
                        <w:sz w:val="24"/>
                        <w:szCs w:val="24"/>
                      </w:rPr>
                    </w:pPr>
                    <w:r w:rsidRPr="00066870">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F22C" w14:textId="4300884F" w:rsidR="00EB0050" w:rsidRDefault="0006687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5B80" w14:textId="27C8371C" w:rsidR="00066870" w:rsidRDefault="00066870">
    <w:pPr>
      <w:pStyle w:val="Header"/>
    </w:pPr>
    <w:r>
      <w:rPr>
        <w:noProof/>
      </w:rPr>
      <mc:AlternateContent>
        <mc:Choice Requires="wps">
          <w:drawing>
            <wp:anchor distT="0" distB="0" distL="0" distR="0" simplePos="0" relativeHeight="251658240" behindDoc="0" locked="0" layoutInCell="1" allowOverlap="1" wp14:anchorId="46F70776" wp14:editId="2D991A1B">
              <wp:simplePos x="635" y="635"/>
              <wp:positionH relativeFrom="page">
                <wp:align>right</wp:align>
              </wp:positionH>
              <wp:positionV relativeFrom="page">
                <wp:align>top</wp:align>
              </wp:positionV>
              <wp:extent cx="527050" cy="391160"/>
              <wp:effectExtent l="0" t="0" r="0" b="8890"/>
              <wp:wrapNone/>
              <wp:docPr id="942918043"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7050" cy="391160"/>
                      </a:xfrm>
                      <a:prstGeom prst="rect">
                        <a:avLst/>
                      </a:prstGeom>
                      <a:noFill/>
                      <a:ln>
                        <a:noFill/>
                      </a:ln>
                    </wps:spPr>
                    <wps:txbx>
                      <w:txbxContent>
                        <w:p w14:paraId="35BD97E0" w14:textId="4578495C" w:rsidR="00066870" w:rsidRPr="00066870" w:rsidRDefault="00066870" w:rsidP="00066870">
                          <w:pPr>
                            <w:spacing w:after="0"/>
                            <w:rPr>
                              <w:rFonts w:ascii="Calibri" w:eastAsia="Calibri" w:hAnsi="Calibri" w:cs="Calibri"/>
                              <w:noProof/>
                              <w:color w:val="000000"/>
                              <w:sz w:val="24"/>
                              <w:szCs w:val="24"/>
                            </w:rPr>
                          </w:pPr>
                          <w:r w:rsidRPr="00066870">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F70776" id="_x0000_t202" coordsize="21600,21600" o:spt="202" path="m,l,21600r21600,l21600,xe">
              <v:stroke joinstyle="miter"/>
              <v:path gradientshapeok="t" o:connecttype="rect"/>
            </v:shapetype>
            <v:shape id="Text Box 1" o:spid="_x0000_s1028" type="#_x0000_t202" alt="SP-2" style="position:absolute;margin-left:-9.7pt;margin-top:0;width:41.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bEzQEwIAACEEAAAOAAAAZHJzL2Uyb0RvYy54bWysU01v2zAMvQ/YfxB0X2xnTbcacYqsRYYB RVsgHXpWZCk2IIuCxMTOfv0oJU62bqdhF5kiaX689zS/HTrD9sqHFmzFi0nOmbIS6tZuK/79ZfXh M2cBha2FAasqflCB3y7ev5v3rlRTaMDUyjMqYkPZu4o3iK7MsiAb1YkwAacsBTX4TiBd/Tarveip emeyaZ5fZz342nmQKgTy3h+DfJHqa60kPmkdFDJTcZoN0+nTuYlntpiLcuuFa1p5GkP8wxSdaC01 PZe6FyjYzrd/lOpa6SGAxomELgOtW6nSDrRNkb/ZZt0Ip9IuBE5wZ5jC/ysrH/dr9+wZDl9gIAIj IL0LZSBn3GfQvotfmpRRnCA8nGFTAzJJztn0Uz6jiKTQx5uiuE6wZpefnQ/4VUHHolFxT6wksMT+ ISA1pNQxJfaysGqNScwY+5uDEqMnu0wYLRw2A2vril+N02+gPtBSHo58BydXLbV+EAGfhSeCaVoS LT7RoQ30FYeTxVkD/sff/DGfcKcoZz0JpuKWFM2Z+WaJj6itZBQ3hAXdfLpNZ1d5vG3GJLvr7oC0 WNCzcDKZMRnNaGoP3Stpehm7UUhYST0rjqN5h0f50puQarlMSaQlJ/DBrp2MpSNmEdCX4VV4d0Id ia5HGCUlyjfgH3Pjn8Etd0gUJGYivkc0T7CTDhNhpzcThf7rPWVdXvbiJwAAAP//AwBQSwMEFAAG AAgAAAAhACndtwHbAAAAAwEAAA8AAABkcnMvZG93bnJldi54bWxMj0FLw0AQhe+C/2EZwYvYTS2E GLMpIhTswYOtOXjbZKdJMDsbdrdp8u8dvejlweMN731TbGc7iAl96B0pWK8SEEiNMz21Cj6Ou/sM RIiajB4coYIFA2zL66tC58Zd6B2nQ2wFl1DItYIuxjGXMjQdWh1WbkTi7OS81ZGtb6Xx+sLldpAP SZJKq3vihU6P+NJh83U4WwXV7O/edo/716X+7Kcl2Veb7FQpdXszPz+BiDjHv2P4wWd0KJmpdmcy QQwK+JH4q5xlG3a1gnSdgiwL+Z+9/AYAAP//AwBQSwECLQAUAAYACAAAACEAtoM4kv4AAADhAQAA EwAAAAAAAAAAAAAAAAAAAAAAW0NvbnRlbnRfVHlwZXNdLnhtbFBLAQItABQABgAIAAAAIQA4/SH/ 1gAAAJQBAAALAAAAAAAAAAAAAAAAAC8BAABfcmVscy8ucmVsc1BLAQItABQABgAIAAAAIQD8bEzQ EwIAACEEAAAOAAAAAAAAAAAAAAAAAC4CAABkcnMvZTJvRG9jLnhtbFBLAQItABQABgAIAAAAIQAp 3bcB2wAAAAMBAAAPAAAAAAAAAAAAAAAAAG0EAABkcnMvZG93bnJldi54bWxQSwUGAAAAAAQABADz AAAAdQUAAAAA " filled="f" stroked="f">
              <v:textbox style="mso-fit-shape-to-text:t" inset="0,15pt,20pt,0">
                <w:txbxContent>
                  <w:p w14:paraId="35BD97E0" w14:textId="4578495C" w:rsidR="00066870" w:rsidRPr="00066870" w:rsidRDefault="00066870" w:rsidP="00066870">
                    <w:pPr>
                      <w:spacing w:after="0"/>
                      <w:rPr>
                        <w:rFonts w:ascii="Calibri" w:eastAsia="Calibri" w:hAnsi="Calibri" w:cs="Calibri"/>
                        <w:noProof/>
                        <w:color w:val="000000"/>
                        <w:sz w:val="24"/>
                        <w:szCs w:val="24"/>
                      </w:rPr>
                    </w:pPr>
                    <w:r w:rsidRPr="00066870">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5591"/>
    <w:multiLevelType w:val="multilevel"/>
    <w:tmpl w:val="FC46A376"/>
    <w:lvl w:ilvl="0">
      <w:start w:val="1"/>
      <w:numFmt w:val="decimal"/>
      <w:suff w:val="space"/>
      <w:lvlText w:val="%1."/>
      <w:lvlJc w:val="left"/>
      <w:pPr>
        <w:ind w:left="786" w:hanging="360"/>
      </w:pPr>
      <w:rPr>
        <w:rFonts w:hint="default"/>
        <w:b/>
      </w:rPr>
    </w:lvl>
    <w:lvl w:ilvl="1">
      <w:start w:val="1"/>
      <w:numFmt w:val="decimal"/>
      <w:isLgl/>
      <w:suff w:val="space"/>
      <w:lvlText w:val="%1.%2."/>
      <w:lvlJc w:val="left"/>
      <w:pPr>
        <w:ind w:left="927" w:hanging="36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B8170B"/>
    <w:multiLevelType w:val="multilevel"/>
    <w:tmpl w:val="FAD4517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278" w:firstLine="567"/>
      </w:pPr>
      <w:rPr>
        <w:rFonts w:hint="default"/>
        <w:b/>
        <w:bCs/>
        <w:sz w:val="24"/>
        <w:szCs w:val="24"/>
      </w:rPr>
    </w:lvl>
    <w:lvl w:ilvl="2">
      <w:start w:val="1"/>
      <w:numFmt w:val="decimal"/>
      <w:suff w:val="space"/>
      <w:lvlText w:val="%1.%2.%3."/>
      <w:lvlJc w:val="left"/>
      <w:pPr>
        <w:ind w:left="556" w:firstLine="567"/>
      </w:pPr>
      <w:rPr>
        <w:rFonts w:hint="default"/>
        <w:b/>
        <w:bCs/>
      </w:rPr>
    </w:lvl>
    <w:lvl w:ilvl="3">
      <w:start w:val="1"/>
      <w:numFmt w:val="decimal"/>
      <w:lvlText w:val="%1.%2.%3.%4."/>
      <w:lvlJc w:val="left"/>
      <w:pPr>
        <w:ind w:left="834" w:firstLine="567"/>
      </w:pPr>
      <w:rPr>
        <w:rFonts w:hint="default"/>
        <w:b/>
        <w:bCs/>
      </w:rPr>
    </w:lvl>
    <w:lvl w:ilvl="4">
      <w:start w:val="1"/>
      <w:numFmt w:val="decimal"/>
      <w:lvlText w:val="%1.%2.%3.%4.%5."/>
      <w:lvlJc w:val="left"/>
      <w:pPr>
        <w:ind w:left="1112" w:firstLine="567"/>
      </w:pPr>
      <w:rPr>
        <w:rFonts w:hint="default"/>
      </w:rPr>
    </w:lvl>
    <w:lvl w:ilvl="5">
      <w:start w:val="1"/>
      <w:numFmt w:val="decimal"/>
      <w:lvlText w:val="%1.%2.%3.%4.%5.%6."/>
      <w:lvlJc w:val="left"/>
      <w:pPr>
        <w:ind w:left="1390" w:firstLine="567"/>
      </w:pPr>
      <w:rPr>
        <w:rFonts w:hint="default"/>
      </w:rPr>
    </w:lvl>
    <w:lvl w:ilvl="6">
      <w:start w:val="1"/>
      <w:numFmt w:val="decimal"/>
      <w:lvlText w:val="%1.%2.%3.%4.%5.%6.%7."/>
      <w:lvlJc w:val="left"/>
      <w:pPr>
        <w:ind w:left="1668" w:firstLine="567"/>
      </w:pPr>
      <w:rPr>
        <w:rFonts w:hint="default"/>
      </w:rPr>
    </w:lvl>
    <w:lvl w:ilvl="7">
      <w:start w:val="1"/>
      <w:numFmt w:val="decimal"/>
      <w:lvlText w:val="%1.%2.%3.%4.%5.%6.%7.%8."/>
      <w:lvlJc w:val="left"/>
      <w:pPr>
        <w:ind w:left="1946" w:firstLine="567"/>
      </w:pPr>
      <w:rPr>
        <w:rFonts w:hint="default"/>
      </w:rPr>
    </w:lvl>
    <w:lvl w:ilvl="8">
      <w:start w:val="1"/>
      <w:numFmt w:val="decimal"/>
      <w:lvlText w:val="%1.%2.%3.%4.%5.%6.%7.%8.%9."/>
      <w:lvlJc w:val="left"/>
      <w:pPr>
        <w:ind w:left="2224" w:firstLine="567"/>
      </w:pPr>
      <w:rPr>
        <w:rFonts w:hint="default"/>
      </w:rPr>
    </w:lvl>
  </w:abstractNum>
  <w:abstractNum w:abstractNumId="2" w15:restartNumberingAfterBreak="0">
    <w:nsid w:val="35BF1BB3"/>
    <w:multiLevelType w:val="hybridMultilevel"/>
    <w:tmpl w:val="CC765880"/>
    <w:lvl w:ilvl="0" w:tplc="98AC9AFE">
      <w:start w:val="1"/>
      <w:numFmt w:val="decimal"/>
      <w:lvlText w:val="%1."/>
      <w:lvlJc w:val="left"/>
      <w:pPr>
        <w:ind w:left="1060" w:hanging="360"/>
      </w:pPr>
    </w:lvl>
    <w:lvl w:ilvl="1" w:tplc="A254E0BE">
      <w:start w:val="1"/>
      <w:numFmt w:val="decimal"/>
      <w:lvlText w:val="%2."/>
      <w:lvlJc w:val="left"/>
      <w:pPr>
        <w:ind w:left="1060" w:hanging="360"/>
      </w:pPr>
    </w:lvl>
    <w:lvl w:ilvl="2" w:tplc="7736AE66">
      <w:start w:val="1"/>
      <w:numFmt w:val="decimal"/>
      <w:lvlText w:val="%3."/>
      <w:lvlJc w:val="left"/>
      <w:pPr>
        <w:ind w:left="1060" w:hanging="360"/>
      </w:pPr>
    </w:lvl>
    <w:lvl w:ilvl="3" w:tplc="08004648">
      <w:start w:val="1"/>
      <w:numFmt w:val="decimal"/>
      <w:lvlText w:val="%4."/>
      <w:lvlJc w:val="left"/>
      <w:pPr>
        <w:ind w:left="1060" w:hanging="360"/>
      </w:pPr>
    </w:lvl>
    <w:lvl w:ilvl="4" w:tplc="C4EABDD0">
      <w:start w:val="1"/>
      <w:numFmt w:val="decimal"/>
      <w:lvlText w:val="%5."/>
      <w:lvlJc w:val="left"/>
      <w:pPr>
        <w:ind w:left="1060" w:hanging="360"/>
      </w:pPr>
    </w:lvl>
    <w:lvl w:ilvl="5" w:tplc="572A7046">
      <w:start w:val="1"/>
      <w:numFmt w:val="decimal"/>
      <w:lvlText w:val="%6."/>
      <w:lvlJc w:val="left"/>
      <w:pPr>
        <w:ind w:left="1060" w:hanging="360"/>
      </w:pPr>
    </w:lvl>
    <w:lvl w:ilvl="6" w:tplc="BC0EF7AE">
      <w:start w:val="1"/>
      <w:numFmt w:val="decimal"/>
      <w:lvlText w:val="%7."/>
      <w:lvlJc w:val="left"/>
      <w:pPr>
        <w:ind w:left="1060" w:hanging="360"/>
      </w:pPr>
    </w:lvl>
    <w:lvl w:ilvl="7" w:tplc="700882F4">
      <w:start w:val="1"/>
      <w:numFmt w:val="decimal"/>
      <w:lvlText w:val="%8."/>
      <w:lvlJc w:val="left"/>
      <w:pPr>
        <w:ind w:left="1060" w:hanging="360"/>
      </w:pPr>
    </w:lvl>
    <w:lvl w:ilvl="8" w:tplc="53AE988E">
      <w:start w:val="1"/>
      <w:numFmt w:val="decimal"/>
      <w:lvlText w:val="%9."/>
      <w:lvlJc w:val="left"/>
      <w:pPr>
        <w:ind w:left="1060" w:hanging="360"/>
      </w:pPr>
    </w:lvl>
  </w:abstractNum>
  <w:abstractNum w:abstractNumId="3" w15:restartNumberingAfterBreak="0">
    <w:nsid w:val="3DEE19E3"/>
    <w:multiLevelType w:val="multilevel"/>
    <w:tmpl w:val="FAD4517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bCs/>
        <w:sz w:val="24"/>
        <w:szCs w:val="24"/>
      </w:rPr>
    </w:lvl>
    <w:lvl w:ilvl="2">
      <w:start w:val="1"/>
      <w:numFmt w:val="decimal"/>
      <w:suff w:val="space"/>
      <w:lvlText w:val="%1.%2.%3."/>
      <w:lvlJc w:val="left"/>
      <w:pPr>
        <w:ind w:left="556" w:firstLine="567"/>
      </w:pPr>
      <w:rPr>
        <w:rFonts w:hint="default"/>
        <w:b/>
        <w:bCs/>
      </w:rPr>
    </w:lvl>
    <w:lvl w:ilvl="3">
      <w:start w:val="1"/>
      <w:numFmt w:val="decimal"/>
      <w:lvlText w:val="%1.%2.%3.%4."/>
      <w:lvlJc w:val="left"/>
      <w:pPr>
        <w:ind w:left="834" w:firstLine="567"/>
      </w:pPr>
      <w:rPr>
        <w:rFonts w:hint="default"/>
        <w:b/>
        <w:bCs/>
      </w:rPr>
    </w:lvl>
    <w:lvl w:ilvl="4">
      <w:start w:val="1"/>
      <w:numFmt w:val="decimal"/>
      <w:lvlText w:val="%1.%2.%3.%4.%5."/>
      <w:lvlJc w:val="left"/>
      <w:pPr>
        <w:ind w:left="1112" w:firstLine="567"/>
      </w:pPr>
      <w:rPr>
        <w:rFonts w:hint="default"/>
      </w:rPr>
    </w:lvl>
    <w:lvl w:ilvl="5">
      <w:start w:val="1"/>
      <w:numFmt w:val="decimal"/>
      <w:lvlText w:val="%1.%2.%3.%4.%5.%6."/>
      <w:lvlJc w:val="left"/>
      <w:pPr>
        <w:ind w:left="1390" w:firstLine="567"/>
      </w:pPr>
      <w:rPr>
        <w:rFonts w:hint="default"/>
      </w:rPr>
    </w:lvl>
    <w:lvl w:ilvl="6">
      <w:start w:val="1"/>
      <w:numFmt w:val="decimal"/>
      <w:lvlText w:val="%1.%2.%3.%4.%5.%6.%7."/>
      <w:lvlJc w:val="left"/>
      <w:pPr>
        <w:ind w:left="1668" w:firstLine="567"/>
      </w:pPr>
      <w:rPr>
        <w:rFonts w:hint="default"/>
      </w:rPr>
    </w:lvl>
    <w:lvl w:ilvl="7">
      <w:start w:val="1"/>
      <w:numFmt w:val="decimal"/>
      <w:lvlText w:val="%1.%2.%3.%4.%5.%6.%7.%8."/>
      <w:lvlJc w:val="left"/>
      <w:pPr>
        <w:ind w:left="1946" w:firstLine="567"/>
      </w:pPr>
      <w:rPr>
        <w:rFonts w:hint="default"/>
      </w:rPr>
    </w:lvl>
    <w:lvl w:ilvl="8">
      <w:start w:val="1"/>
      <w:numFmt w:val="decimal"/>
      <w:lvlText w:val="%1.%2.%3.%4.%5.%6.%7.%8.%9."/>
      <w:lvlJc w:val="left"/>
      <w:pPr>
        <w:ind w:left="2224" w:firstLine="567"/>
      </w:pPr>
      <w:rPr>
        <w:rFonts w:hint="default"/>
      </w:rPr>
    </w:lvl>
  </w:abstractNum>
  <w:abstractNum w:abstractNumId="4" w15:restartNumberingAfterBreak="0">
    <w:nsid w:val="69B876D7"/>
    <w:multiLevelType w:val="hybridMultilevel"/>
    <w:tmpl w:val="C69A97C6"/>
    <w:lvl w:ilvl="0" w:tplc="087496EA">
      <w:start w:val="1"/>
      <w:numFmt w:val="upperLetter"/>
      <w:lvlText w:val="%1."/>
      <w:lvlJc w:val="left"/>
      <w:pPr>
        <w:ind w:left="1080" w:hanging="360"/>
      </w:pPr>
    </w:lvl>
    <w:lvl w:ilvl="1" w:tplc="0F72FFE2">
      <w:start w:val="1"/>
      <w:numFmt w:val="upperLetter"/>
      <w:lvlText w:val="%2."/>
      <w:lvlJc w:val="left"/>
      <w:pPr>
        <w:ind w:left="1080" w:hanging="360"/>
      </w:pPr>
    </w:lvl>
    <w:lvl w:ilvl="2" w:tplc="37761F3E">
      <w:start w:val="1"/>
      <w:numFmt w:val="upperLetter"/>
      <w:lvlText w:val="%3."/>
      <w:lvlJc w:val="left"/>
      <w:pPr>
        <w:ind w:left="1080" w:hanging="360"/>
      </w:pPr>
    </w:lvl>
    <w:lvl w:ilvl="3" w:tplc="F57AFE66">
      <w:start w:val="1"/>
      <w:numFmt w:val="upperLetter"/>
      <w:lvlText w:val="%4."/>
      <w:lvlJc w:val="left"/>
      <w:pPr>
        <w:ind w:left="1080" w:hanging="360"/>
      </w:pPr>
    </w:lvl>
    <w:lvl w:ilvl="4" w:tplc="4FA6FAF2">
      <w:start w:val="1"/>
      <w:numFmt w:val="upperLetter"/>
      <w:lvlText w:val="%5."/>
      <w:lvlJc w:val="left"/>
      <w:pPr>
        <w:ind w:left="1080" w:hanging="360"/>
      </w:pPr>
    </w:lvl>
    <w:lvl w:ilvl="5" w:tplc="9B022258">
      <w:start w:val="1"/>
      <w:numFmt w:val="upperLetter"/>
      <w:lvlText w:val="%6."/>
      <w:lvlJc w:val="left"/>
      <w:pPr>
        <w:ind w:left="1080" w:hanging="360"/>
      </w:pPr>
    </w:lvl>
    <w:lvl w:ilvl="6" w:tplc="F1005532">
      <w:start w:val="1"/>
      <w:numFmt w:val="upperLetter"/>
      <w:lvlText w:val="%7."/>
      <w:lvlJc w:val="left"/>
      <w:pPr>
        <w:ind w:left="1080" w:hanging="360"/>
      </w:pPr>
    </w:lvl>
    <w:lvl w:ilvl="7" w:tplc="BEE6F21C">
      <w:start w:val="1"/>
      <w:numFmt w:val="upperLetter"/>
      <w:lvlText w:val="%8."/>
      <w:lvlJc w:val="left"/>
      <w:pPr>
        <w:ind w:left="1080" w:hanging="360"/>
      </w:pPr>
    </w:lvl>
    <w:lvl w:ilvl="8" w:tplc="A8DEF0B2">
      <w:start w:val="1"/>
      <w:numFmt w:val="upperLetter"/>
      <w:lvlText w:val="%9."/>
      <w:lvlJc w:val="left"/>
      <w:pPr>
        <w:ind w:left="1080" w:hanging="360"/>
      </w:pPr>
    </w:lvl>
  </w:abstractNum>
  <w:num w:numId="1" w16cid:durableId="1625497686">
    <w:abstractNumId w:val="0"/>
  </w:num>
  <w:num w:numId="2" w16cid:durableId="1267612657">
    <w:abstractNumId w:val="3"/>
  </w:num>
  <w:num w:numId="3" w16cid:durableId="1717123746">
    <w:abstractNumId w:val="1"/>
  </w:num>
  <w:num w:numId="4" w16cid:durableId="127168644">
    <w:abstractNumId w:val="2"/>
  </w:num>
  <w:num w:numId="5" w16cid:durableId="125639824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CF"/>
    <w:rsid w:val="000000AB"/>
    <w:rsid w:val="000006DE"/>
    <w:rsid w:val="0000071E"/>
    <w:rsid w:val="00000A8C"/>
    <w:rsid w:val="00001650"/>
    <w:rsid w:val="00002812"/>
    <w:rsid w:val="000028F9"/>
    <w:rsid w:val="00002BDF"/>
    <w:rsid w:val="00002D18"/>
    <w:rsid w:val="00005F58"/>
    <w:rsid w:val="000070B1"/>
    <w:rsid w:val="00007D61"/>
    <w:rsid w:val="00010BBE"/>
    <w:rsid w:val="000115A7"/>
    <w:rsid w:val="00012457"/>
    <w:rsid w:val="000139A4"/>
    <w:rsid w:val="00014E69"/>
    <w:rsid w:val="000156A8"/>
    <w:rsid w:val="000164AC"/>
    <w:rsid w:val="000166B5"/>
    <w:rsid w:val="00016BBB"/>
    <w:rsid w:val="00016C7E"/>
    <w:rsid w:val="0001735D"/>
    <w:rsid w:val="000175DB"/>
    <w:rsid w:val="00017BEF"/>
    <w:rsid w:val="00017D87"/>
    <w:rsid w:val="00022915"/>
    <w:rsid w:val="00023500"/>
    <w:rsid w:val="00023CF3"/>
    <w:rsid w:val="00023E83"/>
    <w:rsid w:val="00024C7E"/>
    <w:rsid w:val="0002589C"/>
    <w:rsid w:val="00027430"/>
    <w:rsid w:val="000277FD"/>
    <w:rsid w:val="0002799A"/>
    <w:rsid w:val="0003070C"/>
    <w:rsid w:val="00031728"/>
    <w:rsid w:val="00031BAB"/>
    <w:rsid w:val="000328C6"/>
    <w:rsid w:val="00032CBF"/>
    <w:rsid w:val="00032D92"/>
    <w:rsid w:val="000337CC"/>
    <w:rsid w:val="00033E42"/>
    <w:rsid w:val="00034CDF"/>
    <w:rsid w:val="000351C4"/>
    <w:rsid w:val="00035852"/>
    <w:rsid w:val="00035E5F"/>
    <w:rsid w:val="00036C77"/>
    <w:rsid w:val="00036E25"/>
    <w:rsid w:val="00037203"/>
    <w:rsid w:val="0003725B"/>
    <w:rsid w:val="00037338"/>
    <w:rsid w:val="000377B1"/>
    <w:rsid w:val="00040342"/>
    <w:rsid w:val="00040B9F"/>
    <w:rsid w:val="00040EA1"/>
    <w:rsid w:val="00042E2B"/>
    <w:rsid w:val="00042FD5"/>
    <w:rsid w:val="000435EE"/>
    <w:rsid w:val="00043FCA"/>
    <w:rsid w:val="00044202"/>
    <w:rsid w:val="0004458F"/>
    <w:rsid w:val="00044A9B"/>
    <w:rsid w:val="0004729C"/>
    <w:rsid w:val="0005087B"/>
    <w:rsid w:val="00051F96"/>
    <w:rsid w:val="00054400"/>
    <w:rsid w:val="00055073"/>
    <w:rsid w:val="00055179"/>
    <w:rsid w:val="00056164"/>
    <w:rsid w:val="00056334"/>
    <w:rsid w:val="00056EE2"/>
    <w:rsid w:val="000578A7"/>
    <w:rsid w:val="000640F0"/>
    <w:rsid w:val="00064BFD"/>
    <w:rsid w:val="0006641A"/>
    <w:rsid w:val="00066870"/>
    <w:rsid w:val="000668BB"/>
    <w:rsid w:val="000672B9"/>
    <w:rsid w:val="000674F0"/>
    <w:rsid w:val="0007215A"/>
    <w:rsid w:val="00072259"/>
    <w:rsid w:val="00072E7B"/>
    <w:rsid w:val="000747FB"/>
    <w:rsid w:val="00074C52"/>
    <w:rsid w:val="000755B2"/>
    <w:rsid w:val="0007573D"/>
    <w:rsid w:val="00075C9A"/>
    <w:rsid w:val="000762B9"/>
    <w:rsid w:val="00076464"/>
    <w:rsid w:val="0007647D"/>
    <w:rsid w:val="000776A3"/>
    <w:rsid w:val="000777B4"/>
    <w:rsid w:val="00080B35"/>
    <w:rsid w:val="0008161D"/>
    <w:rsid w:val="000818CC"/>
    <w:rsid w:val="000819D3"/>
    <w:rsid w:val="0008218C"/>
    <w:rsid w:val="0008354B"/>
    <w:rsid w:val="0008577F"/>
    <w:rsid w:val="00085BDF"/>
    <w:rsid w:val="000865CC"/>
    <w:rsid w:val="00090E9A"/>
    <w:rsid w:val="000914F0"/>
    <w:rsid w:val="000920CD"/>
    <w:rsid w:val="00093132"/>
    <w:rsid w:val="00094592"/>
    <w:rsid w:val="0009521F"/>
    <w:rsid w:val="00095312"/>
    <w:rsid w:val="00095CBD"/>
    <w:rsid w:val="000960BA"/>
    <w:rsid w:val="0009741F"/>
    <w:rsid w:val="00097927"/>
    <w:rsid w:val="000A2CA6"/>
    <w:rsid w:val="000A3670"/>
    <w:rsid w:val="000A4CD6"/>
    <w:rsid w:val="000A4DE8"/>
    <w:rsid w:val="000A533E"/>
    <w:rsid w:val="000A5A50"/>
    <w:rsid w:val="000A5B1A"/>
    <w:rsid w:val="000A6719"/>
    <w:rsid w:val="000A7790"/>
    <w:rsid w:val="000B0A68"/>
    <w:rsid w:val="000B2866"/>
    <w:rsid w:val="000B3449"/>
    <w:rsid w:val="000B4275"/>
    <w:rsid w:val="000B4F06"/>
    <w:rsid w:val="000B5573"/>
    <w:rsid w:val="000B5574"/>
    <w:rsid w:val="000B64E8"/>
    <w:rsid w:val="000B73CE"/>
    <w:rsid w:val="000C0D7C"/>
    <w:rsid w:val="000C0FC5"/>
    <w:rsid w:val="000C1279"/>
    <w:rsid w:val="000C1362"/>
    <w:rsid w:val="000C20B5"/>
    <w:rsid w:val="000C2973"/>
    <w:rsid w:val="000C3259"/>
    <w:rsid w:val="000C44F1"/>
    <w:rsid w:val="000C5598"/>
    <w:rsid w:val="000C6CA6"/>
    <w:rsid w:val="000C74AD"/>
    <w:rsid w:val="000D087D"/>
    <w:rsid w:val="000D1253"/>
    <w:rsid w:val="000D2336"/>
    <w:rsid w:val="000D3759"/>
    <w:rsid w:val="000D3B66"/>
    <w:rsid w:val="000D3E43"/>
    <w:rsid w:val="000D4960"/>
    <w:rsid w:val="000D50A7"/>
    <w:rsid w:val="000D5576"/>
    <w:rsid w:val="000D58B6"/>
    <w:rsid w:val="000D6C42"/>
    <w:rsid w:val="000D7505"/>
    <w:rsid w:val="000D7D27"/>
    <w:rsid w:val="000E0064"/>
    <w:rsid w:val="000E1826"/>
    <w:rsid w:val="000E1830"/>
    <w:rsid w:val="000E19C8"/>
    <w:rsid w:val="000E1B37"/>
    <w:rsid w:val="000E3F03"/>
    <w:rsid w:val="000E5103"/>
    <w:rsid w:val="000E6163"/>
    <w:rsid w:val="000E6AA3"/>
    <w:rsid w:val="000E72FA"/>
    <w:rsid w:val="000F0488"/>
    <w:rsid w:val="000F0B6A"/>
    <w:rsid w:val="000F1725"/>
    <w:rsid w:val="000F22FA"/>
    <w:rsid w:val="000F323D"/>
    <w:rsid w:val="000F3DD1"/>
    <w:rsid w:val="000F3E75"/>
    <w:rsid w:val="000F41CC"/>
    <w:rsid w:val="000F4994"/>
    <w:rsid w:val="000F4FAC"/>
    <w:rsid w:val="000F520B"/>
    <w:rsid w:val="000F556E"/>
    <w:rsid w:val="000F568E"/>
    <w:rsid w:val="000F62BD"/>
    <w:rsid w:val="000F6DC0"/>
    <w:rsid w:val="000F76FF"/>
    <w:rsid w:val="000F7844"/>
    <w:rsid w:val="00101229"/>
    <w:rsid w:val="001034EE"/>
    <w:rsid w:val="0010462D"/>
    <w:rsid w:val="00104E3D"/>
    <w:rsid w:val="00105172"/>
    <w:rsid w:val="0010524E"/>
    <w:rsid w:val="001054B4"/>
    <w:rsid w:val="00105823"/>
    <w:rsid w:val="00106F45"/>
    <w:rsid w:val="00107C02"/>
    <w:rsid w:val="00107CE8"/>
    <w:rsid w:val="001101E9"/>
    <w:rsid w:val="00110A06"/>
    <w:rsid w:val="00110D19"/>
    <w:rsid w:val="001116C6"/>
    <w:rsid w:val="00111D10"/>
    <w:rsid w:val="001125FC"/>
    <w:rsid w:val="001127B5"/>
    <w:rsid w:val="00114D29"/>
    <w:rsid w:val="001156EA"/>
    <w:rsid w:val="001171E5"/>
    <w:rsid w:val="00117504"/>
    <w:rsid w:val="0012003D"/>
    <w:rsid w:val="001229FB"/>
    <w:rsid w:val="00122BF9"/>
    <w:rsid w:val="00122DD6"/>
    <w:rsid w:val="0012397F"/>
    <w:rsid w:val="00124492"/>
    <w:rsid w:val="00124592"/>
    <w:rsid w:val="00125DDF"/>
    <w:rsid w:val="00126170"/>
    <w:rsid w:val="00126386"/>
    <w:rsid w:val="00126826"/>
    <w:rsid w:val="00126C10"/>
    <w:rsid w:val="00130518"/>
    <w:rsid w:val="001306B3"/>
    <w:rsid w:val="00134819"/>
    <w:rsid w:val="00136CEA"/>
    <w:rsid w:val="0013733F"/>
    <w:rsid w:val="00137EEC"/>
    <w:rsid w:val="00140311"/>
    <w:rsid w:val="00140E55"/>
    <w:rsid w:val="001423F6"/>
    <w:rsid w:val="00142858"/>
    <w:rsid w:val="0014293B"/>
    <w:rsid w:val="00142BCF"/>
    <w:rsid w:val="00143006"/>
    <w:rsid w:val="001432BF"/>
    <w:rsid w:val="00144E7F"/>
    <w:rsid w:val="00145585"/>
    <w:rsid w:val="001459A7"/>
    <w:rsid w:val="00147572"/>
    <w:rsid w:val="00150621"/>
    <w:rsid w:val="00150661"/>
    <w:rsid w:val="00150A22"/>
    <w:rsid w:val="0015122E"/>
    <w:rsid w:val="0015125A"/>
    <w:rsid w:val="001512CD"/>
    <w:rsid w:val="00151A4E"/>
    <w:rsid w:val="0015257C"/>
    <w:rsid w:val="00152731"/>
    <w:rsid w:val="0015523D"/>
    <w:rsid w:val="001552A9"/>
    <w:rsid w:val="00155CAC"/>
    <w:rsid w:val="0015646F"/>
    <w:rsid w:val="001579DE"/>
    <w:rsid w:val="00157D78"/>
    <w:rsid w:val="001604E8"/>
    <w:rsid w:val="00160853"/>
    <w:rsid w:val="001609F2"/>
    <w:rsid w:val="001611C9"/>
    <w:rsid w:val="00161E0C"/>
    <w:rsid w:val="00164E8E"/>
    <w:rsid w:val="00165EC6"/>
    <w:rsid w:val="00165F4D"/>
    <w:rsid w:val="0016651D"/>
    <w:rsid w:val="001670BA"/>
    <w:rsid w:val="0017044D"/>
    <w:rsid w:val="00171953"/>
    <w:rsid w:val="00172146"/>
    <w:rsid w:val="00172B4D"/>
    <w:rsid w:val="00172F53"/>
    <w:rsid w:val="00173560"/>
    <w:rsid w:val="00173A57"/>
    <w:rsid w:val="001744A9"/>
    <w:rsid w:val="00175685"/>
    <w:rsid w:val="00175961"/>
    <w:rsid w:val="00175B0A"/>
    <w:rsid w:val="00175B5D"/>
    <w:rsid w:val="001777BD"/>
    <w:rsid w:val="00177AE3"/>
    <w:rsid w:val="00177E6A"/>
    <w:rsid w:val="001827B6"/>
    <w:rsid w:val="001829E2"/>
    <w:rsid w:val="0018304F"/>
    <w:rsid w:val="0018349B"/>
    <w:rsid w:val="00183E57"/>
    <w:rsid w:val="00184D3E"/>
    <w:rsid w:val="00184EF9"/>
    <w:rsid w:val="00185414"/>
    <w:rsid w:val="00185D05"/>
    <w:rsid w:val="001868DD"/>
    <w:rsid w:val="00187A71"/>
    <w:rsid w:val="001927FD"/>
    <w:rsid w:val="001935B0"/>
    <w:rsid w:val="00193C52"/>
    <w:rsid w:val="001942F2"/>
    <w:rsid w:val="00194B2E"/>
    <w:rsid w:val="00194B63"/>
    <w:rsid w:val="0019560D"/>
    <w:rsid w:val="00196F7F"/>
    <w:rsid w:val="00197241"/>
    <w:rsid w:val="00197BBA"/>
    <w:rsid w:val="001A08AB"/>
    <w:rsid w:val="001A1AB5"/>
    <w:rsid w:val="001A248A"/>
    <w:rsid w:val="001A2AEA"/>
    <w:rsid w:val="001A2FA5"/>
    <w:rsid w:val="001A3358"/>
    <w:rsid w:val="001A34F6"/>
    <w:rsid w:val="001A4F1E"/>
    <w:rsid w:val="001A5821"/>
    <w:rsid w:val="001A694E"/>
    <w:rsid w:val="001A7117"/>
    <w:rsid w:val="001B1956"/>
    <w:rsid w:val="001B221E"/>
    <w:rsid w:val="001B22BA"/>
    <w:rsid w:val="001B246D"/>
    <w:rsid w:val="001B24EA"/>
    <w:rsid w:val="001B357A"/>
    <w:rsid w:val="001B3CFF"/>
    <w:rsid w:val="001B44F2"/>
    <w:rsid w:val="001B4733"/>
    <w:rsid w:val="001B5E51"/>
    <w:rsid w:val="001B6174"/>
    <w:rsid w:val="001B66B0"/>
    <w:rsid w:val="001B7091"/>
    <w:rsid w:val="001B7331"/>
    <w:rsid w:val="001B7D57"/>
    <w:rsid w:val="001C0664"/>
    <w:rsid w:val="001C0755"/>
    <w:rsid w:val="001C123B"/>
    <w:rsid w:val="001C14A9"/>
    <w:rsid w:val="001C1C69"/>
    <w:rsid w:val="001C1D39"/>
    <w:rsid w:val="001C20D8"/>
    <w:rsid w:val="001C2343"/>
    <w:rsid w:val="001C25D3"/>
    <w:rsid w:val="001C2CEA"/>
    <w:rsid w:val="001C3084"/>
    <w:rsid w:val="001C547C"/>
    <w:rsid w:val="001C59DC"/>
    <w:rsid w:val="001C5D5A"/>
    <w:rsid w:val="001C612F"/>
    <w:rsid w:val="001C6197"/>
    <w:rsid w:val="001C6407"/>
    <w:rsid w:val="001C6996"/>
    <w:rsid w:val="001C6DC5"/>
    <w:rsid w:val="001C7619"/>
    <w:rsid w:val="001C78BB"/>
    <w:rsid w:val="001C78EE"/>
    <w:rsid w:val="001C7DDC"/>
    <w:rsid w:val="001D0604"/>
    <w:rsid w:val="001D15BB"/>
    <w:rsid w:val="001D58C4"/>
    <w:rsid w:val="001D74B3"/>
    <w:rsid w:val="001D77EA"/>
    <w:rsid w:val="001D7846"/>
    <w:rsid w:val="001D7E96"/>
    <w:rsid w:val="001E054F"/>
    <w:rsid w:val="001E0B78"/>
    <w:rsid w:val="001E0CD3"/>
    <w:rsid w:val="001E1614"/>
    <w:rsid w:val="001E390B"/>
    <w:rsid w:val="001E3D42"/>
    <w:rsid w:val="001E401A"/>
    <w:rsid w:val="001E5C52"/>
    <w:rsid w:val="001E7082"/>
    <w:rsid w:val="001E7ACE"/>
    <w:rsid w:val="001E7B3A"/>
    <w:rsid w:val="001F1998"/>
    <w:rsid w:val="001F23AF"/>
    <w:rsid w:val="001F2D2D"/>
    <w:rsid w:val="001F32CB"/>
    <w:rsid w:val="001F35A7"/>
    <w:rsid w:val="001F3F31"/>
    <w:rsid w:val="001F417B"/>
    <w:rsid w:val="001F502E"/>
    <w:rsid w:val="001F5488"/>
    <w:rsid w:val="001F608E"/>
    <w:rsid w:val="001F63DC"/>
    <w:rsid w:val="001F6641"/>
    <w:rsid w:val="001F6B2B"/>
    <w:rsid w:val="001F6D8C"/>
    <w:rsid w:val="00201105"/>
    <w:rsid w:val="00201ED0"/>
    <w:rsid w:val="00202EE5"/>
    <w:rsid w:val="00203E25"/>
    <w:rsid w:val="00204375"/>
    <w:rsid w:val="00205AA8"/>
    <w:rsid w:val="00205BA1"/>
    <w:rsid w:val="00205D05"/>
    <w:rsid w:val="00206BA4"/>
    <w:rsid w:val="0020792F"/>
    <w:rsid w:val="00207E0B"/>
    <w:rsid w:val="00210838"/>
    <w:rsid w:val="002112E9"/>
    <w:rsid w:val="002113B3"/>
    <w:rsid w:val="00212164"/>
    <w:rsid w:val="0021220F"/>
    <w:rsid w:val="00212F47"/>
    <w:rsid w:val="0021343E"/>
    <w:rsid w:val="00213B8A"/>
    <w:rsid w:val="00213E61"/>
    <w:rsid w:val="00214DE8"/>
    <w:rsid w:val="00215811"/>
    <w:rsid w:val="00215FF8"/>
    <w:rsid w:val="00216A6C"/>
    <w:rsid w:val="0021737E"/>
    <w:rsid w:val="00217727"/>
    <w:rsid w:val="00217E8C"/>
    <w:rsid w:val="002202E5"/>
    <w:rsid w:val="002227CC"/>
    <w:rsid w:val="00222BE1"/>
    <w:rsid w:val="00224B0C"/>
    <w:rsid w:val="0022537B"/>
    <w:rsid w:val="00225746"/>
    <w:rsid w:val="00226D5F"/>
    <w:rsid w:val="00227072"/>
    <w:rsid w:val="002273F3"/>
    <w:rsid w:val="00227BCC"/>
    <w:rsid w:val="00227F4F"/>
    <w:rsid w:val="0023014C"/>
    <w:rsid w:val="00230A81"/>
    <w:rsid w:val="00230BE8"/>
    <w:rsid w:val="00230C2E"/>
    <w:rsid w:val="00230FDB"/>
    <w:rsid w:val="0023199D"/>
    <w:rsid w:val="002322A4"/>
    <w:rsid w:val="002327D0"/>
    <w:rsid w:val="00232E7B"/>
    <w:rsid w:val="00233983"/>
    <w:rsid w:val="00233C20"/>
    <w:rsid w:val="00233F25"/>
    <w:rsid w:val="002345D0"/>
    <w:rsid w:val="00234895"/>
    <w:rsid w:val="002369E9"/>
    <w:rsid w:val="00237AC5"/>
    <w:rsid w:val="00240D34"/>
    <w:rsid w:val="00241962"/>
    <w:rsid w:val="00241FFD"/>
    <w:rsid w:val="0024225C"/>
    <w:rsid w:val="00242365"/>
    <w:rsid w:val="0024250C"/>
    <w:rsid w:val="00242BB2"/>
    <w:rsid w:val="0024305C"/>
    <w:rsid w:val="0024371C"/>
    <w:rsid w:val="002443E7"/>
    <w:rsid w:val="00244846"/>
    <w:rsid w:val="00244FBC"/>
    <w:rsid w:val="002451A4"/>
    <w:rsid w:val="00246A05"/>
    <w:rsid w:val="00247159"/>
    <w:rsid w:val="00247C3D"/>
    <w:rsid w:val="00250033"/>
    <w:rsid w:val="002500D3"/>
    <w:rsid w:val="0025187C"/>
    <w:rsid w:val="00253397"/>
    <w:rsid w:val="002535EF"/>
    <w:rsid w:val="00257C32"/>
    <w:rsid w:val="00261467"/>
    <w:rsid w:val="00262D36"/>
    <w:rsid w:val="00262DEC"/>
    <w:rsid w:val="002631CC"/>
    <w:rsid w:val="00263C07"/>
    <w:rsid w:val="00263E81"/>
    <w:rsid w:val="002643A3"/>
    <w:rsid w:val="002658DB"/>
    <w:rsid w:val="00265D84"/>
    <w:rsid w:val="00266715"/>
    <w:rsid w:val="00266961"/>
    <w:rsid w:val="00270B53"/>
    <w:rsid w:val="0027251A"/>
    <w:rsid w:val="00274179"/>
    <w:rsid w:val="00276400"/>
    <w:rsid w:val="0027701A"/>
    <w:rsid w:val="00280BE1"/>
    <w:rsid w:val="00282AA0"/>
    <w:rsid w:val="002833BE"/>
    <w:rsid w:val="00283E1E"/>
    <w:rsid w:val="0028418D"/>
    <w:rsid w:val="00284240"/>
    <w:rsid w:val="00284890"/>
    <w:rsid w:val="002850C9"/>
    <w:rsid w:val="00285168"/>
    <w:rsid w:val="00285341"/>
    <w:rsid w:val="00285B9F"/>
    <w:rsid w:val="0028641E"/>
    <w:rsid w:val="00286E35"/>
    <w:rsid w:val="002873C8"/>
    <w:rsid w:val="00287AE5"/>
    <w:rsid w:val="00290521"/>
    <w:rsid w:val="00290B4B"/>
    <w:rsid w:val="00291290"/>
    <w:rsid w:val="00291ECF"/>
    <w:rsid w:val="00292FFD"/>
    <w:rsid w:val="00294697"/>
    <w:rsid w:val="0029588C"/>
    <w:rsid w:val="002959F4"/>
    <w:rsid w:val="0029654F"/>
    <w:rsid w:val="00296C4A"/>
    <w:rsid w:val="0029781F"/>
    <w:rsid w:val="00297CB8"/>
    <w:rsid w:val="00297F7B"/>
    <w:rsid w:val="002A0109"/>
    <w:rsid w:val="002A03CA"/>
    <w:rsid w:val="002A096F"/>
    <w:rsid w:val="002A0BFF"/>
    <w:rsid w:val="002A1A57"/>
    <w:rsid w:val="002A1CFC"/>
    <w:rsid w:val="002A1DB8"/>
    <w:rsid w:val="002A2E69"/>
    <w:rsid w:val="002A32B5"/>
    <w:rsid w:val="002A35EE"/>
    <w:rsid w:val="002A4CBC"/>
    <w:rsid w:val="002A5B9D"/>
    <w:rsid w:val="002A6EE8"/>
    <w:rsid w:val="002B0F57"/>
    <w:rsid w:val="002B2623"/>
    <w:rsid w:val="002B2A6A"/>
    <w:rsid w:val="002B2CC8"/>
    <w:rsid w:val="002B413D"/>
    <w:rsid w:val="002B4B01"/>
    <w:rsid w:val="002B4F51"/>
    <w:rsid w:val="002B5A73"/>
    <w:rsid w:val="002B5F36"/>
    <w:rsid w:val="002B6DFE"/>
    <w:rsid w:val="002B71C3"/>
    <w:rsid w:val="002B73FD"/>
    <w:rsid w:val="002B7B8F"/>
    <w:rsid w:val="002B7C4C"/>
    <w:rsid w:val="002C07A8"/>
    <w:rsid w:val="002C10EB"/>
    <w:rsid w:val="002C1495"/>
    <w:rsid w:val="002C1EE8"/>
    <w:rsid w:val="002C1F59"/>
    <w:rsid w:val="002C25AF"/>
    <w:rsid w:val="002C273E"/>
    <w:rsid w:val="002C2C38"/>
    <w:rsid w:val="002C3466"/>
    <w:rsid w:val="002C34CE"/>
    <w:rsid w:val="002C47CE"/>
    <w:rsid w:val="002D1844"/>
    <w:rsid w:val="002D2F44"/>
    <w:rsid w:val="002D4BC3"/>
    <w:rsid w:val="002D4BC7"/>
    <w:rsid w:val="002D553F"/>
    <w:rsid w:val="002D58D5"/>
    <w:rsid w:val="002D6025"/>
    <w:rsid w:val="002D619A"/>
    <w:rsid w:val="002D732C"/>
    <w:rsid w:val="002E00ED"/>
    <w:rsid w:val="002E41BF"/>
    <w:rsid w:val="002E4D14"/>
    <w:rsid w:val="002E5626"/>
    <w:rsid w:val="002E5D8B"/>
    <w:rsid w:val="002E6DFA"/>
    <w:rsid w:val="002E7A24"/>
    <w:rsid w:val="002E7A8D"/>
    <w:rsid w:val="002F0C01"/>
    <w:rsid w:val="002F0C29"/>
    <w:rsid w:val="002F1F1C"/>
    <w:rsid w:val="002F2D71"/>
    <w:rsid w:val="002F2EB6"/>
    <w:rsid w:val="002F3077"/>
    <w:rsid w:val="002F3522"/>
    <w:rsid w:val="002F378A"/>
    <w:rsid w:val="002F3C6A"/>
    <w:rsid w:val="002F55E0"/>
    <w:rsid w:val="002F5B11"/>
    <w:rsid w:val="002F73E4"/>
    <w:rsid w:val="002F7726"/>
    <w:rsid w:val="002F7FA9"/>
    <w:rsid w:val="00301120"/>
    <w:rsid w:val="00301626"/>
    <w:rsid w:val="00301EAE"/>
    <w:rsid w:val="003023F1"/>
    <w:rsid w:val="00305787"/>
    <w:rsid w:val="00305E0F"/>
    <w:rsid w:val="00306026"/>
    <w:rsid w:val="003071D6"/>
    <w:rsid w:val="00307C61"/>
    <w:rsid w:val="00310680"/>
    <w:rsid w:val="00310B58"/>
    <w:rsid w:val="0031216A"/>
    <w:rsid w:val="0031402F"/>
    <w:rsid w:val="003146BC"/>
    <w:rsid w:val="003147E7"/>
    <w:rsid w:val="00315804"/>
    <w:rsid w:val="0032029E"/>
    <w:rsid w:val="003207ED"/>
    <w:rsid w:val="00320DCD"/>
    <w:rsid w:val="0032235E"/>
    <w:rsid w:val="00322A97"/>
    <w:rsid w:val="00322ACB"/>
    <w:rsid w:val="00323736"/>
    <w:rsid w:val="00323B3A"/>
    <w:rsid w:val="00324D72"/>
    <w:rsid w:val="00325097"/>
    <w:rsid w:val="00326946"/>
    <w:rsid w:val="003301F2"/>
    <w:rsid w:val="00330628"/>
    <w:rsid w:val="00331137"/>
    <w:rsid w:val="003313BD"/>
    <w:rsid w:val="00333396"/>
    <w:rsid w:val="003333CE"/>
    <w:rsid w:val="00335F0B"/>
    <w:rsid w:val="00336EEA"/>
    <w:rsid w:val="0033700D"/>
    <w:rsid w:val="003372D3"/>
    <w:rsid w:val="00337711"/>
    <w:rsid w:val="00340852"/>
    <w:rsid w:val="0034268B"/>
    <w:rsid w:val="00342B50"/>
    <w:rsid w:val="0034300E"/>
    <w:rsid w:val="003430F6"/>
    <w:rsid w:val="00343CEB"/>
    <w:rsid w:val="00346411"/>
    <w:rsid w:val="00346461"/>
    <w:rsid w:val="00350EB2"/>
    <w:rsid w:val="00351186"/>
    <w:rsid w:val="003526C8"/>
    <w:rsid w:val="00352E4F"/>
    <w:rsid w:val="00353196"/>
    <w:rsid w:val="0035331E"/>
    <w:rsid w:val="00354030"/>
    <w:rsid w:val="003543D4"/>
    <w:rsid w:val="003549FE"/>
    <w:rsid w:val="00356206"/>
    <w:rsid w:val="00356B1E"/>
    <w:rsid w:val="00356C00"/>
    <w:rsid w:val="003572F2"/>
    <w:rsid w:val="0035791B"/>
    <w:rsid w:val="00357E0A"/>
    <w:rsid w:val="003615F1"/>
    <w:rsid w:val="00361BB1"/>
    <w:rsid w:val="0036251E"/>
    <w:rsid w:val="0036299D"/>
    <w:rsid w:val="0036435A"/>
    <w:rsid w:val="00365479"/>
    <w:rsid w:val="003666C4"/>
    <w:rsid w:val="0036735E"/>
    <w:rsid w:val="003700B2"/>
    <w:rsid w:val="003701CA"/>
    <w:rsid w:val="00371410"/>
    <w:rsid w:val="0037200A"/>
    <w:rsid w:val="0037239D"/>
    <w:rsid w:val="00372711"/>
    <w:rsid w:val="00372B44"/>
    <w:rsid w:val="00372E81"/>
    <w:rsid w:val="003730CA"/>
    <w:rsid w:val="00373DF1"/>
    <w:rsid w:val="003748E1"/>
    <w:rsid w:val="003758F8"/>
    <w:rsid w:val="00376E16"/>
    <w:rsid w:val="00377277"/>
    <w:rsid w:val="003773F1"/>
    <w:rsid w:val="003778A1"/>
    <w:rsid w:val="00377A91"/>
    <w:rsid w:val="00380A28"/>
    <w:rsid w:val="003838D9"/>
    <w:rsid w:val="00384AA2"/>
    <w:rsid w:val="003850EF"/>
    <w:rsid w:val="003852C8"/>
    <w:rsid w:val="00385366"/>
    <w:rsid w:val="0038676B"/>
    <w:rsid w:val="00386E38"/>
    <w:rsid w:val="00386F0E"/>
    <w:rsid w:val="00387656"/>
    <w:rsid w:val="00387D71"/>
    <w:rsid w:val="003901D9"/>
    <w:rsid w:val="00391000"/>
    <w:rsid w:val="00391894"/>
    <w:rsid w:val="00391D75"/>
    <w:rsid w:val="00392B05"/>
    <w:rsid w:val="00392B39"/>
    <w:rsid w:val="00392D50"/>
    <w:rsid w:val="003947E9"/>
    <w:rsid w:val="00394BBD"/>
    <w:rsid w:val="00395115"/>
    <w:rsid w:val="00396312"/>
    <w:rsid w:val="00397273"/>
    <w:rsid w:val="003A02FD"/>
    <w:rsid w:val="003A0BEE"/>
    <w:rsid w:val="003A1796"/>
    <w:rsid w:val="003A1BF1"/>
    <w:rsid w:val="003A22AD"/>
    <w:rsid w:val="003A2531"/>
    <w:rsid w:val="003A2BF7"/>
    <w:rsid w:val="003A2CFD"/>
    <w:rsid w:val="003A3F90"/>
    <w:rsid w:val="003A5B0D"/>
    <w:rsid w:val="003A5CE6"/>
    <w:rsid w:val="003A5DA3"/>
    <w:rsid w:val="003A6394"/>
    <w:rsid w:val="003A65FF"/>
    <w:rsid w:val="003A6A33"/>
    <w:rsid w:val="003B2C27"/>
    <w:rsid w:val="003B3247"/>
    <w:rsid w:val="003B32F1"/>
    <w:rsid w:val="003B3B6D"/>
    <w:rsid w:val="003B4927"/>
    <w:rsid w:val="003B656E"/>
    <w:rsid w:val="003B6B6F"/>
    <w:rsid w:val="003B71BC"/>
    <w:rsid w:val="003B7DBB"/>
    <w:rsid w:val="003C00E3"/>
    <w:rsid w:val="003C0FC7"/>
    <w:rsid w:val="003C128B"/>
    <w:rsid w:val="003C13D4"/>
    <w:rsid w:val="003C26DF"/>
    <w:rsid w:val="003C471A"/>
    <w:rsid w:val="003D0597"/>
    <w:rsid w:val="003D065D"/>
    <w:rsid w:val="003D104C"/>
    <w:rsid w:val="003D1484"/>
    <w:rsid w:val="003D18C7"/>
    <w:rsid w:val="003D1CAC"/>
    <w:rsid w:val="003D216E"/>
    <w:rsid w:val="003D3784"/>
    <w:rsid w:val="003D39CB"/>
    <w:rsid w:val="003D3B2C"/>
    <w:rsid w:val="003D3EF6"/>
    <w:rsid w:val="003D4245"/>
    <w:rsid w:val="003D5DD3"/>
    <w:rsid w:val="003D7B8D"/>
    <w:rsid w:val="003D7E86"/>
    <w:rsid w:val="003E03F7"/>
    <w:rsid w:val="003E1456"/>
    <w:rsid w:val="003E2603"/>
    <w:rsid w:val="003E2622"/>
    <w:rsid w:val="003E28E2"/>
    <w:rsid w:val="003E6713"/>
    <w:rsid w:val="003F0127"/>
    <w:rsid w:val="003F09B7"/>
    <w:rsid w:val="003F184B"/>
    <w:rsid w:val="003F25BC"/>
    <w:rsid w:val="003F3557"/>
    <w:rsid w:val="003F3F1E"/>
    <w:rsid w:val="003F3FA5"/>
    <w:rsid w:val="003F6046"/>
    <w:rsid w:val="003F6608"/>
    <w:rsid w:val="003F66F6"/>
    <w:rsid w:val="003F6CFB"/>
    <w:rsid w:val="003F7DC9"/>
    <w:rsid w:val="004005C7"/>
    <w:rsid w:val="0040075E"/>
    <w:rsid w:val="00400894"/>
    <w:rsid w:val="0040172C"/>
    <w:rsid w:val="0040195B"/>
    <w:rsid w:val="00402907"/>
    <w:rsid w:val="00404CA7"/>
    <w:rsid w:val="004069ED"/>
    <w:rsid w:val="00407F68"/>
    <w:rsid w:val="004108DA"/>
    <w:rsid w:val="0041093D"/>
    <w:rsid w:val="00410964"/>
    <w:rsid w:val="00411151"/>
    <w:rsid w:val="0041147C"/>
    <w:rsid w:val="004115CF"/>
    <w:rsid w:val="00411A17"/>
    <w:rsid w:val="00411F7F"/>
    <w:rsid w:val="00412AAB"/>
    <w:rsid w:val="00413FDD"/>
    <w:rsid w:val="00414949"/>
    <w:rsid w:val="004158DC"/>
    <w:rsid w:val="00416C13"/>
    <w:rsid w:val="00417657"/>
    <w:rsid w:val="00417CBF"/>
    <w:rsid w:val="004202F3"/>
    <w:rsid w:val="00421416"/>
    <w:rsid w:val="004215D9"/>
    <w:rsid w:val="00421841"/>
    <w:rsid w:val="00421969"/>
    <w:rsid w:val="00421A97"/>
    <w:rsid w:val="00421BA7"/>
    <w:rsid w:val="004221AD"/>
    <w:rsid w:val="004235C0"/>
    <w:rsid w:val="00423FBC"/>
    <w:rsid w:val="00424970"/>
    <w:rsid w:val="00424BF2"/>
    <w:rsid w:val="00424C13"/>
    <w:rsid w:val="00424D9B"/>
    <w:rsid w:val="00426687"/>
    <w:rsid w:val="004268EE"/>
    <w:rsid w:val="004278B2"/>
    <w:rsid w:val="00427CC1"/>
    <w:rsid w:val="00430296"/>
    <w:rsid w:val="00430CB5"/>
    <w:rsid w:val="0043142C"/>
    <w:rsid w:val="0043159B"/>
    <w:rsid w:val="00431612"/>
    <w:rsid w:val="0043370C"/>
    <w:rsid w:val="00433F00"/>
    <w:rsid w:val="004351D5"/>
    <w:rsid w:val="00435208"/>
    <w:rsid w:val="00435CB2"/>
    <w:rsid w:val="00436809"/>
    <w:rsid w:val="00437117"/>
    <w:rsid w:val="00437367"/>
    <w:rsid w:val="0043736E"/>
    <w:rsid w:val="00441021"/>
    <w:rsid w:val="00441858"/>
    <w:rsid w:val="004418CD"/>
    <w:rsid w:val="00442120"/>
    <w:rsid w:val="00442928"/>
    <w:rsid w:val="00442B75"/>
    <w:rsid w:val="0044459B"/>
    <w:rsid w:val="00444A49"/>
    <w:rsid w:val="00444B29"/>
    <w:rsid w:val="00444E9F"/>
    <w:rsid w:val="00444FF0"/>
    <w:rsid w:val="004453E5"/>
    <w:rsid w:val="00445713"/>
    <w:rsid w:val="00445E4A"/>
    <w:rsid w:val="00446099"/>
    <w:rsid w:val="0044614B"/>
    <w:rsid w:val="00447566"/>
    <w:rsid w:val="00450F7A"/>
    <w:rsid w:val="0045107D"/>
    <w:rsid w:val="0045302F"/>
    <w:rsid w:val="0045397F"/>
    <w:rsid w:val="00456581"/>
    <w:rsid w:val="004571D7"/>
    <w:rsid w:val="0045777E"/>
    <w:rsid w:val="004579DE"/>
    <w:rsid w:val="004601FE"/>
    <w:rsid w:val="004613CB"/>
    <w:rsid w:val="00462456"/>
    <w:rsid w:val="00462E15"/>
    <w:rsid w:val="00462F9F"/>
    <w:rsid w:val="004645C4"/>
    <w:rsid w:val="00465496"/>
    <w:rsid w:val="00465C32"/>
    <w:rsid w:val="00466C61"/>
    <w:rsid w:val="00467B16"/>
    <w:rsid w:val="00467B25"/>
    <w:rsid w:val="00470E1F"/>
    <w:rsid w:val="0047182A"/>
    <w:rsid w:val="00472428"/>
    <w:rsid w:val="004724C7"/>
    <w:rsid w:val="004728DF"/>
    <w:rsid w:val="00472B53"/>
    <w:rsid w:val="00473F4D"/>
    <w:rsid w:val="0047427E"/>
    <w:rsid w:val="004745E8"/>
    <w:rsid w:val="00474834"/>
    <w:rsid w:val="00476748"/>
    <w:rsid w:val="00476B60"/>
    <w:rsid w:val="004808DD"/>
    <w:rsid w:val="00480A37"/>
    <w:rsid w:val="00481E06"/>
    <w:rsid w:val="004839A7"/>
    <w:rsid w:val="00483A82"/>
    <w:rsid w:val="0048472A"/>
    <w:rsid w:val="00484C5F"/>
    <w:rsid w:val="004853C2"/>
    <w:rsid w:val="00485B15"/>
    <w:rsid w:val="00485EE8"/>
    <w:rsid w:val="00485EFB"/>
    <w:rsid w:val="004862CB"/>
    <w:rsid w:val="00486C44"/>
    <w:rsid w:val="00486D6B"/>
    <w:rsid w:val="00487D57"/>
    <w:rsid w:val="00487DBA"/>
    <w:rsid w:val="00490B06"/>
    <w:rsid w:val="00490D9E"/>
    <w:rsid w:val="00491828"/>
    <w:rsid w:val="004919BC"/>
    <w:rsid w:val="004925C5"/>
    <w:rsid w:val="00493787"/>
    <w:rsid w:val="00493820"/>
    <w:rsid w:val="00493A16"/>
    <w:rsid w:val="004959CB"/>
    <w:rsid w:val="00496517"/>
    <w:rsid w:val="004977AD"/>
    <w:rsid w:val="004A1304"/>
    <w:rsid w:val="004A159B"/>
    <w:rsid w:val="004A20B5"/>
    <w:rsid w:val="004A2955"/>
    <w:rsid w:val="004A2CAF"/>
    <w:rsid w:val="004A315E"/>
    <w:rsid w:val="004A3BAA"/>
    <w:rsid w:val="004A5F60"/>
    <w:rsid w:val="004A6D14"/>
    <w:rsid w:val="004A7199"/>
    <w:rsid w:val="004A7438"/>
    <w:rsid w:val="004B16F2"/>
    <w:rsid w:val="004B19BC"/>
    <w:rsid w:val="004B1AC7"/>
    <w:rsid w:val="004B1D21"/>
    <w:rsid w:val="004B1DD6"/>
    <w:rsid w:val="004B1DDC"/>
    <w:rsid w:val="004B22ED"/>
    <w:rsid w:val="004B419B"/>
    <w:rsid w:val="004B4CF1"/>
    <w:rsid w:val="004B512B"/>
    <w:rsid w:val="004B5F45"/>
    <w:rsid w:val="004B6437"/>
    <w:rsid w:val="004B7D31"/>
    <w:rsid w:val="004C0E32"/>
    <w:rsid w:val="004C1231"/>
    <w:rsid w:val="004C3944"/>
    <w:rsid w:val="004C47A6"/>
    <w:rsid w:val="004C5135"/>
    <w:rsid w:val="004C5E42"/>
    <w:rsid w:val="004C603E"/>
    <w:rsid w:val="004C6889"/>
    <w:rsid w:val="004C7372"/>
    <w:rsid w:val="004D0650"/>
    <w:rsid w:val="004D0C3D"/>
    <w:rsid w:val="004D13F0"/>
    <w:rsid w:val="004D1864"/>
    <w:rsid w:val="004D1BF0"/>
    <w:rsid w:val="004D22B6"/>
    <w:rsid w:val="004D3445"/>
    <w:rsid w:val="004D3FC5"/>
    <w:rsid w:val="004D40C6"/>
    <w:rsid w:val="004D474D"/>
    <w:rsid w:val="004D55F9"/>
    <w:rsid w:val="004E0080"/>
    <w:rsid w:val="004E0843"/>
    <w:rsid w:val="004E08FB"/>
    <w:rsid w:val="004E093E"/>
    <w:rsid w:val="004E0DE3"/>
    <w:rsid w:val="004E20C6"/>
    <w:rsid w:val="004E235F"/>
    <w:rsid w:val="004E2AE8"/>
    <w:rsid w:val="004E3A58"/>
    <w:rsid w:val="004E5B91"/>
    <w:rsid w:val="004E5BBF"/>
    <w:rsid w:val="004E6771"/>
    <w:rsid w:val="004E6DDB"/>
    <w:rsid w:val="004E70F9"/>
    <w:rsid w:val="004E72E4"/>
    <w:rsid w:val="004E7949"/>
    <w:rsid w:val="004E7D9D"/>
    <w:rsid w:val="004F0D1D"/>
    <w:rsid w:val="004F140D"/>
    <w:rsid w:val="004F2C74"/>
    <w:rsid w:val="004F3DD2"/>
    <w:rsid w:val="004F45E4"/>
    <w:rsid w:val="004F4887"/>
    <w:rsid w:val="004F4DDD"/>
    <w:rsid w:val="004F4E89"/>
    <w:rsid w:val="004F4FF8"/>
    <w:rsid w:val="004F6951"/>
    <w:rsid w:val="004F727A"/>
    <w:rsid w:val="004F7E03"/>
    <w:rsid w:val="0050048F"/>
    <w:rsid w:val="005010CC"/>
    <w:rsid w:val="005038FF"/>
    <w:rsid w:val="00503BE4"/>
    <w:rsid w:val="00503C3C"/>
    <w:rsid w:val="00504EEC"/>
    <w:rsid w:val="0050576C"/>
    <w:rsid w:val="0050591B"/>
    <w:rsid w:val="00505B6D"/>
    <w:rsid w:val="00506056"/>
    <w:rsid w:val="00506358"/>
    <w:rsid w:val="00506BD0"/>
    <w:rsid w:val="0050706C"/>
    <w:rsid w:val="005071EA"/>
    <w:rsid w:val="0050752E"/>
    <w:rsid w:val="00507691"/>
    <w:rsid w:val="00507EAD"/>
    <w:rsid w:val="00507FB6"/>
    <w:rsid w:val="005105A3"/>
    <w:rsid w:val="00511290"/>
    <w:rsid w:val="005126B4"/>
    <w:rsid w:val="00512780"/>
    <w:rsid w:val="00512C86"/>
    <w:rsid w:val="00512F01"/>
    <w:rsid w:val="005130A9"/>
    <w:rsid w:val="00513CEC"/>
    <w:rsid w:val="0051419D"/>
    <w:rsid w:val="00514874"/>
    <w:rsid w:val="00514881"/>
    <w:rsid w:val="00515402"/>
    <w:rsid w:val="0051552F"/>
    <w:rsid w:val="005155F2"/>
    <w:rsid w:val="005163EB"/>
    <w:rsid w:val="0051650B"/>
    <w:rsid w:val="00516964"/>
    <w:rsid w:val="00516E5B"/>
    <w:rsid w:val="00516F10"/>
    <w:rsid w:val="0051705B"/>
    <w:rsid w:val="00517402"/>
    <w:rsid w:val="00520101"/>
    <w:rsid w:val="00521063"/>
    <w:rsid w:val="00521905"/>
    <w:rsid w:val="0052347C"/>
    <w:rsid w:val="00524171"/>
    <w:rsid w:val="005250C4"/>
    <w:rsid w:val="005251FE"/>
    <w:rsid w:val="0052573D"/>
    <w:rsid w:val="00525A50"/>
    <w:rsid w:val="00525FAC"/>
    <w:rsid w:val="00526B86"/>
    <w:rsid w:val="00527E7D"/>
    <w:rsid w:val="00531150"/>
    <w:rsid w:val="00531256"/>
    <w:rsid w:val="00531377"/>
    <w:rsid w:val="00532447"/>
    <w:rsid w:val="00532DAC"/>
    <w:rsid w:val="0053334C"/>
    <w:rsid w:val="00533F93"/>
    <w:rsid w:val="0053413B"/>
    <w:rsid w:val="00534347"/>
    <w:rsid w:val="005348C4"/>
    <w:rsid w:val="00534B2A"/>
    <w:rsid w:val="00534CDA"/>
    <w:rsid w:val="00534F50"/>
    <w:rsid w:val="00537A82"/>
    <w:rsid w:val="0054005C"/>
    <w:rsid w:val="005405CE"/>
    <w:rsid w:val="00540ED6"/>
    <w:rsid w:val="00541614"/>
    <w:rsid w:val="0054257F"/>
    <w:rsid w:val="00543EA0"/>
    <w:rsid w:val="00543EB4"/>
    <w:rsid w:val="00544F58"/>
    <w:rsid w:val="0054519A"/>
    <w:rsid w:val="00545A42"/>
    <w:rsid w:val="00546077"/>
    <w:rsid w:val="005468D5"/>
    <w:rsid w:val="00546994"/>
    <w:rsid w:val="00547921"/>
    <w:rsid w:val="0055045D"/>
    <w:rsid w:val="0055209C"/>
    <w:rsid w:val="00554537"/>
    <w:rsid w:val="00555821"/>
    <w:rsid w:val="005603B1"/>
    <w:rsid w:val="00560BD7"/>
    <w:rsid w:val="0056205B"/>
    <w:rsid w:val="005626DF"/>
    <w:rsid w:val="00562B40"/>
    <w:rsid w:val="00562F71"/>
    <w:rsid w:val="00563678"/>
    <w:rsid w:val="00563ED6"/>
    <w:rsid w:val="005640C7"/>
    <w:rsid w:val="0056419D"/>
    <w:rsid w:val="00564F03"/>
    <w:rsid w:val="00570639"/>
    <w:rsid w:val="005708F7"/>
    <w:rsid w:val="0057162B"/>
    <w:rsid w:val="00571CE5"/>
    <w:rsid w:val="00572395"/>
    <w:rsid w:val="00572FA7"/>
    <w:rsid w:val="00573290"/>
    <w:rsid w:val="00573D06"/>
    <w:rsid w:val="00575FA1"/>
    <w:rsid w:val="00577193"/>
    <w:rsid w:val="005777F8"/>
    <w:rsid w:val="00577F4A"/>
    <w:rsid w:val="00581655"/>
    <w:rsid w:val="00582956"/>
    <w:rsid w:val="00583CA3"/>
    <w:rsid w:val="00583D05"/>
    <w:rsid w:val="00583FF4"/>
    <w:rsid w:val="005848D8"/>
    <w:rsid w:val="00586C83"/>
    <w:rsid w:val="00590076"/>
    <w:rsid w:val="00590167"/>
    <w:rsid w:val="00590568"/>
    <w:rsid w:val="005923B0"/>
    <w:rsid w:val="00592BB1"/>
    <w:rsid w:val="005933CC"/>
    <w:rsid w:val="00593BB5"/>
    <w:rsid w:val="005942BF"/>
    <w:rsid w:val="005942DF"/>
    <w:rsid w:val="005943AC"/>
    <w:rsid w:val="00594998"/>
    <w:rsid w:val="00594C05"/>
    <w:rsid w:val="005951A9"/>
    <w:rsid w:val="00596EBD"/>
    <w:rsid w:val="005974A1"/>
    <w:rsid w:val="00597894"/>
    <w:rsid w:val="00597AE3"/>
    <w:rsid w:val="005A09A5"/>
    <w:rsid w:val="005A0B62"/>
    <w:rsid w:val="005A1618"/>
    <w:rsid w:val="005A180A"/>
    <w:rsid w:val="005A2EAD"/>
    <w:rsid w:val="005A34FE"/>
    <w:rsid w:val="005A39E6"/>
    <w:rsid w:val="005A47B2"/>
    <w:rsid w:val="005A4EEC"/>
    <w:rsid w:val="005A52B1"/>
    <w:rsid w:val="005A616B"/>
    <w:rsid w:val="005A6A05"/>
    <w:rsid w:val="005B18CF"/>
    <w:rsid w:val="005B2BA6"/>
    <w:rsid w:val="005B322E"/>
    <w:rsid w:val="005B492A"/>
    <w:rsid w:val="005B5311"/>
    <w:rsid w:val="005B5995"/>
    <w:rsid w:val="005B5D2E"/>
    <w:rsid w:val="005B6014"/>
    <w:rsid w:val="005B773A"/>
    <w:rsid w:val="005B7B7E"/>
    <w:rsid w:val="005C04F7"/>
    <w:rsid w:val="005C0B1B"/>
    <w:rsid w:val="005C104E"/>
    <w:rsid w:val="005C2290"/>
    <w:rsid w:val="005C257D"/>
    <w:rsid w:val="005C2F1A"/>
    <w:rsid w:val="005C57E2"/>
    <w:rsid w:val="005C6E25"/>
    <w:rsid w:val="005C7257"/>
    <w:rsid w:val="005D01FF"/>
    <w:rsid w:val="005D1535"/>
    <w:rsid w:val="005D19F2"/>
    <w:rsid w:val="005D1BFF"/>
    <w:rsid w:val="005D208A"/>
    <w:rsid w:val="005D39A2"/>
    <w:rsid w:val="005D41DC"/>
    <w:rsid w:val="005D4E4A"/>
    <w:rsid w:val="005D56EF"/>
    <w:rsid w:val="005D639A"/>
    <w:rsid w:val="005E06CA"/>
    <w:rsid w:val="005E097F"/>
    <w:rsid w:val="005E0D8A"/>
    <w:rsid w:val="005E0FA5"/>
    <w:rsid w:val="005E2CFA"/>
    <w:rsid w:val="005E35C5"/>
    <w:rsid w:val="005E5358"/>
    <w:rsid w:val="005E5373"/>
    <w:rsid w:val="005E5E2B"/>
    <w:rsid w:val="005E701E"/>
    <w:rsid w:val="005E72C1"/>
    <w:rsid w:val="005F0057"/>
    <w:rsid w:val="005F00D5"/>
    <w:rsid w:val="005F0258"/>
    <w:rsid w:val="005F1239"/>
    <w:rsid w:val="005F137D"/>
    <w:rsid w:val="005F197E"/>
    <w:rsid w:val="005F1A88"/>
    <w:rsid w:val="005F3465"/>
    <w:rsid w:val="005F3553"/>
    <w:rsid w:val="005F479E"/>
    <w:rsid w:val="005F5C1F"/>
    <w:rsid w:val="005F5E17"/>
    <w:rsid w:val="005F6942"/>
    <w:rsid w:val="005F6E46"/>
    <w:rsid w:val="005F6EB5"/>
    <w:rsid w:val="00601143"/>
    <w:rsid w:val="0060124B"/>
    <w:rsid w:val="00601ED3"/>
    <w:rsid w:val="006029CF"/>
    <w:rsid w:val="00602F73"/>
    <w:rsid w:val="00603ED3"/>
    <w:rsid w:val="00604176"/>
    <w:rsid w:val="00604E69"/>
    <w:rsid w:val="00605B29"/>
    <w:rsid w:val="00605BB2"/>
    <w:rsid w:val="006065FA"/>
    <w:rsid w:val="00606652"/>
    <w:rsid w:val="00607774"/>
    <w:rsid w:val="00607924"/>
    <w:rsid w:val="0061025E"/>
    <w:rsid w:val="006106AE"/>
    <w:rsid w:val="006116FC"/>
    <w:rsid w:val="0061234F"/>
    <w:rsid w:val="0061312F"/>
    <w:rsid w:val="006138C7"/>
    <w:rsid w:val="0061527C"/>
    <w:rsid w:val="006162D0"/>
    <w:rsid w:val="006166AE"/>
    <w:rsid w:val="00616E8A"/>
    <w:rsid w:val="0061749E"/>
    <w:rsid w:val="00617FEE"/>
    <w:rsid w:val="0062038F"/>
    <w:rsid w:val="006223C0"/>
    <w:rsid w:val="00623F21"/>
    <w:rsid w:val="00624FAE"/>
    <w:rsid w:val="00625F50"/>
    <w:rsid w:val="006266FE"/>
    <w:rsid w:val="00626ADB"/>
    <w:rsid w:val="00627A00"/>
    <w:rsid w:val="00630100"/>
    <w:rsid w:val="0063072B"/>
    <w:rsid w:val="00631AEF"/>
    <w:rsid w:val="00632266"/>
    <w:rsid w:val="0063334A"/>
    <w:rsid w:val="00633B7B"/>
    <w:rsid w:val="00634078"/>
    <w:rsid w:val="00634434"/>
    <w:rsid w:val="00634663"/>
    <w:rsid w:val="00634770"/>
    <w:rsid w:val="00634B22"/>
    <w:rsid w:val="00635738"/>
    <w:rsid w:val="00635E26"/>
    <w:rsid w:val="00636A4B"/>
    <w:rsid w:val="00636FF2"/>
    <w:rsid w:val="00637045"/>
    <w:rsid w:val="00637724"/>
    <w:rsid w:val="00637A1A"/>
    <w:rsid w:val="00637C69"/>
    <w:rsid w:val="00640646"/>
    <w:rsid w:val="00640E8B"/>
    <w:rsid w:val="00641597"/>
    <w:rsid w:val="006428D7"/>
    <w:rsid w:val="00643CB8"/>
    <w:rsid w:val="00644162"/>
    <w:rsid w:val="00644C38"/>
    <w:rsid w:val="00644F4D"/>
    <w:rsid w:val="00645120"/>
    <w:rsid w:val="006460BA"/>
    <w:rsid w:val="006469DB"/>
    <w:rsid w:val="00646CC3"/>
    <w:rsid w:val="00647000"/>
    <w:rsid w:val="00647D52"/>
    <w:rsid w:val="0065198E"/>
    <w:rsid w:val="006530F5"/>
    <w:rsid w:val="00653D4A"/>
    <w:rsid w:val="00654341"/>
    <w:rsid w:val="00654991"/>
    <w:rsid w:val="006551CE"/>
    <w:rsid w:val="006554DB"/>
    <w:rsid w:val="006554E5"/>
    <w:rsid w:val="00656200"/>
    <w:rsid w:val="006606F0"/>
    <w:rsid w:val="00662159"/>
    <w:rsid w:val="0066336D"/>
    <w:rsid w:val="0066380A"/>
    <w:rsid w:val="00663B4E"/>
    <w:rsid w:val="00666063"/>
    <w:rsid w:val="00667030"/>
    <w:rsid w:val="006704F4"/>
    <w:rsid w:val="0067091F"/>
    <w:rsid w:val="00671F85"/>
    <w:rsid w:val="00672117"/>
    <w:rsid w:val="006721F1"/>
    <w:rsid w:val="0067285E"/>
    <w:rsid w:val="00672B3E"/>
    <w:rsid w:val="006731B3"/>
    <w:rsid w:val="0067380C"/>
    <w:rsid w:val="00675622"/>
    <w:rsid w:val="00675FAD"/>
    <w:rsid w:val="00676DBC"/>
    <w:rsid w:val="006770C3"/>
    <w:rsid w:val="00680431"/>
    <w:rsid w:val="00680516"/>
    <w:rsid w:val="0068070E"/>
    <w:rsid w:val="006816EF"/>
    <w:rsid w:val="006825C7"/>
    <w:rsid w:val="00682BB1"/>
    <w:rsid w:val="00683160"/>
    <w:rsid w:val="006831D0"/>
    <w:rsid w:val="00684E5C"/>
    <w:rsid w:val="00685C0F"/>
    <w:rsid w:val="006865EB"/>
    <w:rsid w:val="00686D00"/>
    <w:rsid w:val="006875D7"/>
    <w:rsid w:val="006877F5"/>
    <w:rsid w:val="00690574"/>
    <w:rsid w:val="00692082"/>
    <w:rsid w:val="006921C7"/>
    <w:rsid w:val="00692BE3"/>
    <w:rsid w:val="00692C7C"/>
    <w:rsid w:val="00692CDE"/>
    <w:rsid w:val="00692E31"/>
    <w:rsid w:val="006935E4"/>
    <w:rsid w:val="00693D99"/>
    <w:rsid w:val="00695DFE"/>
    <w:rsid w:val="00695ED0"/>
    <w:rsid w:val="00696FD2"/>
    <w:rsid w:val="006971F7"/>
    <w:rsid w:val="0069775E"/>
    <w:rsid w:val="00697AE8"/>
    <w:rsid w:val="00697B83"/>
    <w:rsid w:val="00697EF7"/>
    <w:rsid w:val="006A0494"/>
    <w:rsid w:val="006A15E8"/>
    <w:rsid w:val="006A173E"/>
    <w:rsid w:val="006A3DAA"/>
    <w:rsid w:val="006A68E1"/>
    <w:rsid w:val="006A72D5"/>
    <w:rsid w:val="006A76D8"/>
    <w:rsid w:val="006B0544"/>
    <w:rsid w:val="006B07B9"/>
    <w:rsid w:val="006B14C1"/>
    <w:rsid w:val="006B2004"/>
    <w:rsid w:val="006B22EC"/>
    <w:rsid w:val="006B3335"/>
    <w:rsid w:val="006B3551"/>
    <w:rsid w:val="006B51CC"/>
    <w:rsid w:val="006B6120"/>
    <w:rsid w:val="006B637A"/>
    <w:rsid w:val="006B6681"/>
    <w:rsid w:val="006C1DD3"/>
    <w:rsid w:val="006C1F34"/>
    <w:rsid w:val="006C3E9E"/>
    <w:rsid w:val="006C41FF"/>
    <w:rsid w:val="006C48F9"/>
    <w:rsid w:val="006C58ED"/>
    <w:rsid w:val="006C5A99"/>
    <w:rsid w:val="006C631B"/>
    <w:rsid w:val="006C77DE"/>
    <w:rsid w:val="006C7C84"/>
    <w:rsid w:val="006D0EE7"/>
    <w:rsid w:val="006D1758"/>
    <w:rsid w:val="006D2469"/>
    <w:rsid w:val="006D277C"/>
    <w:rsid w:val="006D2C3F"/>
    <w:rsid w:val="006D2C8F"/>
    <w:rsid w:val="006D2EBF"/>
    <w:rsid w:val="006D2FA0"/>
    <w:rsid w:val="006D525A"/>
    <w:rsid w:val="006D56F2"/>
    <w:rsid w:val="006D6567"/>
    <w:rsid w:val="006E06BA"/>
    <w:rsid w:val="006E08B5"/>
    <w:rsid w:val="006E0DE0"/>
    <w:rsid w:val="006E155E"/>
    <w:rsid w:val="006E1949"/>
    <w:rsid w:val="006E1B6D"/>
    <w:rsid w:val="006E597A"/>
    <w:rsid w:val="006E5E9A"/>
    <w:rsid w:val="006E772A"/>
    <w:rsid w:val="006F03F5"/>
    <w:rsid w:val="006F3481"/>
    <w:rsid w:val="006F35AE"/>
    <w:rsid w:val="006F4490"/>
    <w:rsid w:val="006F5E50"/>
    <w:rsid w:val="006F6677"/>
    <w:rsid w:val="006F7566"/>
    <w:rsid w:val="006F7646"/>
    <w:rsid w:val="006F7DF9"/>
    <w:rsid w:val="00700959"/>
    <w:rsid w:val="00700CF0"/>
    <w:rsid w:val="007017C4"/>
    <w:rsid w:val="007020EE"/>
    <w:rsid w:val="007036CC"/>
    <w:rsid w:val="00704220"/>
    <w:rsid w:val="007043D9"/>
    <w:rsid w:val="0070587A"/>
    <w:rsid w:val="0070687F"/>
    <w:rsid w:val="00707318"/>
    <w:rsid w:val="007074B6"/>
    <w:rsid w:val="007074B9"/>
    <w:rsid w:val="007079A6"/>
    <w:rsid w:val="00710DCA"/>
    <w:rsid w:val="00710EB6"/>
    <w:rsid w:val="007121E0"/>
    <w:rsid w:val="007127CA"/>
    <w:rsid w:val="007134B6"/>
    <w:rsid w:val="00713CAA"/>
    <w:rsid w:val="00714335"/>
    <w:rsid w:val="00714DD4"/>
    <w:rsid w:val="00715A14"/>
    <w:rsid w:val="0072052F"/>
    <w:rsid w:val="007207F7"/>
    <w:rsid w:val="00720892"/>
    <w:rsid w:val="00721345"/>
    <w:rsid w:val="007213C6"/>
    <w:rsid w:val="00721FD1"/>
    <w:rsid w:val="00722648"/>
    <w:rsid w:val="00722B4B"/>
    <w:rsid w:val="0072308F"/>
    <w:rsid w:val="0072356B"/>
    <w:rsid w:val="007247B0"/>
    <w:rsid w:val="00724EBF"/>
    <w:rsid w:val="0072648B"/>
    <w:rsid w:val="007267F8"/>
    <w:rsid w:val="007279C4"/>
    <w:rsid w:val="00727FDE"/>
    <w:rsid w:val="007326C2"/>
    <w:rsid w:val="00733116"/>
    <w:rsid w:val="00733523"/>
    <w:rsid w:val="007337E6"/>
    <w:rsid w:val="00733BF0"/>
    <w:rsid w:val="00733EB7"/>
    <w:rsid w:val="00733FA0"/>
    <w:rsid w:val="00734436"/>
    <w:rsid w:val="007346A7"/>
    <w:rsid w:val="00734AF8"/>
    <w:rsid w:val="00735E8E"/>
    <w:rsid w:val="0073728F"/>
    <w:rsid w:val="0073781F"/>
    <w:rsid w:val="007409E3"/>
    <w:rsid w:val="007422E4"/>
    <w:rsid w:val="007427F5"/>
    <w:rsid w:val="00743BFD"/>
    <w:rsid w:val="00743E08"/>
    <w:rsid w:val="00744DEF"/>
    <w:rsid w:val="0074512C"/>
    <w:rsid w:val="00745416"/>
    <w:rsid w:val="007459B8"/>
    <w:rsid w:val="00745EE8"/>
    <w:rsid w:val="007464C5"/>
    <w:rsid w:val="00746641"/>
    <w:rsid w:val="00746672"/>
    <w:rsid w:val="0074685A"/>
    <w:rsid w:val="00747DC6"/>
    <w:rsid w:val="007501A4"/>
    <w:rsid w:val="00750C7F"/>
    <w:rsid w:val="0075102A"/>
    <w:rsid w:val="007510DD"/>
    <w:rsid w:val="00754873"/>
    <w:rsid w:val="00754E12"/>
    <w:rsid w:val="00755358"/>
    <w:rsid w:val="0075754B"/>
    <w:rsid w:val="007610F4"/>
    <w:rsid w:val="00761BCA"/>
    <w:rsid w:val="00764E02"/>
    <w:rsid w:val="00765205"/>
    <w:rsid w:val="00765EBF"/>
    <w:rsid w:val="0076739C"/>
    <w:rsid w:val="0076781B"/>
    <w:rsid w:val="007679E1"/>
    <w:rsid w:val="00770E35"/>
    <w:rsid w:val="0077112B"/>
    <w:rsid w:val="00771232"/>
    <w:rsid w:val="00772136"/>
    <w:rsid w:val="007730C9"/>
    <w:rsid w:val="00774679"/>
    <w:rsid w:val="00774729"/>
    <w:rsid w:val="00774B70"/>
    <w:rsid w:val="00774FF6"/>
    <w:rsid w:val="0077541A"/>
    <w:rsid w:val="007768DC"/>
    <w:rsid w:val="00776E9B"/>
    <w:rsid w:val="00776EA9"/>
    <w:rsid w:val="007778D7"/>
    <w:rsid w:val="00777A5D"/>
    <w:rsid w:val="00780B46"/>
    <w:rsid w:val="00780FCF"/>
    <w:rsid w:val="00782186"/>
    <w:rsid w:val="007821AC"/>
    <w:rsid w:val="00783FDA"/>
    <w:rsid w:val="00784131"/>
    <w:rsid w:val="00785C33"/>
    <w:rsid w:val="00785F09"/>
    <w:rsid w:val="00786EE0"/>
    <w:rsid w:val="00787745"/>
    <w:rsid w:val="00790C7A"/>
    <w:rsid w:val="00790DA8"/>
    <w:rsid w:val="00792464"/>
    <w:rsid w:val="007947F6"/>
    <w:rsid w:val="007956EC"/>
    <w:rsid w:val="00795C44"/>
    <w:rsid w:val="00796FF0"/>
    <w:rsid w:val="00797084"/>
    <w:rsid w:val="0079719E"/>
    <w:rsid w:val="007A07B1"/>
    <w:rsid w:val="007A0A68"/>
    <w:rsid w:val="007A1B76"/>
    <w:rsid w:val="007A3390"/>
    <w:rsid w:val="007A40D6"/>
    <w:rsid w:val="007A4C3B"/>
    <w:rsid w:val="007A4CFC"/>
    <w:rsid w:val="007A5722"/>
    <w:rsid w:val="007A6504"/>
    <w:rsid w:val="007B1407"/>
    <w:rsid w:val="007B2032"/>
    <w:rsid w:val="007B20A4"/>
    <w:rsid w:val="007B24B5"/>
    <w:rsid w:val="007B4310"/>
    <w:rsid w:val="007B4695"/>
    <w:rsid w:val="007B46AB"/>
    <w:rsid w:val="007B4CF0"/>
    <w:rsid w:val="007B52FC"/>
    <w:rsid w:val="007B5370"/>
    <w:rsid w:val="007B67F4"/>
    <w:rsid w:val="007B6F12"/>
    <w:rsid w:val="007C0923"/>
    <w:rsid w:val="007C151F"/>
    <w:rsid w:val="007C15F0"/>
    <w:rsid w:val="007C20B0"/>
    <w:rsid w:val="007C6612"/>
    <w:rsid w:val="007C7754"/>
    <w:rsid w:val="007D02F5"/>
    <w:rsid w:val="007D0A3F"/>
    <w:rsid w:val="007D0BB8"/>
    <w:rsid w:val="007D1138"/>
    <w:rsid w:val="007D1C30"/>
    <w:rsid w:val="007D1D8B"/>
    <w:rsid w:val="007D260A"/>
    <w:rsid w:val="007D27F5"/>
    <w:rsid w:val="007D305E"/>
    <w:rsid w:val="007D346A"/>
    <w:rsid w:val="007D34F7"/>
    <w:rsid w:val="007D3B54"/>
    <w:rsid w:val="007D3C3B"/>
    <w:rsid w:val="007D3E36"/>
    <w:rsid w:val="007D40F7"/>
    <w:rsid w:val="007D4135"/>
    <w:rsid w:val="007D5023"/>
    <w:rsid w:val="007D5180"/>
    <w:rsid w:val="007D5EF9"/>
    <w:rsid w:val="007D6A32"/>
    <w:rsid w:val="007D7402"/>
    <w:rsid w:val="007D7A21"/>
    <w:rsid w:val="007E1045"/>
    <w:rsid w:val="007E1ED9"/>
    <w:rsid w:val="007E3508"/>
    <w:rsid w:val="007E38C2"/>
    <w:rsid w:val="007E3917"/>
    <w:rsid w:val="007E4987"/>
    <w:rsid w:val="007E719E"/>
    <w:rsid w:val="007E7DBA"/>
    <w:rsid w:val="007F05FF"/>
    <w:rsid w:val="007F0DEB"/>
    <w:rsid w:val="007F2547"/>
    <w:rsid w:val="007F4F39"/>
    <w:rsid w:val="007F5B2F"/>
    <w:rsid w:val="007F637B"/>
    <w:rsid w:val="007F64A1"/>
    <w:rsid w:val="007F67C2"/>
    <w:rsid w:val="007F6AA0"/>
    <w:rsid w:val="007F6F8E"/>
    <w:rsid w:val="007F7A77"/>
    <w:rsid w:val="007F7E1B"/>
    <w:rsid w:val="008000A5"/>
    <w:rsid w:val="008005DE"/>
    <w:rsid w:val="00801CFB"/>
    <w:rsid w:val="008044EA"/>
    <w:rsid w:val="008054A7"/>
    <w:rsid w:val="00805E5C"/>
    <w:rsid w:val="00807290"/>
    <w:rsid w:val="00810D59"/>
    <w:rsid w:val="008110CA"/>
    <w:rsid w:val="00811483"/>
    <w:rsid w:val="008118AB"/>
    <w:rsid w:val="008118BE"/>
    <w:rsid w:val="008125CB"/>
    <w:rsid w:val="00812DE1"/>
    <w:rsid w:val="0081407A"/>
    <w:rsid w:val="0081448D"/>
    <w:rsid w:val="008145D3"/>
    <w:rsid w:val="00814700"/>
    <w:rsid w:val="00814C93"/>
    <w:rsid w:val="008153EF"/>
    <w:rsid w:val="0081583A"/>
    <w:rsid w:val="00815ADA"/>
    <w:rsid w:val="0081625A"/>
    <w:rsid w:val="00816AF6"/>
    <w:rsid w:val="00820335"/>
    <w:rsid w:val="00821179"/>
    <w:rsid w:val="008212B5"/>
    <w:rsid w:val="00821647"/>
    <w:rsid w:val="008248DF"/>
    <w:rsid w:val="00825258"/>
    <w:rsid w:val="00826533"/>
    <w:rsid w:val="008270C2"/>
    <w:rsid w:val="008271F8"/>
    <w:rsid w:val="0083038A"/>
    <w:rsid w:val="00830FCF"/>
    <w:rsid w:val="00831281"/>
    <w:rsid w:val="00834376"/>
    <w:rsid w:val="00836E94"/>
    <w:rsid w:val="00837F75"/>
    <w:rsid w:val="008404AE"/>
    <w:rsid w:val="0084067C"/>
    <w:rsid w:val="00841E31"/>
    <w:rsid w:val="00842385"/>
    <w:rsid w:val="008430C4"/>
    <w:rsid w:val="00844195"/>
    <w:rsid w:val="008450E9"/>
    <w:rsid w:val="00845C4E"/>
    <w:rsid w:val="008461F4"/>
    <w:rsid w:val="00847CC1"/>
    <w:rsid w:val="00850A5C"/>
    <w:rsid w:val="00852D2B"/>
    <w:rsid w:val="008530E2"/>
    <w:rsid w:val="008533CC"/>
    <w:rsid w:val="00853DF4"/>
    <w:rsid w:val="0085563D"/>
    <w:rsid w:val="00855850"/>
    <w:rsid w:val="00855D59"/>
    <w:rsid w:val="008563E9"/>
    <w:rsid w:val="00857637"/>
    <w:rsid w:val="00857FEB"/>
    <w:rsid w:val="00860EF7"/>
    <w:rsid w:val="00861D38"/>
    <w:rsid w:val="00862344"/>
    <w:rsid w:val="00862FEC"/>
    <w:rsid w:val="00864762"/>
    <w:rsid w:val="00866017"/>
    <w:rsid w:val="008660F3"/>
    <w:rsid w:val="00867061"/>
    <w:rsid w:val="008675E1"/>
    <w:rsid w:val="0086789C"/>
    <w:rsid w:val="008703E5"/>
    <w:rsid w:val="008708AA"/>
    <w:rsid w:val="0087187C"/>
    <w:rsid w:val="00871A75"/>
    <w:rsid w:val="0087251A"/>
    <w:rsid w:val="008731FF"/>
    <w:rsid w:val="00873E66"/>
    <w:rsid w:val="00873F56"/>
    <w:rsid w:val="0087670A"/>
    <w:rsid w:val="00876802"/>
    <w:rsid w:val="008768A0"/>
    <w:rsid w:val="00880F39"/>
    <w:rsid w:val="00881BE2"/>
    <w:rsid w:val="00882073"/>
    <w:rsid w:val="00882DB5"/>
    <w:rsid w:val="00885416"/>
    <w:rsid w:val="0088616F"/>
    <w:rsid w:val="008865D9"/>
    <w:rsid w:val="008868AC"/>
    <w:rsid w:val="00886BEA"/>
    <w:rsid w:val="0088703E"/>
    <w:rsid w:val="008874C6"/>
    <w:rsid w:val="0088762F"/>
    <w:rsid w:val="00887C95"/>
    <w:rsid w:val="0089189D"/>
    <w:rsid w:val="008923C4"/>
    <w:rsid w:val="00892F29"/>
    <w:rsid w:val="00892F51"/>
    <w:rsid w:val="00893AC5"/>
    <w:rsid w:val="00893DCA"/>
    <w:rsid w:val="00894FB2"/>
    <w:rsid w:val="00897A76"/>
    <w:rsid w:val="008A0646"/>
    <w:rsid w:val="008A08AD"/>
    <w:rsid w:val="008A0CBA"/>
    <w:rsid w:val="008A21DD"/>
    <w:rsid w:val="008A3C90"/>
    <w:rsid w:val="008A5584"/>
    <w:rsid w:val="008A6A66"/>
    <w:rsid w:val="008A70DC"/>
    <w:rsid w:val="008A7745"/>
    <w:rsid w:val="008A7D3F"/>
    <w:rsid w:val="008B196C"/>
    <w:rsid w:val="008B1A26"/>
    <w:rsid w:val="008B22A4"/>
    <w:rsid w:val="008B2CEC"/>
    <w:rsid w:val="008B3339"/>
    <w:rsid w:val="008B5DF3"/>
    <w:rsid w:val="008C070D"/>
    <w:rsid w:val="008C269E"/>
    <w:rsid w:val="008C2E79"/>
    <w:rsid w:val="008C58E4"/>
    <w:rsid w:val="008C5B1C"/>
    <w:rsid w:val="008C5EF5"/>
    <w:rsid w:val="008C7185"/>
    <w:rsid w:val="008C76BB"/>
    <w:rsid w:val="008D0A11"/>
    <w:rsid w:val="008D0F50"/>
    <w:rsid w:val="008D1F86"/>
    <w:rsid w:val="008D2812"/>
    <w:rsid w:val="008D29B3"/>
    <w:rsid w:val="008D35D4"/>
    <w:rsid w:val="008D3734"/>
    <w:rsid w:val="008D4E6C"/>
    <w:rsid w:val="008D5E64"/>
    <w:rsid w:val="008D5FF6"/>
    <w:rsid w:val="008D6EA0"/>
    <w:rsid w:val="008E025F"/>
    <w:rsid w:val="008E0C4C"/>
    <w:rsid w:val="008E2150"/>
    <w:rsid w:val="008E2982"/>
    <w:rsid w:val="008E2AD0"/>
    <w:rsid w:val="008E3039"/>
    <w:rsid w:val="008E31D5"/>
    <w:rsid w:val="008E48AE"/>
    <w:rsid w:val="008E4DFB"/>
    <w:rsid w:val="008E5D8E"/>
    <w:rsid w:val="008E68AC"/>
    <w:rsid w:val="008E79C5"/>
    <w:rsid w:val="008F14C2"/>
    <w:rsid w:val="008F1D30"/>
    <w:rsid w:val="008F3B9F"/>
    <w:rsid w:val="008F3CDB"/>
    <w:rsid w:val="008F3D8B"/>
    <w:rsid w:val="008F408F"/>
    <w:rsid w:val="008F5A7D"/>
    <w:rsid w:val="008F64F1"/>
    <w:rsid w:val="008F6FA2"/>
    <w:rsid w:val="008F718F"/>
    <w:rsid w:val="00900B09"/>
    <w:rsid w:val="00900EEA"/>
    <w:rsid w:val="00902DAA"/>
    <w:rsid w:val="00902F7E"/>
    <w:rsid w:val="009036B5"/>
    <w:rsid w:val="009038E5"/>
    <w:rsid w:val="009039A6"/>
    <w:rsid w:val="00904975"/>
    <w:rsid w:val="00907A20"/>
    <w:rsid w:val="00907C5D"/>
    <w:rsid w:val="009105C2"/>
    <w:rsid w:val="009105D4"/>
    <w:rsid w:val="009113A9"/>
    <w:rsid w:val="0091305F"/>
    <w:rsid w:val="00913B91"/>
    <w:rsid w:val="00913BF5"/>
    <w:rsid w:val="00913FAB"/>
    <w:rsid w:val="009144B5"/>
    <w:rsid w:val="009148BB"/>
    <w:rsid w:val="00914BE8"/>
    <w:rsid w:val="009152B6"/>
    <w:rsid w:val="0091532D"/>
    <w:rsid w:val="009161EA"/>
    <w:rsid w:val="0091656F"/>
    <w:rsid w:val="00917245"/>
    <w:rsid w:val="00921232"/>
    <w:rsid w:val="009214AF"/>
    <w:rsid w:val="009216CF"/>
    <w:rsid w:val="0092363A"/>
    <w:rsid w:val="00924012"/>
    <w:rsid w:val="009250C1"/>
    <w:rsid w:val="009255BB"/>
    <w:rsid w:val="00925630"/>
    <w:rsid w:val="009262AB"/>
    <w:rsid w:val="0092686E"/>
    <w:rsid w:val="009269A1"/>
    <w:rsid w:val="0093105D"/>
    <w:rsid w:val="009311AE"/>
    <w:rsid w:val="00931B82"/>
    <w:rsid w:val="00931EFA"/>
    <w:rsid w:val="00932632"/>
    <w:rsid w:val="0093286E"/>
    <w:rsid w:val="00933162"/>
    <w:rsid w:val="00933788"/>
    <w:rsid w:val="00934165"/>
    <w:rsid w:val="0093473C"/>
    <w:rsid w:val="00935772"/>
    <w:rsid w:val="009373B2"/>
    <w:rsid w:val="00943089"/>
    <w:rsid w:val="009433FA"/>
    <w:rsid w:val="00943674"/>
    <w:rsid w:val="00943D09"/>
    <w:rsid w:val="00945B8B"/>
    <w:rsid w:val="00945DA6"/>
    <w:rsid w:val="00945DDA"/>
    <w:rsid w:val="0094606E"/>
    <w:rsid w:val="00946BCB"/>
    <w:rsid w:val="009477CE"/>
    <w:rsid w:val="0094799B"/>
    <w:rsid w:val="00950186"/>
    <w:rsid w:val="00950735"/>
    <w:rsid w:val="00950B0E"/>
    <w:rsid w:val="00950E95"/>
    <w:rsid w:val="009520D8"/>
    <w:rsid w:val="00953416"/>
    <w:rsid w:val="00953654"/>
    <w:rsid w:val="00953AB8"/>
    <w:rsid w:val="009550C0"/>
    <w:rsid w:val="00955627"/>
    <w:rsid w:val="00957D2D"/>
    <w:rsid w:val="00961B10"/>
    <w:rsid w:val="0096224B"/>
    <w:rsid w:val="009632AD"/>
    <w:rsid w:val="009637CE"/>
    <w:rsid w:val="0096431B"/>
    <w:rsid w:val="00964BED"/>
    <w:rsid w:val="00965957"/>
    <w:rsid w:val="00967168"/>
    <w:rsid w:val="00970900"/>
    <w:rsid w:val="00971026"/>
    <w:rsid w:val="0097126D"/>
    <w:rsid w:val="00974106"/>
    <w:rsid w:val="00974915"/>
    <w:rsid w:val="00974C79"/>
    <w:rsid w:val="00974D7D"/>
    <w:rsid w:val="0097533C"/>
    <w:rsid w:val="00976F45"/>
    <w:rsid w:val="00980331"/>
    <w:rsid w:val="00980399"/>
    <w:rsid w:val="009805EF"/>
    <w:rsid w:val="0098187F"/>
    <w:rsid w:val="009844D3"/>
    <w:rsid w:val="00984B46"/>
    <w:rsid w:val="00986166"/>
    <w:rsid w:val="009863F2"/>
    <w:rsid w:val="00986DBB"/>
    <w:rsid w:val="00990053"/>
    <w:rsid w:val="00990A8C"/>
    <w:rsid w:val="00990CD3"/>
    <w:rsid w:val="009917A1"/>
    <w:rsid w:val="00991A19"/>
    <w:rsid w:val="00992D86"/>
    <w:rsid w:val="00992DBC"/>
    <w:rsid w:val="00992F01"/>
    <w:rsid w:val="00993147"/>
    <w:rsid w:val="0099349A"/>
    <w:rsid w:val="00993FEF"/>
    <w:rsid w:val="0099477B"/>
    <w:rsid w:val="00994FBD"/>
    <w:rsid w:val="0099562E"/>
    <w:rsid w:val="00995785"/>
    <w:rsid w:val="0099616E"/>
    <w:rsid w:val="00996F4F"/>
    <w:rsid w:val="009972A6"/>
    <w:rsid w:val="009A08D7"/>
    <w:rsid w:val="009A22CA"/>
    <w:rsid w:val="009A23D9"/>
    <w:rsid w:val="009A2B77"/>
    <w:rsid w:val="009A456D"/>
    <w:rsid w:val="009A47FE"/>
    <w:rsid w:val="009A4A7A"/>
    <w:rsid w:val="009A57BE"/>
    <w:rsid w:val="009A600F"/>
    <w:rsid w:val="009A6AC6"/>
    <w:rsid w:val="009A6B82"/>
    <w:rsid w:val="009B1DD1"/>
    <w:rsid w:val="009B2BAD"/>
    <w:rsid w:val="009B2BF1"/>
    <w:rsid w:val="009B3CAE"/>
    <w:rsid w:val="009B57FB"/>
    <w:rsid w:val="009B618C"/>
    <w:rsid w:val="009B7361"/>
    <w:rsid w:val="009C0B15"/>
    <w:rsid w:val="009C14D1"/>
    <w:rsid w:val="009C2CB2"/>
    <w:rsid w:val="009C311A"/>
    <w:rsid w:val="009C4B5A"/>
    <w:rsid w:val="009C4FB3"/>
    <w:rsid w:val="009C643F"/>
    <w:rsid w:val="009C784B"/>
    <w:rsid w:val="009C7CEC"/>
    <w:rsid w:val="009C7E5F"/>
    <w:rsid w:val="009D0267"/>
    <w:rsid w:val="009D0711"/>
    <w:rsid w:val="009D1B7E"/>
    <w:rsid w:val="009D3DB9"/>
    <w:rsid w:val="009D3F56"/>
    <w:rsid w:val="009D4080"/>
    <w:rsid w:val="009D4CA6"/>
    <w:rsid w:val="009D5093"/>
    <w:rsid w:val="009D668C"/>
    <w:rsid w:val="009D76F5"/>
    <w:rsid w:val="009E1D9D"/>
    <w:rsid w:val="009E3042"/>
    <w:rsid w:val="009E55FF"/>
    <w:rsid w:val="009E61AD"/>
    <w:rsid w:val="009E6CF7"/>
    <w:rsid w:val="009F060D"/>
    <w:rsid w:val="009F09B3"/>
    <w:rsid w:val="009F1726"/>
    <w:rsid w:val="009F200F"/>
    <w:rsid w:val="009F3A31"/>
    <w:rsid w:val="009F7220"/>
    <w:rsid w:val="009F746F"/>
    <w:rsid w:val="009F78B9"/>
    <w:rsid w:val="00A005D1"/>
    <w:rsid w:val="00A0172A"/>
    <w:rsid w:val="00A01FAE"/>
    <w:rsid w:val="00A02820"/>
    <w:rsid w:val="00A02D22"/>
    <w:rsid w:val="00A02E52"/>
    <w:rsid w:val="00A0385D"/>
    <w:rsid w:val="00A03D0E"/>
    <w:rsid w:val="00A04D6F"/>
    <w:rsid w:val="00A0621D"/>
    <w:rsid w:val="00A07546"/>
    <w:rsid w:val="00A07F8A"/>
    <w:rsid w:val="00A10498"/>
    <w:rsid w:val="00A10C5E"/>
    <w:rsid w:val="00A12FDD"/>
    <w:rsid w:val="00A14A57"/>
    <w:rsid w:val="00A14DC4"/>
    <w:rsid w:val="00A151D9"/>
    <w:rsid w:val="00A16318"/>
    <w:rsid w:val="00A16608"/>
    <w:rsid w:val="00A17485"/>
    <w:rsid w:val="00A17DA7"/>
    <w:rsid w:val="00A2093E"/>
    <w:rsid w:val="00A20BD6"/>
    <w:rsid w:val="00A21C7F"/>
    <w:rsid w:val="00A22ABF"/>
    <w:rsid w:val="00A24C36"/>
    <w:rsid w:val="00A267F5"/>
    <w:rsid w:val="00A26E95"/>
    <w:rsid w:val="00A30269"/>
    <w:rsid w:val="00A3051E"/>
    <w:rsid w:val="00A30778"/>
    <w:rsid w:val="00A31315"/>
    <w:rsid w:val="00A313B6"/>
    <w:rsid w:val="00A31AD3"/>
    <w:rsid w:val="00A31B7C"/>
    <w:rsid w:val="00A3276D"/>
    <w:rsid w:val="00A32AA9"/>
    <w:rsid w:val="00A3384B"/>
    <w:rsid w:val="00A349CA"/>
    <w:rsid w:val="00A35265"/>
    <w:rsid w:val="00A35339"/>
    <w:rsid w:val="00A37817"/>
    <w:rsid w:val="00A40ABC"/>
    <w:rsid w:val="00A41827"/>
    <w:rsid w:val="00A429FD"/>
    <w:rsid w:val="00A43029"/>
    <w:rsid w:val="00A44574"/>
    <w:rsid w:val="00A4483C"/>
    <w:rsid w:val="00A45007"/>
    <w:rsid w:val="00A45450"/>
    <w:rsid w:val="00A4762F"/>
    <w:rsid w:val="00A476F6"/>
    <w:rsid w:val="00A47981"/>
    <w:rsid w:val="00A5030F"/>
    <w:rsid w:val="00A50BC4"/>
    <w:rsid w:val="00A50F6F"/>
    <w:rsid w:val="00A51084"/>
    <w:rsid w:val="00A52511"/>
    <w:rsid w:val="00A5317C"/>
    <w:rsid w:val="00A5507D"/>
    <w:rsid w:val="00A6128F"/>
    <w:rsid w:val="00A62113"/>
    <w:rsid w:val="00A63013"/>
    <w:rsid w:val="00A6393A"/>
    <w:rsid w:val="00A645B7"/>
    <w:rsid w:val="00A65BA4"/>
    <w:rsid w:val="00A65F2A"/>
    <w:rsid w:val="00A66219"/>
    <w:rsid w:val="00A7038E"/>
    <w:rsid w:val="00A7170D"/>
    <w:rsid w:val="00A71E95"/>
    <w:rsid w:val="00A72895"/>
    <w:rsid w:val="00A75EE9"/>
    <w:rsid w:val="00A76B3A"/>
    <w:rsid w:val="00A770FD"/>
    <w:rsid w:val="00A774B1"/>
    <w:rsid w:val="00A774EE"/>
    <w:rsid w:val="00A77556"/>
    <w:rsid w:val="00A77563"/>
    <w:rsid w:val="00A77832"/>
    <w:rsid w:val="00A8056F"/>
    <w:rsid w:val="00A80FA5"/>
    <w:rsid w:val="00A81589"/>
    <w:rsid w:val="00A834ED"/>
    <w:rsid w:val="00A84AC5"/>
    <w:rsid w:val="00A86597"/>
    <w:rsid w:val="00A8693D"/>
    <w:rsid w:val="00A87F2E"/>
    <w:rsid w:val="00A90916"/>
    <w:rsid w:val="00A917E3"/>
    <w:rsid w:val="00A918B9"/>
    <w:rsid w:val="00A93176"/>
    <w:rsid w:val="00A933F6"/>
    <w:rsid w:val="00A940E1"/>
    <w:rsid w:val="00A95CE3"/>
    <w:rsid w:val="00A96C83"/>
    <w:rsid w:val="00A970B3"/>
    <w:rsid w:val="00A97760"/>
    <w:rsid w:val="00A97B73"/>
    <w:rsid w:val="00AA10D6"/>
    <w:rsid w:val="00AA1CDF"/>
    <w:rsid w:val="00AA2066"/>
    <w:rsid w:val="00AA2927"/>
    <w:rsid w:val="00AA5365"/>
    <w:rsid w:val="00AB0A33"/>
    <w:rsid w:val="00AB0DB0"/>
    <w:rsid w:val="00AB1981"/>
    <w:rsid w:val="00AB19D0"/>
    <w:rsid w:val="00AB254C"/>
    <w:rsid w:val="00AB303C"/>
    <w:rsid w:val="00AB3B92"/>
    <w:rsid w:val="00AB5020"/>
    <w:rsid w:val="00AB5794"/>
    <w:rsid w:val="00AB603B"/>
    <w:rsid w:val="00AB63F4"/>
    <w:rsid w:val="00AB754B"/>
    <w:rsid w:val="00AB7D64"/>
    <w:rsid w:val="00AC0143"/>
    <w:rsid w:val="00AC265A"/>
    <w:rsid w:val="00AC2F0E"/>
    <w:rsid w:val="00AC34A0"/>
    <w:rsid w:val="00AC4C12"/>
    <w:rsid w:val="00AC542B"/>
    <w:rsid w:val="00AC5433"/>
    <w:rsid w:val="00AC5B29"/>
    <w:rsid w:val="00AD001F"/>
    <w:rsid w:val="00AD1228"/>
    <w:rsid w:val="00AD14EE"/>
    <w:rsid w:val="00AD1846"/>
    <w:rsid w:val="00AD23B5"/>
    <w:rsid w:val="00AD2873"/>
    <w:rsid w:val="00AD369A"/>
    <w:rsid w:val="00AD57B9"/>
    <w:rsid w:val="00AD5C1B"/>
    <w:rsid w:val="00AD66DD"/>
    <w:rsid w:val="00AD6B9A"/>
    <w:rsid w:val="00AD7C70"/>
    <w:rsid w:val="00AE17FD"/>
    <w:rsid w:val="00AE30CB"/>
    <w:rsid w:val="00AE3269"/>
    <w:rsid w:val="00AE35A4"/>
    <w:rsid w:val="00AE399B"/>
    <w:rsid w:val="00AE4463"/>
    <w:rsid w:val="00AE5240"/>
    <w:rsid w:val="00AE6237"/>
    <w:rsid w:val="00AE7E39"/>
    <w:rsid w:val="00AF0BD5"/>
    <w:rsid w:val="00AF1C65"/>
    <w:rsid w:val="00AF2376"/>
    <w:rsid w:val="00AF2D56"/>
    <w:rsid w:val="00AF3875"/>
    <w:rsid w:val="00AF39CD"/>
    <w:rsid w:val="00AF3A25"/>
    <w:rsid w:val="00AF3C45"/>
    <w:rsid w:val="00AF45E9"/>
    <w:rsid w:val="00AF5D6C"/>
    <w:rsid w:val="00AF6277"/>
    <w:rsid w:val="00AF6B83"/>
    <w:rsid w:val="00AF71CF"/>
    <w:rsid w:val="00AF7357"/>
    <w:rsid w:val="00AF7485"/>
    <w:rsid w:val="00AF7A14"/>
    <w:rsid w:val="00B00C43"/>
    <w:rsid w:val="00B02122"/>
    <w:rsid w:val="00B02879"/>
    <w:rsid w:val="00B02A6D"/>
    <w:rsid w:val="00B035DD"/>
    <w:rsid w:val="00B048B3"/>
    <w:rsid w:val="00B04F54"/>
    <w:rsid w:val="00B06863"/>
    <w:rsid w:val="00B06ACA"/>
    <w:rsid w:val="00B07324"/>
    <w:rsid w:val="00B11946"/>
    <w:rsid w:val="00B129F5"/>
    <w:rsid w:val="00B12EEE"/>
    <w:rsid w:val="00B13020"/>
    <w:rsid w:val="00B13190"/>
    <w:rsid w:val="00B13910"/>
    <w:rsid w:val="00B140FA"/>
    <w:rsid w:val="00B1449D"/>
    <w:rsid w:val="00B14925"/>
    <w:rsid w:val="00B14E91"/>
    <w:rsid w:val="00B15B00"/>
    <w:rsid w:val="00B1616F"/>
    <w:rsid w:val="00B168A1"/>
    <w:rsid w:val="00B16D4C"/>
    <w:rsid w:val="00B20A56"/>
    <w:rsid w:val="00B20AF9"/>
    <w:rsid w:val="00B20E59"/>
    <w:rsid w:val="00B214AB"/>
    <w:rsid w:val="00B224B1"/>
    <w:rsid w:val="00B241E0"/>
    <w:rsid w:val="00B24269"/>
    <w:rsid w:val="00B24539"/>
    <w:rsid w:val="00B24827"/>
    <w:rsid w:val="00B25152"/>
    <w:rsid w:val="00B251C7"/>
    <w:rsid w:val="00B25BE7"/>
    <w:rsid w:val="00B2661D"/>
    <w:rsid w:val="00B26DEE"/>
    <w:rsid w:val="00B31BAB"/>
    <w:rsid w:val="00B32017"/>
    <w:rsid w:val="00B32283"/>
    <w:rsid w:val="00B33753"/>
    <w:rsid w:val="00B35FC0"/>
    <w:rsid w:val="00B361A5"/>
    <w:rsid w:val="00B36B0B"/>
    <w:rsid w:val="00B37716"/>
    <w:rsid w:val="00B4016D"/>
    <w:rsid w:val="00B40C65"/>
    <w:rsid w:val="00B424F3"/>
    <w:rsid w:val="00B42A7A"/>
    <w:rsid w:val="00B42FD2"/>
    <w:rsid w:val="00B43E5D"/>
    <w:rsid w:val="00B4541A"/>
    <w:rsid w:val="00B455E4"/>
    <w:rsid w:val="00B465E2"/>
    <w:rsid w:val="00B47111"/>
    <w:rsid w:val="00B5073F"/>
    <w:rsid w:val="00B523DF"/>
    <w:rsid w:val="00B53407"/>
    <w:rsid w:val="00B53C80"/>
    <w:rsid w:val="00B53E64"/>
    <w:rsid w:val="00B54922"/>
    <w:rsid w:val="00B56F4D"/>
    <w:rsid w:val="00B60768"/>
    <w:rsid w:val="00B61CD7"/>
    <w:rsid w:val="00B61D31"/>
    <w:rsid w:val="00B62118"/>
    <w:rsid w:val="00B62E5E"/>
    <w:rsid w:val="00B64B0A"/>
    <w:rsid w:val="00B64C57"/>
    <w:rsid w:val="00B64DA6"/>
    <w:rsid w:val="00B64E6B"/>
    <w:rsid w:val="00B65A97"/>
    <w:rsid w:val="00B66692"/>
    <w:rsid w:val="00B70029"/>
    <w:rsid w:val="00B701E2"/>
    <w:rsid w:val="00B713E1"/>
    <w:rsid w:val="00B717CB"/>
    <w:rsid w:val="00B72674"/>
    <w:rsid w:val="00B72A25"/>
    <w:rsid w:val="00B72E93"/>
    <w:rsid w:val="00B7397D"/>
    <w:rsid w:val="00B73C82"/>
    <w:rsid w:val="00B74DBA"/>
    <w:rsid w:val="00B75676"/>
    <w:rsid w:val="00B75DCC"/>
    <w:rsid w:val="00B76716"/>
    <w:rsid w:val="00B77A0D"/>
    <w:rsid w:val="00B77E49"/>
    <w:rsid w:val="00B812CD"/>
    <w:rsid w:val="00B8135B"/>
    <w:rsid w:val="00B81C1C"/>
    <w:rsid w:val="00B82082"/>
    <w:rsid w:val="00B822B2"/>
    <w:rsid w:val="00B828DA"/>
    <w:rsid w:val="00B8293B"/>
    <w:rsid w:val="00B82AB2"/>
    <w:rsid w:val="00B8482C"/>
    <w:rsid w:val="00B84CA4"/>
    <w:rsid w:val="00B8655B"/>
    <w:rsid w:val="00B87B40"/>
    <w:rsid w:val="00B914C4"/>
    <w:rsid w:val="00B92367"/>
    <w:rsid w:val="00B928F1"/>
    <w:rsid w:val="00B942E0"/>
    <w:rsid w:val="00B948BA"/>
    <w:rsid w:val="00B94959"/>
    <w:rsid w:val="00B94C9E"/>
    <w:rsid w:val="00B9592D"/>
    <w:rsid w:val="00B9618D"/>
    <w:rsid w:val="00B97206"/>
    <w:rsid w:val="00B97502"/>
    <w:rsid w:val="00BA008A"/>
    <w:rsid w:val="00BA1796"/>
    <w:rsid w:val="00BA2042"/>
    <w:rsid w:val="00BA23B8"/>
    <w:rsid w:val="00BA2512"/>
    <w:rsid w:val="00BA294B"/>
    <w:rsid w:val="00BA2988"/>
    <w:rsid w:val="00BA2FE4"/>
    <w:rsid w:val="00BA4851"/>
    <w:rsid w:val="00BA4A98"/>
    <w:rsid w:val="00BA57D7"/>
    <w:rsid w:val="00BA6DC7"/>
    <w:rsid w:val="00BA71AA"/>
    <w:rsid w:val="00BA7432"/>
    <w:rsid w:val="00BA74F8"/>
    <w:rsid w:val="00BA78FE"/>
    <w:rsid w:val="00BB04D6"/>
    <w:rsid w:val="00BB0BE9"/>
    <w:rsid w:val="00BB1999"/>
    <w:rsid w:val="00BB396D"/>
    <w:rsid w:val="00BB3EEC"/>
    <w:rsid w:val="00BB4009"/>
    <w:rsid w:val="00BB69CE"/>
    <w:rsid w:val="00BB6F3B"/>
    <w:rsid w:val="00BB7BCF"/>
    <w:rsid w:val="00BC0F9D"/>
    <w:rsid w:val="00BC130F"/>
    <w:rsid w:val="00BC14DE"/>
    <w:rsid w:val="00BC3321"/>
    <w:rsid w:val="00BC42F4"/>
    <w:rsid w:val="00BC447D"/>
    <w:rsid w:val="00BC4507"/>
    <w:rsid w:val="00BD01DF"/>
    <w:rsid w:val="00BD08E2"/>
    <w:rsid w:val="00BD1923"/>
    <w:rsid w:val="00BD1A87"/>
    <w:rsid w:val="00BD2230"/>
    <w:rsid w:val="00BD37EA"/>
    <w:rsid w:val="00BE0B61"/>
    <w:rsid w:val="00BE1508"/>
    <w:rsid w:val="00BE161A"/>
    <w:rsid w:val="00BE187F"/>
    <w:rsid w:val="00BE241D"/>
    <w:rsid w:val="00BE24CA"/>
    <w:rsid w:val="00BE3438"/>
    <w:rsid w:val="00BE3596"/>
    <w:rsid w:val="00BE4215"/>
    <w:rsid w:val="00BE45C3"/>
    <w:rsid w:val="00BE498B"/>
    <w:rsid w:val="00BE5225"/>
    <w:rsid w:val="00BE5467"/>
    <w:rsid w:val="00BE5C13"/>
    <w:rsid w:val="00BE62AA"/>
    <w:rsid w:val="00BE7C8C"/>
    <w:rsid w:val="00BF0B16"/>
    <w:rsid w:val="00BF0B1A"/>
    <w:rsid w:val="00BF2784"/>
    <w:rsid w:val="00BF3205"/>
    <w:rsid w:val="00BF3745"/>
    <w:rsid w:val="00BF4E17"/>
    <w:rsid w:val="00BF52D8"/>
    <w:rsid w:val="00BF5D29"/>
    <w:rsid w:val="00BF5E2A"/>
    <w:rsid w:val="00BF5E7E"/>
    <w:rsid w:val="00BF61C4"/>
    <w:rsid w:val="00BF7A00"/>
    <w:rsid w:val="00BF7D6B"/>
    <w:rsid w:val="00C01C69"/>
    <w:rsid w:val="00C0221F"/>
    <w:rsid w:val="00C0226A"/>
    <w:rsid w:val="00C03798"/>
    <w:rsid w:val="00C03E13"/>
    <w:rsid w:val="00C0454B"/>
    <w:rsid w:val="00C045BC"/>
    <w:rsid w:val="00C0540B"/>
    <w:rsid w:val="00C05966"/>
    <w:rsid w:val="00C06406"/>
    <w:rsid w:val="00C102E9"/>
    <w:rsid w:val="00C1030D"/>
    <w:rsid w:val="00C105BD"/>
    <w:rsid w:val="00C105F0"/>
    <w:rsid w:val="00C11172"/>
    <w:rsid w:val="00C1206D"/>
    <w:rsid w:val="00C13620"/>
    <w:rsid w:val="00C13663"/>
    <w:rsid w:val="00C14A76"/>
    <w:rsid w:val="00C15B79"/>
    <w:rsid w:val="00C16597"/>
    <w:rsid w:val="00C17BD6"/>
    <w:rsid w:val="00C17DCC"/>
    <w:rsid w:val="00C207BA"/>
    <w:rsid w:val="00C21018"/>
    <w:rsid w:val="00C21152"/>
    <w:rsid w:val="00C217B9"/>
    <w:rsid w:val="00C21997"/>
    <w:rsid w:val="00C21E73"/>
    <w:rsid w:val="00C227F5"/>
    <w:rsid w:val="00C229E9"/>
    <w:rsid w:val="00C231E0"/>
    <w:rsid w:val="00C2336D"/>
    <w:rsid w:val="00C23924"/>
    <w:rsid w:val="00C23949"/>
    <w:rsid w:val="00C23EF9"/>
    <w:rsid w:val="00C2446F"/>
    <w:rsid w:val="00C26972"/>
    <w:rsid w:val="00C26FED"/>
    <w:rsid w:val="00C27792"/>
    <w:rsid w:val="00C27918"/>
    <w:rsid w:val="00C30075"/>
    <w:rsid w:val="00C31764"/>
    <w:rsid w:val="00C32101"/>
    <w:rsid w:val="00C32F2A"/>
    <w:rsid w:val="00C35A92"/>
    <w:rsid w:val="00C361D3"/>
    <w:rsid w:val="00C36D47"/>
    <w:rsid w:val="00C36F5E"/>
    <w:rsid w:val="00C37E52"/>
    <w:rsid w:val="00C40E36"/>
    <w:rsid w:val="00C41F5F"/>
    <w:rsid w:val="00C42075"/>
    <w:rsid w:val="00C428B2"/>
    <w:rsid w:val="00C43056"/>
    <w:rsid w:val="00C43306"/>
    <w:rsid w:val="00C44337"/>
    <w:rsid w:val="00C45FF6"/>
    <w:rsid w:val="00C466CE"/>
    <w:rsid w:val="00C46D2D"/>
    <w:rsid w:val="00C50630"/>
    <w:rsid w:val="00C50A72"/>
    <w:rsid w:val="00C512E7"/>
    <w:rsid w:val="00C51797"/>
    <w:rsid w:val="00C523D0"/>
    <w:rsid w:val="00C53A21"/>
    <w:rsid w:val="00C53CF5"/>
    <w:rsid w:val="00C54E3E"/>
    <w:rsid w:val="00C55F01"/>
    <w:rsid w:val="00C56493"/>
    <w:rsid w:val="00C57782"/>
    <w:rsid w:val="00C57D6F"/>
    <w:rsid w:val="00C601C0"/>
    <w:rsid w:val="00C613F9"/>
    <w:rsid w:val="00C622F3"/>
    <w:rsid w:val="00C63365"/>
    <w:rsid w:val="00C6349E"/>
    <w:rsid w:val="00C63B65"/>
    <w:rsid w:val="00C63BE2"/>
    <w:rsid w:val="00C63ECC"/>
    <w:rsid w:val="00C641BD"/>
    <w:rsid w:val="00C64425"/>
    <w:rsid w:val="00C65C34"/>
    <w:rsid w:val="00C662EF"/>
    <w:rsid w:val="00C702A5"/>
    <w:rsid w:val="00C70701"/>
    <w:rsid w:val="00C70D19"/>
    <w:rsid w:val="00C70F82"/>
    <w:rsid w:val="00C71B19"/>
    <w:rsid w:val="00C71C58"/>
    <w:rsid w:val="00C72449"/>
    <w:rsid w:val="00C727C4"/>
    <w:rsid w:val="00C73FEE"/>
    <w:rsid w:val="00C74AC1"/>
    <w:rsid w:val="00C75A78"/>
    <w:rsid w:val="00C76808"/>
    <w:rsid w:val="00C76AB9"/>
    <w:rsid w:val="00C809DB"/>
    <w:rsid w:val="00C80AB0"/>
    <w:rsid w:val="00C8177B"/>
    <w:rsid w:val="00C81A8C"/>
    <w:rsid w:val="00C82DFE"/>
    <w:rsid w:val="00C84F2D"/>
    <w:rsid w:val="00C850A1"/>
    <w:rsid w:val="00C865AE"/>
    <w:rsid w:val="00C86C04"/>
    <w:rsid w:val="00C86E1A"/>
    <w:rsid w:val="00C872D3"/>
    <w:rsid w:val="00C8781E"/>
    <w:rsid w:val="00C87A31"/>
    <w:rsid w:val="00C906B5"/>
    <w:rsid w:val="00C91217"/>
    <w:rsid w:val="00C916E8"/>
    <w:rsid w:val="00C925B1"/>
    <w:rsid w:val="00C93852"/>
    <w:rsid w:val="00C93E0F"/>
    <w:rsid w:val="00C95471"/>
    <w:rsid w:val="00C95E76"/>
    <w:rsid w:val="00C960E6"/>
    <w:rsid w:val="00C96F77"/>
    <w:rsid w:val="00C975DB"/>
    <w:rsid w:val="00CA04C0"/>
    <w:rsid w:val="00CA0C34"/>
    <w:rsid w:val="00CA1B8C"/>
    <w:rsid w:val="00CA420B"/>
    <w:rsid w:val="00CA54EB"/>
    <w:rsid w:val="00CA5724"/>
    <w:rsid w:val="00CA609C"/>
    <w:rsid w:val="00CA710B"/>
    <w:rsid w:val="00CA7160"/>
    <w:rsid w:val="00CB1AA4"/>
    <w:rsid w:val="00CB1EAB"/>
    <w:rsid w:val="00CB1F1F"/>
    <w:rsid w:val="00CB30F7"/>
    <w:rsid w:val="00CB3FEC"/>
    <w:rsid w:val="00CB4374"/>
    <w:rsid w:val="00CB4507"/>
    <w:rsid w:val="00CB4D5E"/>
    <w:rsid w:val="00CB4E0C"/>
    <w:rsid w:val="00CB4F1E"/>
    <w:rsid w:val="00CB52AC"/>
    <w:rsid w:val="00CB5909"/>
    <w:rsid w:val="00CB67E2"/>
    <w:rsid w:val="00CB69F9"/>
    <w:rsid w:val="00CC0263"/>
    <w:rsid w:val="00CC0A96"/>
    <w:rsid w:val="00CC20C6"/>
    <w:rsid w:val="00CC4DDE"/>
    <w:rsid w:val="00CC5087"/>
    <w:rsid w:val="00CC708B"/>
    <w:rsid w:val="00CD1AEF"/>
    <w:rsid w:val="00CD1D33"/>
    <w:rsid w:val="00CD1FB0"/>
    <w:rsid w:val="00CD4B66"/>
    <w:rsid w:val="00CD4CE6"/>
    <w:rsid w:val="00CD4CFF"/>
    <w:rsid w:val="00CD4E8D"/>
    <w:rsid w:val="00CD4EC0"/>
    <w:rsid w:val="00CD5506"/>
    <w:rsid w:val="00CD6476"/>
    <w:rsid w:val="00CD6503"/>
    <w:rsid w:val="00CE0C75"/>
    <w:rsid w:val="00CE0EF6"/>
    <w:rsid w:val="00CE154B"/>
    <w:rsid w:val="00CE1555"/>
    <w:rsid w:val="00CE2E9D"/>
    <w:rsid w:val="00CE31DE"/>
    <w:rsid w:val="00CE4683"/>
    <w:rsid w:val="00CE4867"/>
    <w:rsid w:val="00CE53D1"/>
    <w:rsid w:val="00CE545F"/>
    <w:rsid w:val="00CE57C3"/>
    <w:rsid w:val="00CE5F05"/>
    <w:rsid w:val="00CE6068"/>
    <w:rsid w:val="00CE6EBA"/>
    <w:rsid w:val="00CE7A5E"/>
    <w:rsid w:val="00CF03BA"/>
    <w:rsid w:val="00CF08C5"/>
    <w:rsid w:val="00CF2BB2"/>
    <w:rsid w:val="00CF2D93"/>
    <w:rsid w:val="00CF2DC1"/>
    <w:rsid w:val="00CF2E35"/>
    <w:rsid w:val="00CF2E94"/>
    <w:rsid w:val="00CF2EBB"/>
    <w:rsid w:val="00CF371E"/>
    <w:rsid w:val="00CF38F6"/>
    <w:rsid w:val="00CF45FB"/>
    <w:rsid w:val="00CF576E"/>
    <w:rsid w:val="00CF5BE5"/>
    <w:rsid w:val="00CF60F6"/>
    <w:rsid w:val="00CF737C"/>
    <w:rsid w:val="00CF75F1"/>
    <w:rsid w:val="00D0000B"/>
    <w:rsid w:val="00D0056C"/>
    <w:rsid w:val="00D00EFE"/>
    <w:rsid w:val="00D020BA"/>
    <w:rsid w:val="00D020E7"/>
    <w:rsid w:val="00D036F5"/>
    <w:rsid w:val="00D05B90"/>
    <w:rsid w:val="00D05DF9"/>
    <w:rsid w:val="00D06F0F"/>
    <w:rsid w:val="00D07CD2"/>
    <w:rsid w:val="00D07DE4"/>
    <w:rsid w:val="00D122F4"/>
    <w:rsid w:val="00D143AA"/>
    <w:rsid w:val="00D1486A"/>
    <w:rsid w:val="00D14C35"/>
    <w:rsid w:val="00D15050"/>
    <w:rsid w:val="00D15424"/>
    <w:rsid w:val="00D1584B"/>
    <w:rsid w:val="00D1614D"/>
    <w:rsid w:val="00D16187"/>
    <w:rsid w:val="00D1662A"/>
    <w:rsid w:val="00D174B5"/>
    <w:rsid w:val="00D17C17"/>
    <w:rsid w:val="00D217C4"/>
    <w:rsid w:val="00D22D40"/>
    <w:rsid w:val="00D23849"/>
    <w:rsid w:val="00D24126"/>
    <w:rsid w:val="00D24E0D"/>
    <w:rsid w:val="00D25054"/>
    <w:rsid w:val="00D25517"/>
    <w:rsid w:val="00D25852"/>
    <w:rsid w:val="00D25BFD"/>
    <w:rsid w:val="00D26918"/>
    <w:rsid w:val="00D26A98"/>
    <w:rsid w:val="00D27208"/>
    <w:rsid w:val="00D275E8"/>
    <w:rsid w:val="00D27CA2"/>
    <w:rsid w:val="00D30259"/>
    <w:rsid w:val="00D303B1"/>
    <w:rsid w:val="00D33860"/>
    <w:rsid w:val="00D33AD5"/>
    <w:rsid w:val="00D3451F"/>
    <w:rsid w:val="00D352A5"/>
    <w:rsid w:val="00D372ED"/>
    <w:rsid w:val="00D37ECB"/>
    <w:rsid w:val="00D40698"/>
    <w:rsid w:val="00D40A85"/>
    <w:rsid w:val="00D40A8B"/>
    <w:rsid w:val="00D44021"/>
    <w:rsid w:val="00D44E19"/>
    <w:rsid w:val="00D45720"/>
    <w:rsid w:val="00D45D95"/>
    <w:rsid w:val="00D461BE"/>
    <w:rsid w:val="00D46451"/>
    <w:rsid w:val="00D47418"/>
    <w:rsid w:val="00D4771E"/>
    <w:rsid w:val="00D51CDD"/>
    <w:rsid w:val="00D51EF5"/>
    <w:rsid w:val="00D54015"/>
    <w:rsid w:val="00D54071"/>
    <w:rsid w:val="00D55991"/>
    <w:rsid w:val="00D55B17"/>
    <w:rsid w:val="00D5673A"/>
    <w:rsid w:val="00D5765B"/>
    <w:rsid w:val="00D57BF7"/>
    <w:rsid w:val="00D60346"/>
    <w:rsid w:val="00D606D1"/>
    <w:rsid w:val="00D6077C"/>
    <w:rsid w:val="00D617E3"/>
    <w:rsid w:val="00D629F4"/>
    <w:rsid w:val="00D62B98"/>
    <w:rsid w:val="00D62C83"/>
    <w:rsid w:val="00D62F1C"/>
    <w:rsid w:val="00D636AB"/>
    <w:rsid w:val="00D65888"/>
    <w:rsid w:val="00D66EA0"/>
    <w:rsid w:val="00D675A8"/>
    <w:rsid w:val="00D702AE"/>
    <w:rsid w:val="00D70369"/>
    <w:rsid w:val="00D70929"/>
    <w:rsid w:val="00D71159"/>
    <w:rsid w:val="00D741C2"/>
    <w:rsid w:val="00D7420C"/>
    <w:rsid w:val="00D745F1"/>
    <w:rsid w:val="00D75A27"/>
    <w:rsid w:val="00D76B8A"/>
    <w:rsid w:val="00D7702A"/>
    <w:rsid w:val="00D7729B"/>
    <w:rsid w:val="00D8037E"/>
    <w:rsid w:val="00D81A3D"/>
    <w:rsid w:val="00D8216D"/>
    <w:rsid w:val="00D82C93"/>
    <w:rsid w:val="00D82D6D"/>
    <w:rsid w:val="00D840EB"/>
    <w:rsid w:val="00D84155"/>
    <w:rsid w:val="00D84BD0"/>
    <w:rsid w:val="00D8524C"/>
    <w:rsid w:val="00D86058"/>
    <w:rsid w:val="00D867F8"/>
    <w:rsid w:val="00D87169"/>
    <w:rsid w:val="00D87391"/>
    <w:rsid w:val="00D877C8"/>
    <w:rsid w:val="00D923AC"/>
    <w:rsid w:val="00D93150"/>
    <w:rsid w:val="00D9335C"/>
    <w:rsid w:val="00D93616"/>
    <w:rsid w:val="00D93DB8"/>
    <w:rsid w:val="00D94A02"/>
    <w:rsid w:val="00D94C52"/>
    <w:rsid w:val="00D94FCC"/>
    <w:rsid w:val="00D9504A"/>
    <w:rsid w:val="00D96018"/>
    <w:rsid w:val="00D96267"/>
    <w:rsid w:val="00D96887"/>
    <w:rsid w:val="00D96E6D"/>
    <w:rsid w:val="00D96F8E"/>
    <w:rsid w:val="00D97666"/>
    <w:rsid w:val="00DA0ED0"/>
    <w:rsid w:val="00DA1D7E"/>
    <w:rsid w:val="00DA25EF"/>
    <w:rsid w:val="00DA2971"/>
    <w:rsid w:val="00DA2B07"/>
    <w:rsid w:val="00DA2B2E"/>
    <w:rsid w:val="00DA4015"/>
    <w:rsid w:val="00DA5083"/>
    <w:rsid w:val="00DA5781"/>
    <w:rsid w:val="00DA77E8"/>
    <w:rsid w:val="00DB0E7F"/>
    <w:rsid w:val="00DB21A5"/>
    <w:rsid w:val="00DB2907"/>
    <w:rsid w:val="00DB3342"/>
    <w:rsid w:val="00DB3BA8"/>
    <w:rsid w:val="00DB4077"/>
    <w:rsid w:val="00DB46E5"/>
    <w:rsid w:val="00DB5227"/>
    <w:rsid w:val="00DB5914"/>
    <w:rsid w:val="00DB5CF6"/>
    <w:rsid w:val="00DB6E57"/>
    <w:rsid w:val="00DB6EE7"/>
    <w:rsid w:val="00DC187D"/>
    <w:rsid w:val="00DC1B37"/>
    <w:rsid w:val="00DC1F5D"/>
    <w:rsid w:val="00DC2A3D"/>
    <w:rsid w:val="00DC3CED"/>
    <w:rsid w:val="00DC4C4D"/>
    <w:rsid w:val="00DC4FE8"/>
    <w:rsid w:val="00DC55D3"/>
    <w:rsid w:val="00DC5C92"/>
    <w:rsid w:val="00DC616A"/>
    <w:rsid w:val="00DC6260"/>
    <w:rsid w:val="00DC6390"/>
    <w:rsid w:val="00DC64FE"/>
    <w:rsid w:val="00DC705E"/>
    <w:rsid w:val="00DD00EC"/>
    <w:rsid w:val="00DD052E"/>
    <w:rsid w:val="00DD060C"/>
    <w:rsid w:val="00DD06A9"/>
    <w:rsid w:val="00DD22EB"/>
    <w:rsid w:val="00DD40EC"/>
    <w:rsid w:val="00DD4180"/>
    <w:rsid w:val="00DD5A7E"/>
    <w:rsid w:val="00DD5D10"/>
    <w:rsid w:val="00DD6C41"/>
    <w:rsid w:val="00DD770B"/>
    <w:rsid w:val="00DD7978"/>
    <w:rsid w:val="00DE0605"/>
    <w:rsid w:val="00DE1434"/>
    <w:rsid w:val="00DE1C52"/>
    <w:rsid w:val="00DE1E9F"/>
    <w:rsid w:val="00DE2CD4"/>
    <w:rsid w:val="00DE2FB6"/>
    <w:rsid w:val="00DE4689"/>
    <w:rsid w:val="00DE4B75"/>
    <w:rsid w:val="00DE6328"/>
    <w:rsid w:val="00DE6E0F"/>
    <w:rsid w:val="00DF09BA"/>
    <w:rsid w:val="00DF1B99"/>
    <w:rsid w:val="00DF27CB"/>
    <w:rsid w:val="00DF2B32"/>
    <w:rsid w:val="00DF57A2"/>
    <w:rsid w:val="00DF5CC5"/>
    <w:rsid w:val="00DF7D72"/>
    <w:rsid w:val="00E00487"/>
    <w:rsid w:val="00E00C15"/>
    <w:rsid w:val="00E0267F"/>
    <w:rsid w:val="00E027F5"/>
    <w:rsid w:val="00E030C7"/>
    <w:rsid w:val="00E0459B"/>
    <w:rsid w:val="00E04D33"/>
    <w:rsid w:val="00E051D1"/>
    <w:rsid w:val="00E06231"/>
    <w:rsid w:val="00E06420"/>
    <w:rsid w:val="00E069FE"/>
    <w:rsid w:val="00E06A6C"/>
    <w:rsid w:val="00E0706B"/>
    <w:rsid w:val="00E0734D"/>
    <w:rsid w:val="00E079F6"/>
    <w:rsid w:val="00E100DD"/>
    <w:rsid w:val="00E1025F"/>
    <w:rsid w:val="00E105A6"/>
    <w:rsid w:val="00E105F6"/>
    <w:rsid w:val="00E1116E"/>
    <w:rsid w:val="00E12A45"/>
    <w:rsid w:val="00E14702"/>
    <w:rsid w:val="00E14F89"/>
    <w:rsid w:val="00E15D7E"/>
    <w:rsid w:val="00E15DE7"/>
    <w:rsid w:val="00E15E36"/>
    <w:rsid w:val="00E15E8D"/>
    <w:rsid w:val="00E1610C"/>
    <w:rsid w:val="00E177AD"/>
    <w:rsid w:val="00E17C75"/>
    <w:rsid w:val="00E202BC"/>
    <w:rsid w:val="00E20AC7"/>
    <w:rsid w:val="00E20E15"/>
    <w:rsid w:val="00E21C70"/>
    <w:rsid w:val="00E22024"/>
    <w:rsid w:val="00E226D1"/>
    <w:rsid w:val="00E22A1F"/>
    <w:rsid w:val="00E22E42"/>
    <w:rsid w:val="00E23CBA"/>
    <w:rsid w:val="00E24101"/>
    <w:rsid w:val="00E24E13"/>
    <w:rsid w:val="00E256CD"/>
    <w:rsid w:val="00E25969"/>
    <w:rsid w:val="00E303B4"/>
    <w:rsid w:val="00E312E3"/>
    <w:rsid w:val="00E31B77"/>
    <w:rsid w:val="00E32840"/>
    <w:rsid w:val="00E33966"/>
    <w:rsid w:val="00E340AA"/>
    <w:rsid w:val="00E35DA5"/>
    <w:rsid w:val="00E366AC"/>
    <w:rsid w:val="00E36722"/>
    <w:rsid w:val="00E36944"/>
    <w:rsid w:val="00E36B92"/>
    <w:rsid w:val="00E3775B"/>
    <w:rsid w:val="00E378FD"/>
    <w:rsid w:val="00E40579"/>
    <w:rsid w:val="00E40952"/>
    <w:rsid w:val="00E42318"/>
    <w:rsid w:val="00E42F37"/>
    <w:rsid w:val="00E4341D"/>
    <w:rsid w:val="00E43B3E"/>
    <w:rsid w:val="00E4444A"/>
    <w:rsid w:val="00E46CB8"/>
    <w:rsid w:val="00E50C23"/>
    <w:rsid w:val="00E51881"/>
    <w:rsid w:val="00E5273B"/>
    <w:rsid w:val="00E537AF"/>
    <w:rsid w:val="00E551C5"/>
    <w:rsid w:val="00E55548"/>
    <w:rsid w:val="00E6030E"/>
    <w:rsid w:val="00E604F7"/>
    <w:rsid w:val="00E61170"/>
    <w:rsid w:val="00E61739"/>
    <w:rsid w:val="00E61884"/>
    <w:rsid w:val="00E61D0A"/>
    <w:rsid w:val="00E63BFB"/>
    <w:rsid w:val="00E645EA"/>
    <w:rsid w:val="00E64923"/>
    <w:rsid w:val="00E64A15"/>
    <w:rsid w:val="00E64DA7"/>
    <w:rsid w:val="00E65090"/>
    <w:rsid w:val="00E653AF"/>
    <w:rsid w:val="00E66FC2"/>
    <w:rsid w:val="00E6787B"/>
    <w:rsid w:val="00E67ED5"/>
    <w:rsid w:val="00E71645"/>
    <w:rsid w:val="00E72152"/>
    <w:rsid w:val="00E73018"/>
    <w:rsid w:val="00E73944"/>
    <w:rsid w:val="00E74EF5"/>
    <w:rsid w:val="00E7602D"/>
    <w:rsid w:val="00E80D99"/>
    <w:rsid w:val="00E812FA"/>
    <w:rsid w:val="00E840A9"/>
    <w:rsid w:val="00E8461C"/>
    <w:rsid w:val="00E84872"/>
    <w:rsid w:val="00E85343"/>
    <w:rsid w:val="00E85BA0"/>
    <w:rsid w:val="00E86C01"/>
    <w:rsid w:val="00E872C3"/>
    <w:rsid w:val="00E874F9"/>
    <w:rsid w:val="00E877BB"/>
    <w:rsid w:val="00E87C6C"/>
    <w:rsid w:val="00E87CB0"/>
    <w:rsid w:val="00E904F7"/>
    <w:rsid w:val="00E90A53"/>
    <w:rsid w:val="00E9145D"/>
    <w:rsid w:val="00E92B99"/>
    <w:rsid w:val="00E92C83"/>
    <w:rsid w:val="00E92EFE"/>
    <w:rsid w:val="00E932B9"/>
    <w:rsid w:val="00E94260"/>
    <w:rsid w:val="00E969E7"/>
    <w:rsid w:val="00E976B2"/>
    <w:rsid w:val="00EA04DE"/>
    <w:rsid w:val="00EA0667"/>
    <w:rsid w:val="00EA0BA9"/>
    <w:rsid w:val="00EA156C"/>
    <w:rsid w:val="00EA18C3"/>
    <w:rsid w:val="00EA22D7"/>
    <w:rsid w:val="00EA2F85"/>
    <w:rsid w:val="00EA3476"/>
    <w:rsid w:val="00EA3778"/>
    <w:rsid w:val="00EA462D"/>
    <w:rsid w:val="00EA46DF"/>
    <w:rsid w:val="00EA4D69"/>
    <w:rsid w:val="00EA518A"/>
    <w:rsid w:val="00EA52CC"/>
    <w:rsid w:val="00EA5C0C"/>
    <w:rsid w:val="00EA730B"/>
    <w:rsid w:val="00EA7F20"/>
    <w:rsid w:val="00EB0050"/>
    <w:rsid w:val="00EB14B1"/>
    <w:rsid w:val="00EB211B"/>
    <w:rsid w:val="00EB2256"/>
    <w:rsid w:val="00EB232C"/>
    <w:rsid w:val="00EB493A"/>
    <w:rsid w:val="00EB49CF"/>
    <w:rsid w:val="00EB5857"/>
    <w:rsid w:val="00EB74A1"/>
    <w:rsid w:val="00EB7C07"/>
    <w:rsid w:val="00EC21A0"/>
    <w:rsid w:val="00EC3611"/>
    <w:rsid w:val="00EC531B"/>
    <w:rsid w:val="00EC6123"/>
    <w:rsid w:val="00EC65FB"/>
    <w:rsid w:val="00EC6DDD"/>
    <w:rsid w:val="00EC76AF"/>
    <w:rsid w:val="00EC7D14"/>
    <w:rsid w:val="00ED2CDB"/>
    <w:rsid w:val="00ED2E62"/>
    <w:rsid w:val="00ED2FC9"/>
    <w:rsid w:val="00ED357D"/>
    <w:rsid w:val="00ED3BFC"/>
    <w:rsid w:val="00ED3C78"/>
    <w:rsid w:val="00ED4640"/>
    <w:rsid w:val="00ED470F"/>
    <w:rsid w:val="00ED665C"/>
    <w:rsid w:val="00ED6F28"/>
    <w:rsid w:val="00ED7396"/>
    <w:rsid w:val="00ED78FA"/>
    <w:rsid w:val="00EE2051"/>
    <w:rsid w:val="00EE3094"/>
    <w:rsid w:val="00EE3205"/>
    <w:rsid w:val="00EE40AE"/>
    <w:rsid w:val="00EE4498"/>
    <w:rsid w:val="00EE5D52"/>
    <w:rsid w:val="00EE6340"/>
    <w:rsid w:val="00EE6874"/>
    <w:rsid w:val="00EE6E78"/>
    <w:rsid w:val="00EE6E90"/>
    <w:rsid w:val="00EE79C2"/>
    <w:rsid w:val="00EF038F"/>
    <w:rsid w:val="00EF0484"/>
    <w:rsid w:val="00EF1331"/>
    <w:rsid w:val="00EF27F8"/>
    <w:rsid w:val="00EF2B1E"/>
    <w:rsid w:val="00EF31E4"/>
    <w:rsid w:val="00EF3402"/>
    <w:rsid w:val="00EF3CB3"/>
    <w:rsid w:val="00EF578F"/>
    <w:rsid w:val="00EF5A72"/>
    <w:rsid w:val="00EF5D7E"/>
    <w:rsid w:val="00EF613D"/>
    <w:rsid w:val="00EF62CE"/>
    <w:rsid w:val="00EF648A"/>
    <w:rsid w:val="00EF6492"/>
    <w:rsid w:val="00EF79A8"/>
    <w:rsid w:val="00F0171B"/>
    <w:rsid w:val="00F01E35"/>
    <w:rsid w:val="00F027AA"/>
    <w:rsid w:val="00F03228"/>
    <w:rsid w:val="00F0401B"/>
    <w:rsid w:val="00F05FFF"/>
    <w:rsid w:val="00F06345"/>
    <w:rsid w:val="00F06F8C"/>
    <w:rsid w:val="00F071A5"/>
    <w:rsid w:val="00F10A88"/>
    <w:rsid w:val="00F11771"/>
    <w:rsid w:val="00F12368"/>
    <w:rsid w:val="00F13C35"/>
    <w:rsid w:val="00F14E08"/>
    <w:rsid w:val="00F158C4"/>
    <w:rsid w:val="00F15A0E"/>
    <w:rsid w:val="00F15DC8"/>
    <w:rsid w:val="00F16BAB"/>
    <w:rsid w:val="00F20387"/>
    <w:rsid w:val="00F20400"/>
    <w:rsid w:val="00F20B88"/>
    <w:rsid w:val="00F22936"/>
    <w:rsid w:val="00F22AB9"/>
    <w:rsid w:val="00F24444"/>
    <w:rsid w:val="00F24660"/>
    <w:rsid w:val="00F24AE1"/>
    <w:rsid w:val="00F24F7F"/>
    <w:rsid w:val="00F25991"/>
    <w:rsid w:val="00F2751E"/>
    <w:rsid w:val="00F27654"/>
    <w:rsid w:val="00F27F14"/>
    <w:rsid w:val="00F27FDF"/>
    <w:rsid w:val="00F3151C"/>
    <w:rsid w:val="00F32717"/>
    <w:rsid w:val="00F32793"/>
    <w:rsid w:val="00F34CD7"/>
    <w:rsid w:val="00F3692C"/>
    <w:rsid w:val="00F36D05"/>
    <w:rsid w:val="00F36F5F"/>
    <w:rsid w:val="00F36FCC"/>
    <w:rsid w:val="00F374B7"/>
    <w:rsid w:val="00F375C1"/>
    <w:rsid w:val="00F37AB5"/>
    <w:rsid w:val="00F418FE"/>
    <w:rsid w:val="00F41D45"/>
    <w:rsid w:val="00F42712"/>
    <w:rsid w:val="00F42F83"/>
    <w:rsid w:val="00F43FFA"/>
    <w:rsid w:val="00F4496F"/>
    <w:rsid w:val="00F44B36"/>
    <w:rsid w:val="00F4533B"/>
    <w:rsid w:val="00F458FA"/>
    <w:rsid w:val="00F458FE"/>
    <w:rsid w:val="00F45958"/>
    <w:rsid w:val="00F46AE0"/>
    <w:rsid w:val="00F46D96"/>
    <w:rsid w:val="00F4767B"/>
    <w:rsid w:val="00F477C3"/>
    <w:rsid w:val="00F50342"/>
    <w:rsid w:val="00F50FAA"/>
    <w:rsid w:val="00F53424"/>
    <w:rsid w:val="00F535E0"/>
    <w:rsid w:val="00F54C48"/>
    <w:rsid w:val="00F56317"/>
    <w:rsid w:val="00F57CF7"/>
    <w:rsid w:val="00F57FE1"/>
    <w:rsid w:val="00F6113F"/>
    <w:rsid w:val="00F6121D"/>
    <w:rsid w:val="00F6163F"/>
    <w:rsid w:val="00F618A5"/>
    <w:rsid w:val="00F63A7B"/>
    <w:rsid w:val="00F63B20"/>
    <w:rsid w:val="00F63EDB"/>
    <w:rsid w:val="00F65A25"/>
    <w:rsid w:val="00F6601C"/>
    <w:rsid w:val="00F67002"/>
    <w:rsid w:val="00F672CB"/>
    <w:rsid w:val="00F67A6D"/>
    <w:rsid w:val="00F7090C"/>
    <w:rsid w:val="00F70E67"/>
    <w:rsid w:val="00F72329"/>
    <w:rsid w:val="00F723F3"/>
    <w:rsid w:val="00F74085"/>
    <w:rsid w:val="00F74D1F"/>
    <w:rsid w:val="00F75537"/>
    <w:rsid w:val="00F75BD5"/>
    <w:rsid w:val="00F772BC"/>
    <w:rsid w:val="00F81466"/>
    <w:rsid w:val="00F819FB"/>
    <w:rsid w:val="00F8266E"/>
    <w:rsid w:val="00F82AE7"/>
    <w:rsid w:val="00F83CFE"/>
    <w:rsid w:val="00F840A3"/>
    <w:rsid w:val="00F84B09"/>
    <w:rsid w:val="00F85733"/>
    <w:rsid w:val="00F85C39"/>
    <w:rsid w:val="00F8611B"/>
    <w:rsid w:val="00F8706A"/>
    <w:rsid w:val="00F9046A"/>
    <w:rsid w:val="00F90851"/>
    <w:rsid w:val="00F911DD"/>
    <w:rsid w:val="00F91441"/>
    <w:rsid w:val="00F92503"/>
    <w:rsid w:val="00F92730"/>
    <w:rsid w:val="00F93484"/>
    <w:rsid w:val="00F93662"/>
    <w:rsid w:val="00F93F38"/>
    <w:rsid w:val="00F947DD"/>
    <w:rsid w:val="00F9495D"/>
    <w:rsid w:val="00F94EF1"/>
    <w:rsid w:val="00F955C7"/>
    <w:rsid w:val="00F96486"/>
    <w:rsid w:val="00F967E6"/>
    <w:rsid w:val="00F96A4B"/>
    <w:rsid w:val="00F97466"/>
    <w:rsid w:val="00FA0085"/>
    <w:rsid w:val="00FA0413"/>
    <w:rsid w:val="00FA0516"/>
    <w:rsid w:val="00FA09B9"/>
    <w:rsid w:val="00FA0DB3"/>
    <w:rsid w:val="00FA11E3"/>
    <w:rsid w:val="00FA3752"/>
    <w:rsid w:val="00FA6055"/>
    <w:rsid w:val="00FA6825"/>
    <w:rsid w:val="00FA6E3C"/>
    <w:rsid w:val="00FA7106"/>
    <w:rsid w:val="00FB10E8"/>
    <w:rsid w:val="00FB11A9"/>
    <w:rsid w:val="00FB164C"/>
    <w:rsid w:val="00FB23B9"/>
    <w:rsid w:val="00FB2B45"/>
    <w:rsid w:val="00FB300E"/>
    <w:rsid w:val="00FB4E5F"/>
    <w:rsid w:val="00FB54A3"/>
    <w:rsid w:val="00FB696F"/>
    <w:rsid w:val="00FB6D86"/>
    <w:rsid w:val="00FB7AC3"/>
    <w:rsid w:val="00FB7CAB"/>
    <w:rsid w:val="00FC0161"/>
    <w:rsid w:val="00FC12CD"/>
    <w:rsid w:val="00FC16B6"/>
    <w:rsid w:val="00FC1AC0"/>
    <w:rsid w:val="00FC2134"/>
    <w:rsid w:val="00FC22DC"/>
    <w:rsid w:val="00FC279A"/>
    <w:rsid w:val="00FC3649"/>
    <w:rsid w:val="00FC5134"/>
    <w:rsid w:val="00FC514C"/>
    <w:rsid w:val="00FC5DF5"/>
    <w:rsid w:val="00FC60E1"/>
    <w:rsid w:val="00FC620C"/>
    <w:rsid w:val="00FC670F"/>
    <w:rsid w:val="00FC6CF6"/>
    <w:rsid w:val="00FD0398"/>
    <w:rsid w:val="00FD0C42"/>
    <w:rsid w:val="00FD0E8D"/>
    <w:rsid w:val="00FD10E9"/>
    <w:rsid w:val="00FD1375"/>
    <w:rsid w:val="00FD1553"/>
    <w:rsid w:val="00FD1658"/>
    <w:rsid w:val="00FD17AB"/>
    <w:rsid w:val="00FD1A9D"/>
    <w:rsid w:val="00FD1B33"/>
    <w:rsid w:val="00FD1FB7"/>
    <w:rsid w:val="00FD3FEA"/>
    <w:rsid w:val="00FD4C7A"/>
    <w:rsid w:val="00FD5DFE"/>
    <w:rsid w:val="00FD6390"/>
    <w:rsid w:val="00FD6544"/>
    <w:rsid w:val="00FD753A"/>
    <w:rsid w:val="00FD77B7"/>
    <w:rsid w:val="00FD7E1D"/>
    <w:rsid w:val="00FE0319"/>
    <w:rsid w:val="00FE0783"/>
    <w:rsid w:val="00FE09EC"/>
    <w:rsid w:val="00FE0D2F"/>
    <w:rsid w:val="00FE0ED8"/>
    <w:rsid w:val="00FE1DA2"/>
    <w:rsid w:val="00FE1E44"/>
    <w:rsid w:val="00FE2AE8"/>
    <w:rsid w:val="00FE3B1C"/>
    <w:rsid w:val="00FE3D0E"/>
    <w:rsid w:val="00FE4082"/>
    <w:rsid w:val="00FE4617"/>
    <w:rsid w:val="00FE4778"/>
    <w:rsid w:val="00FE6198"/>
    <w:rsid w:val="00FE6E02"/>
    <w:rsid w:val="00FE75EB"/>
    <w:rsid w:val="00FE78F1"/>
    <w:rsid w:val="00FF02D6"/>
    <w:rsid w:val="00FF05F2"/>
    <w:rsid w:val="00FF085D"/>
    <w:rsid w:val="00FF0E69"/>
    <w:rsid w:val="00FF1166"/>
    <w:rsid w:val="00FF1537"/>
    <w:rsid w:val="00FF1998"/>
    <w:rsid w:val="00FF22DC"/>
    <w:rsid w:val="00FF23CD"/>
    <w:rsid w:val="00FF33E8"/>
    <w:rsid w:val="00FF3A42"/>
    <w:rsid w:val="00FF5774"/>
    <w:rsid w:val="00FF5F76"/>
    <w:rsid w:val="00FF688C"/>
    <w:rsid w:val="00FF7D82"/>
  </w:rsids>
  <m:mathPr>
    <m:mathFont m:val="Cambria Math"/>
    <m:brkBin m:val="before"/>
    <m:brkBinSub m:val="--"/>
    <m:smallFrac m:val="0"/>
    <m:dispDef/>
    <m:lMargin m:val="0"/>
    <m:rMargin m:val="0"/>
    <m:defJc m:val="centerGroup"/>
    <m:wrapIndent m:val="1440"/>
    <m:intLim m:val="subSup"/>
    <m:naryLim m:val="undOvr"/>
  </m:mathPr>
  <w:themeFontLang w:val="ro-M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E365"/>
  <w15:chartTrackingRefBased/>
  <w15:docId w15:val="{0ADD131B-C3B4-4495-9B93-56E3EC69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 law"/>
    <w:basedOn w:val="Normal"/>
    <w:next w:val="Heading2"/>
    <w:link w:val="Heading1Char"/>
    <w:uiPriority w:val="9"/>
    <w:qFormat/>
    <w:rsid w:val="003D18C7"/>
    <w:pPr>
      <w:keepNext/>
      <w:keepLines/>
      <w:spacing w:before="360" w:after="240" w:line="360" w:lineRule="auto"/>
      <w:jc w:val="both"/>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3D18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rticle -law"/>
    <w:basedOn w:val="Normal"/>
    <w:next w:val="Normal"/>
    <w:link w:val="Heading3Char"/>
    <w:uiPriority w:val="9"/>
    <w:unhideWhenUsed/>
    <w:qFormat/>
    <w:rsid w:val="002F3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616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616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616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616B"/>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616B"/>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616B"/>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7D3E3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AF39CD"/>
    <w:rPr>
      <w:sz w:val="16"/>
      <w:szCs w:val="16"/>
    </w:rPr>
  </w:style>
  <w:style w:type="paragraph" w:styleId="CommentText">
    <w:name w:val="annotation text"/>
    <w:basedOn w:val="Normal"/>
    <w:link w:val="CommentTextChar"/>
    <w:uiPriority w:val="99"/>
    <w:unhideWhenUsed/>
    <w:rsid w:val="00AF39CD"/>
    <w:pPr>
      <w:spacing w:line="240" w:lineRule="auto"/>
    </w:pPr>
    <w:rPr>
      <w:sz w:val="20"/>
      <w:szCs w:val="20"/>
    </w:rPr>
  </w:style>
  <w:style w:type="character" w:customStyle="1" w:styleId="CommentTextChar">
    <w:name w:val="Comment Text Char"/>
    <w:basedOn w:val="DefaultParagraphFont"/>
    <w:link w:val="CommentText"/>
    <w:uiPriority w:val="99"/>
    <w:rsid w:val="00AF39CD"/>
    <w:rPr>
      <w:sz w:val="20"/>
      <w:szCs w:val="20"/>
    </w:rPr>
  </w:style>
  <w:style w:type="paragraph" w:styleId="CommentSubject">
    <w:name w:val="annotation subject"/>
    <w:basedOn w:val="CommentText"/>
    <w:next w:val="CommentText"/>
    <w:link w:val="CommentSubjectChar"/>
    <w:uiPriority w:val="99"/>
    <w:semiHidden/>
    <w:unhideWhenUsed/>
    <w:rsid w:val="00AF39CD"/>
    <w:rPr>
      <w:b/>
      <w:bCs/>
    </w:rPr>
  </w:style>
  <w:style w:type="character" w:customStyle="1" w:styleId="CommentSubjectChar">
    <w:name w:val="Comment Subject Char"/>
    <w:basedOn w:val="CommentTextChar"/>
    <w:link w:val="CommentSubject"/>
    <w:uiPriority w:val="99"/>
    <w:semiHidden/>
    <w:rsid w:val="00AF39CD"/>
    <w:rPr>
      <w:b/>
      <w:bCs/>
      <w:sz w:val="20"/>
      <w:szCs w:val="20"/>
    </w:rPr>
  </w:style>
  <w:style w:type="character" w:customStyle="1" w:styleId="Heading1Char">
    <w:name w:val="Heading 1 Char"/>
    <w:aliases w:val="Section - law Char"/>
    <w:basedOn w:val="DefaultParagraphFont"/>
    <w:link w:val="Heading1"/>
    <w:uiPriority w:val="9"/>
    <w:rsid w:val="003D18C7"/>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8C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rticle -law Char"/>
    <w:basedOn w:val="DefaultParagraphFont"/>
    <w:link w:val="Heading3"/>
    <w:uiPriority w:val="9"/>
    <w:rsid w:val="002F352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0E69"/>
    <w:rPr>
      <w:color w:val="0000FF"/>
      <w:u w:val="single"/>
    </w:rPr>
  </w:style>
  <w:style w:type="character" w:customStyle="1" w:styleId="superscript">
    <w:name w:val="superscript"/>
    <w:basedOn w:val="DefaultParagraphFont"/>
    <w:rsid w:val="00FF0E69"/>
  </w:style>
  <w:style w:type="paragraph" w:customStyle="1" w:styleId="stitle-article-norm">
    <w:name w:val="stitle-article-norm"/>
    <w:basedOn w:val="Normal"/>
    <w:rsid w:val="00411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DefaultParagraphFont"/>
    <w:rsid w:val="00411151"/>
  </w:style>
  <w:style w:type="paragraph" w:styleId="Revision">
    <w:name w:val="Revision"/>
    <w:hidden/>
    <w:uiPriority w:val="99"/>
    <w:semiHidden/>
    <w:rsid w:val="00465496"/>
    <w:pPr>
      <w:spacing w:after="0" w:line="240" w:lineRule="auto"/>
    </w:pPr>
  </w:style>
  <w:style w:type="paragraph" w:customStyle="1" w:styleId="title-article-norm">
    <w:name w:val="title-article-norm"/>
    <w:basedOn w:val="Normal"/>
    <w:rsid w:val="00B74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B74D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7BD6"/>
    <w:pPr>
      <w:ind w:left="720"/>
      <w:contextualSpacing/>
    </w:pPr>
  </w:style>
  <w:style w:type="paragraph" w:customStyle="1" w:styleId="List1">
    <w:name w:val="List1"/>
    <w:basedOn w:val="Normal"/>
    <w:rsid w:val="00933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933162"/>
  </w:style>
  <w:style w:type="paragraph" w:styleId="NormalWeb">
    <w:name w:val="Normal (Web)"/>
    <w:basedOn w:val="Normal"/>
    <w:uiPriority w:val="99"/>
    <w:unhideWhenUsed/>
    <w:rsid w:val="00B37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2F0C01"/>
  </w:style>
  <w:style w:type="paragraph" w:customStyle="1" w:styleId="List2">
    <w:name w:val="List2"/>
    <w:basedOn w:val="Normal"/>
    <w:rsid w:val="00503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40195B"/>
  </w:style>
  <w:style w:type="paragraph" w:customStyle="1" w:styleId="rg">
    <w:name w:val="rg"/>
    <w:basedOn w:val="Normal"/>
    <w:rsid w:val="00EB2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EB2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3">
    <w:name w:val="List3"/>
    <w:basedOn w:val="Normal"/>
    <w:rsid w:val="00CA42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center">
    <w:name w:val="container-center"/>
    <w:basedOn w:val="Normal"/>
    <w:rsid w:val="0044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4">
    <w:name w:val="List4"/>
    <w:basedOn w:val="Normal"/>
    <w:rsid w:val="0044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072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ist-term">
    <w:name w:val="dlist-term"/>
    <w:basedOn w:val="Normal"/>
    <w:rsid w:val="00072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ist-definition">
    <w:name w:val="dlist-definition"/>
    <w:basedOn w:val="Normal"/>
    <w:rsid w:val="00072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able">
    <w:name w:val="title-table"/>
    <w:basedOn w:val="Normal"/>
    <w:rsid w:val="007F63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0DE3"/>
    <w:pPr>
      <w:tabs>
        <w:tab w:val="center" w:pos="4677"/>
        <w:tab w:val="right" w:pos="9355"/>
      </w:tabs>
      <w:spacing w:after="0" w:line="240" w:lineRule="auto"/>
    </w:pPr>
  </w:style>
  <w:style w:type="character" w:customStyle="1" w:styleId="HeaderChar">
    <w:name w:val="Header Char"/>
    <w:basedOn w:val="DefaultParagraphFont"/>
    <w:link w:val="Header"/>
    <w:uiPriority w:val="99"/>
    <w:rsid w:val="004E0DE3"/>
  </w:style>
  <w:style w:type="paragraph" w:styleId="Footer">
    <w:name w:val="footer"/>
    <w:basedOn w:val="Normal"/>
    <w:link w:val="FooterChar"/>
    <w:uiPriority w:val="99"/>
    <w:unhideWhenUsed/>
    <w:rsid w:val="004E0DE3"/>
    <w:pPr>
      <w:tabs>
        <w:tab w:val="center" w:pos="4677"/>
        <w:tab w:val="right" w:pos="9355"/>
      </w:tabs>
      <w:spacing w:after="0" w:line="240" w:lineRule="auto"/>
    </w:pPr>
  </w:style>
  <w:style w:type="character" w:customStyle="1" w:styleId="FooterChar">
    <w:name w:val="Footer Char"/>
    <w:basedOn w:val="DefaultParagraphFont"/>
    <w:link w:val="Footer"/>
    <w:uiPriority w:val="99"/>
    <w:rsid w:val="004E0DE3"/>
  </w:style>
  <w:style w:type="paragraph" w:customStyle="1" w:styleId="title-doc-first">
    <w:name w:val="title-doc-first"/>
    <w:basedOn w:val="Normal"/>
    <w:rsid w:val="003629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36299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9560D"/>
    <w:rPr>
      <w:color w:val="605E5C"/>
      <w:shd w:val="clear" w:color="auto" w:fill="E1DFDD"/>
    </w:rPr>
  </w:style>
  <w:style w:type="character" w:styleId="Strong">
    <w:name w:val="Strong"/>
    <w:basedOn w:val="DefaultParagraphFont"/>
    <w:uiPriority w:val="22"/>
    <w:qFormat/>
    <w:rsid w:val="005C257D"/>
    <w:rPr>
      <w:b/>
      <w:bCs/>
    </w:rPr>
  </w:style>
  <w:style w:type="character" w:customStyle="1" w:styleId="Heading4Char">
    <w:name w:val="Heading 4 Char"/>
    <w:basedOn w:val="DefaultParagraphFont"/>
    <w:link w:val="Heading4"/>
    <w:uiPriority w:val="9"/>
    <w:semiHidden/>
    <w:rsid w:val="005A616B"/>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A616B"/>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A616B"/>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A616B"/>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A616B"/>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A616B"/>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A616B"/>
    <w:pPr>
      <w:spacing w:after="80" w:line="240" w:lineRule="auto"/>
      <w:contextualSpacing/>
    </w:pPr>
    <w:rPr>
      <w:rFonts w:asciiTheme="majorHAnsi" w:eastAsiaTheme="majorEastAsia" w:hAnsiTheme="majorHAnsi" w:cstheme="majorBidi"/>
      <w:kern w:val="28"/>
      <w:sz w:val="56"/>
      <w:szCs w:val="56"/>
      <w14:ligatures w14:val="standardContextual"/>
    </w:rPr>
  </w:style>
  <w:style w:type="character" w:customStyle="1" w:styleId="TitleChar">
    <w:name w:val="Title Char"/>
    <w:basedOn w:val="DefaultParagraphFont"/>
    <w:link w:val="Title"/>
    <w:uiPriority w:val="10"/>
    <w:rsid w:val="005A616B"/>
    <w:rPr>
      <w:rFonts w:asciiTheme="majorHAnsi" w:eastAsiaTheme="majorEastAsia" w:hAnsiTheme="majorHAnsi" w:cstheme="majorBidi"/>
      <w:kern w:val="28"/>
      <w:sz w:val="56"/>
      <w:szCs w:val="56"/>
      <w14:ligatures w14:val="standardContextual"/>
    </w:rPr>
  </w:style>
  <w:style w:type="paragraph" w:styleId="Subtitle">
    <w:name w:val="Subtitle"/>
    <w:basedOn w:val="Normal"/>
    <w:next w:val="Normal"/>
    <w:link w:val="SubtitleChar"/>
    <w:uiPriority w:val="11"/>
    <w:qFormat/>
    <w:rsid w:val="005A616B"/>
    <w:pPr>
      <w:numPr>
        <w:ilvl w:val="1"/>
      </w:numPr>
    </w:pPr>
    <w:rPr>
      <w:rFonts w:eastAsiaTheme="majorEastAsia" w:cstheme="majorBidi"/>
      <w:color w:val="595959" w:themeColor="text1" w:themeTint="A6"/>
      <w:kern w:val="2"/>
      <w:sz w:val="28"/>
      <w:szCs w:val="28"/>
      <w14:ligatures w14:val="standardContextual"/>
    </w:rPr>
  </w:style>
  <w:style w:type="character" w:customStyle="1" w:styleId="SubtitleChar">
    <w:name w:val="Subtitle Char"/>
    <w:basedOn w:val="DefaultParagraphFont"/>
    <w:link w:val="Subtitle"/>
    <w:uiPriority w:val="11"/>
    <w:rsid w:val="005A616B"/>
    <w:rPr>
      <w:rFonts w:eastAsiaTheme="majorEastAsia" w:cstheme="majorBidi"/>
      <w:color w:val="595959" w:themeColor="text1" w:themeTint="A6"/>
      <w:kern w:val="2"/>
      <w:sz w:val="28"/>
      <w:szCs w:val="28"/>
      <w14:ligatures w14:val="standardContextual"/>
    </w:rPr>
  </w:style>
  <w:style w:type="paragraph" w:styleId="Quote">
    <w:name w:val="Quote"/>
    <w:basedOn w:val="Normal"/>
    <w:next w:val="Normal"/>
    <w:link w:val="QuoteChar"/>
    <w:uiPriority w:val="29"/>
    <w:qFormat/>
    <w:rsid w:val="005A616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A616B"/>
    <w:rPr>
      <w:i/>
      <w:iCs/>
      <w:color w:val="404040" w:themeColor="text1" w:themeTint="BF"/>
      <w:kern w:val="2"/>
      <w14:ligatures w14:val="standardContextual"/>
    </w:rPr>
  </w:style>
  <w:style w:type="character" w:styleId="IntenseEmphasis">
    <w:name w:val="Intense Emphasis"/>
    <w:basedOn w:val="DefaultParagraphFont"/>
    <w:uiPriority w:val="21"/>
    <w:qFormat/>
    <w:rsid w:val="005A616B"/>
    <w:rPr>
      <w:i/>
      <w:iCs/>
      <w:color w:val="2F5496" w:themeColor="accent1" w:themeShade="BF"/>
    </w:rPr>
  </w:style>
  <w:style w:type="paragraph" w:styleId="IntenseQuote">
    <w:name w:val="Intense Quote"/>
    <w:basedOn w:val="Normal"/>
    <w:next w:val="Normal"/>
    <w:link w:val="IntenseQuoteChar"/>
    <w:uiPriority w:val="30"/>
    <w:qFormat/>
    <w:rsid w:val="005A6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A616B"/>
    <w:rPr>
      <w:i/>
      <w:iCs/>
      <w:color w:val="2F5496" w:themeColor="accent1" w:themeShade="BF"/>
      <w:kern w:val="2"/>
      <w14:ligatures w14:val="standardContextual"/>
    </w:rPr>
  </w:style>
  <w:style w:type="character" w:styleId="IntenseReference">
    <w:name w:val="Intense Reference"/>
    <w:basedOn w:val="DefaultParagraphFont"/>
    <w:uiPriority w:val="32"/>
    <w:qFormat/>
    <w:rsid w:val="005A616B"/>
    <w:rPr>
      <w:b/>
      <w:bCs/>
      <w:smallCaps/>
      <w:color w:val="2F5496" w:themeColor="accent1" w:themeShade="BF"/>
    </w:rPr>
  </w:style>
  <w:style w:type="paragraph" w:customStyle="1" w:styleId="oj-normal">
    <w:name w:val="oj-normal"/>
    <w:basedOn w:val="Normal"/>
    <w:rsid w:val="005A616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A616B"/>
    <w:rPr>
      <w:color w:val="666666"/>
    </w:rPr>
  </w:style>
  <w:style w:type="table" w:styleId="TableGrid">
    <w:name w:val="Table Grid"/>
    <w:basedOn w:val="TableNormal"/>
    <w:uiPriority w:val="39"/>
    <w:rsid w:val="005A61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A6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sti-art">
    <w:name w:val="oj-sti-art"/>
    <w:basedOn w:val="Normal"/>
    <w:rsid w:val="005A6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art">
    <w:name w:val="oj-ti-art"/>
    <w:basedOn w:val="Normal"/>
    <w:rsid w:val="005A6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italic">
    <w:name w:val="oj-italic"/>
    <w:basedOn w:val="DefaultParagraphFont"/>
    <w:rsid w:val="005A616B"/>
  </w:style>
  <w:style w:type="paragraph" w:customStyle="1" w:styleId="oj-signatory">
    <w:name w:val="oj-signatory"/>
    <w:basedOn w:val="Normal"/>
    <w:rsid w:val="005A6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te">
    <w:name w:val="oj-note"/>
    <w:basedOn w:val="Normal"/>
    <w:rsid w:val="005A61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616B"/>
    <w:rPr>
      <w:color w:val="800080"/>
      <w:u w:val="single"/>
    </w:rPr>
  </w:style>
  <w:style w:type="character" w:customStyle="1" w:styleId="oj-super">
    <w:name w:val="oj-super"/>
    <w:basedOn w:val="DefaultParagraphFont"/>
    <w:rsid w:val="005A616B"/>
  </w:style>
  <w:style w:type="paragraph" w:customStyle="1" w:styleId="oj-doc-ti">
    <w:name w:val="oj-doc-ti"/>
    <w:basedOn w:val="Normal"/>
    <w:rsid w:val="005A6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hdr">
    <w:name w:val="oj-tbl-hdr"/>
    <w:basedOn w:val="Normal"/>
    <w:rsid w:val="005A6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DefaultParagraphFont"/>
    <w:rsid w:val="005A616B"/>
  </w:style>
  <w:style w:type="paragraph" w:customStyle="1" w:styleId="oj-tbl-txt">
    <w:name w:val="oj-tbl-txt"/>
    <w:basedOn w:val="Normal"/>
    <w:rsid w:val="005A616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D39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9A2"/>
    <w:rPr>
      <w:sz w:val="20"/>
      <w:szCs w:val="20"/>
    </w:rPr>
  </w:style>
  <w:style w:type="character" w:styleId="FootnoteReference">
    <w:name w:val="footnote reference"/>
    <w:basedOn w:val="DefaultParagraphFont"/>
    <w:uiPriority w:val="99"/>
    <w:semiHidden/>
    <w:unhideWhenUsed/>
    <w:rsid w:val="005D39A2"/>
    <w:rPr>
      <w:vertAlign w:val="superscript"/>
    </w:rPr>
  </w:style>
  <w:style w:type="paragraph" w:customStyle="1" w:styleId="P68B1DB1-Normal1">
    <w:name w:val="P68B1DB1-Normal1"/>
    <w:basedOn w:val="Normal"/>
    <w:rPr>
      <w:rFonts w:ascii="Times New Roman" w:eastAsia="Times New Roman" w:hAnsi="Times New Roman" w:cs="Times New Roman"/>
      <w:b/>
      <w:sz w:val="24"/>
      <w:szCs w:val="24"/>
    </w:rPr>
  </w:style>
  <w:style w:type="paragraph" w:customStyle="1" w:styleId="P68B1DB1-Normal2">
    <w:name w:val="P68B1DB1-Normal2"/>
    <w:basedOn w:val="Normal"/>
    <w:rPr>
      <w:sz w:val="24"/>
      <w:szCs w:val="24"/>
    </w:rPr>
  </w:style>
  <w:style w:type="paragraph" w:customStyle="1" w:styleId="P68B1DB1-Normal3">
    <w:name w:val="P68B1DB1-Normal3"/>
    <w:basedOn w:val="Normal"/>
    <w:rPr>
      <w:rFonts w:ascii="Times New Roman" w:hAnsi="Times New Roman" w:cs="Times New Roman"/>
      <w:i/>
      <w:color w:val="000000" w:themeColor="text1"/>
      <w:sz w:val="24"/>
      <w:szCs w:val="24"/>
    </w:rPr>
  </w:style>
  <w:style w:type="paragraph" w:customStyle="1" w:styleId="P68B1DB1-Normal4">
    <w:name w:val="P68B1DB1-Normal4"/>
    <w:basedOn w:val="Normal"/>
    <w:rPr>
      <w:rFonts w:ascii="Times New Roman" w:hAnsi="Times New Roman" w:cs="Times New Roman"/>
      <w:sz w:val="24"/>
      <w:szCs w:val="24"/>
    </w:rPr>
  </w:style>
  <w:style w:type="paragraph" w:customStyle="1" w:styleId="P68B1DB1-Normal5">
    <w:name w:val="P68B1DB1-Normal5"/>
    <w:basedOn w:val="Normal"/>
    <w:rPr>
      <w:rFonts w:ascii="Times New Roman" w:eastAsia="Times New Roman" w:hAnsi="Times New Roman" w:cs="Times New Roman"/>
      <w:sz w:val="24"/>
      <w:szCs w:val="24"/>
    </w:rPr>
  </w:style>
  <w:style w:type="paragraph" w:customStyle="1" w:styleId="P68B1DB1-ListParagraph6">
    <w:name w:val="P68B1DB1-ListParagraph6"/>
    <w:basedOn w:val="ListParagraph"/>
    <w:rPr>
      <w:rFonts w:ascii="Times New Roman" w:eastAsia="Times New Roman" w:hAnsi="Times New Roman" w:cs="Times New Roman"/>
      <w:sz w:val="24"/>
      <w:szCs w:val="24"/>
    </w:rPr>
  </w:style>
  <w:style w:type="paragraph" w:customStyle="1" w:styleId="P68B1DB1-Normal7">
    <w:name w:val="P68B1DB1-Normal7"/>
    <w:basedOn w:val="Normal"/>
    <w:rPr>
      <w:rFonts w:ascii="Times New Roman" w:hAnsi="Times New Roman" w:cs="Times New Roman"/>
      <w:color w:val="000000" w:themeColor="text1"/>
      <w:sz w:val="24"/>
      <w:szCs w:val="24"/>
    </w:rPr>
  </w:style>
  <w:style w:type="paragraph" w:customStyle="1" w:styleId="P68B1DB1-ListParagraph8">
    <w:name w:val="P68B1DB1-ListParagraph8"/>
    <w:basedOn w:val="ListParagraph"/>
    <w:rPr>
      <w:rFonts w:ascii="Times New Roman" w:hAnsi="Times New Roman" w:cs="Times New Roman"/>
      <w:color w:val="000000" w:themeColor="text1"/>
      <w:sz w:val="24"/>
      <w:szCs w:val="24"/>
    </w:rPr>
  </w:style>
  <w:style w:type="paragraph" w:customStyle="1" w:styleId="P68B1DB1-ListParagraph9">
    <w:name w:val="P68B1DB1-ListParagraph9"/>
    <w:basedOn w:val="ListParagraph"/>
    <w:rPr>
      <w:rFonts w:ascii="Times New Roman" w:eastAsia="Times New Roman" w:hAnsi="Times New Roman" w:cs="Times New Roman"/>
      <w:b/>
      <w:color w:val="000000" w:themeColor="text1"/>
      <w:sz w:val="24"/>
      <w:szCs w:val="24"/>
    </w:rPr>
  </w:style>
  <w:style w:type="paragraph" w:customStyle="1" w:styleId="P68B1DB1-Normal10">
    <w:name w:val="P68B1DB1-Normal10"/>
    <w:basedOn w:val="Normal"/>
    <w:rPr>
      <w:rFonts w:ascii="Times New Roman" w:eastAsia="Times New Roman" w:hAnsi="Times New Roman" w:cs="Times New Roman"/>
      <w:b/>
      <w:color w:val="000000" w:themeColor="text1"/>
      <w:sz w:val="24"/>
      <w:szCs w:val="24"/>
    </w:rPr>
  </w:style>
  <w:style w:type="paragraph" w:customStyle="1" w:styleId="P68B1DB1-ListParagraph11">
    <w:name w:val="P68B1DB1-ListParagraph11"/>
    <w:basedOn w:val="ListParagraph"/>
    <w:rPr>
      <w:rFonts w:ascii="Times New Roman" w:hAnsi="Times New Roman" w:cs="Times New Roman"/>
      <w:color w:val="000000" w:themeColor="text1"/>
    </w:rPr>
  </w:style>
  <w:style w:type="paragraph" w:customStyle="1" w:styleId="P68B1DB1-ListParagraph12">
    <w:name w:val="P68B1DB1-ListParagraph12"/>
    <w:basedOn w:val="ListParagraph"/>
    <w:rPr>
      <w:rFonts w:ascii="Times New Roman" w:hAnsi="Times New Roman" w:cs="Times New Roman"/>
      <w:sz w:val="24"/>
      <w:szCs w:val="24"/>
    </w:rPr>
  </w:style>
  <w:style w:type="paragraph" w:customStyle="1" w:styleId="P68B1DB1-ListParagraph13">
    <w:name w:val="P68B1DB1-ListParagraph13"/>
    <w:basedOn w:val="ListParagraph"/>
    <w:rPr>
      <w:rFonts w:ascii="Times New Roman" w:hAnsi="Times New Roman" w:cs="Times New Roman"/>
      <w:b/>
      <w:color w:val="000000" w:themeColor="text1"/>
      <w:sz w:val="24"/>
      <w:szCs w:val="24"/>
    </w:rPr>
  </w:style>
  <w:style w:type="paragraph" w:customStyle="1" w:styleId="P68B1DB1-ListParagraph14">
    <w:name w:val="P68B1DB1-ListParagraph14"/>
    <w:basedOn w:val="ListParagraph"/>
    <w:rPr>
      <w:i/>
    </w:rPr>
  </w:style>
  <w:style w:type="paragraph" w:customStyle="1" w:styleId="P68B1DB1-ListParagraph15">
    <w:name w:val="P68B1DB1-ListParagraph15"/>
    <w:basedOn w:val="ListParagraph"/>
    <w:rPr>
      <w:rFonts w:ascii="Times New Roman" w:hAnsi="Times New Roman" w:cs="Times New Roman"/>
      <w:b/>
      <w:i/>
      <w:color w:val="000000" w:themeColor="text1"/>
      <w:sz w:val="24"/>
      <w:szCs w:val="24"/>
    </w:rPr>
  </w:style>
  <w:style w:type="paragraph" w:customStyle="1" w:styleId="P68B1DB1-Normal16">
    <w:name w:val="P68B1DB1-Normal16"/>
    <w:basedOn w:val="Normal"/>
    <w:rPr>
      <w:rFonts w:ascii="Times New Roman" w:hAnsi="Times New Roman" w:cs="Times New Roman"/>
      <w:b/>
      <w:i/>
      <w:color w:val="000000" w:themeColor="text1"/>
      <w:sz w:val="24"/>
      <w:szCs w:val="24"/>
    </w:rPr>
  </w:style>
  <w:style w:type="paragraph" w:customStyle="1" w:styleId="P68B1DB1-ListParagraph17">
    <w:name w:val="P68B1DB1-ListParagraph17"/>
    <w:basedOn w:val="ListParagraph"/>
    <w:rPr>
      <w:rFonts w:ascii="Times New Roman" w:hAnsi="Times New Roman" w:cs="Times New Roman"/>
    </w:rPr>
  </w:style>
  <w:style w:type="paragraph" w:customStyle="1" w:styleId="P68B1DB1-ListParagraph18">
    <w:name w:val="P68B1DB1-ListParagraph18"/>
    <w:basedOn w:val="ListParagraph"/>
    <w:rPr>
      <w:rFonts w:ascii="Times New Roman" w:hAnsi="Times New Roman" w:cs="Times New Roman"/>
      <w:i/>
      <w:color w:val="000000" w:themeColor="text1"/>
      <w:sz w:val="24"/>
      <w:szCs w:val="24"/>
    </w:rPr>
  </w:style>
  <w:style w:type="paragraph" w:customStyle="1" w:styleId="P68B1DB1-ListParagraph19">
    <w:name w:val="P68B1DB1-ListParagraph19"/>
    <w:basedOn w:val="ListParagraph"/>
    <w:rPr>
      <w:rFonts w:ascii="Times New Roman" w:eastAsiaTheme="minorEastAsia" w:hAnsi="Times New Roman" w:cs="Times New Roman"/>
      <w:sz w:val="24"/>
      <w:szCs w:val="24"/>
    </w:rPr>
  </w:style>
  <w:style w:type="paragraph" w:customStyle="1" w:styleId="P68B1DB1-ListParagraph20">
    <w:name w:val="P68B1DB1-ListParagraph20"/>
    <w:basedOn w:val="ListParagraph"/>
    <w:rPr>
      <w:rFonts w:ascii="Times New Roman" w:eastAsiaTheme="minorEastAsia" w:hAnsi="Times New Roman" w:cs="Times New Roman"/>
      <w:i/>
      <w:sz w:val="24"/>
      <w:szCs w:val="24"/>
    </w:rPr>
  </w:style>
  <w:style w:type="paragraph" w:customStyle="1" w:styleId="P68B1DB1-ListParagraph21">
    <w:name w:val="P68B1DB1-ListParagraph21"/>
    <w:basedOn w:val="ListParagraph"/>
    <w:rPr>
      <w:rFonts w:ascii="Times New Roman" w:eastAsiaTheme="minorEastAsia" w:hAnsi="Times New Roman" w:cs="Times New Roman"/>
      <w:b/>
      <w:sz w:val="24"/>
      <w:szCs w:val="24"/>
    </w:rPr>
  </w:style>
  <w:style w:type="paragraph" w:customStyle="1" w:styleId="P68B1DB1-title-table22">
    <w:name w:val="P68B1DB1-title-table22"/>
    <w:basedOn w:val="title-table"/>
    <w:rPr>
      <w:i/>
      <w:color w:val="000000" w:themeColor="text1"/>
    </w:rPr>
  </w:style>
  <w:style w:type="paragraph" w:customStyle="1" w:styleId="P68B1DB1-container-center23">
    <w:name w:val="P68B1DB1-container-center23"/>
    <w:basedOn w:val="container-center"/>
    <w:rPr>
      <w:rFonts w:eastAsiaTheme="minorHAnsi"/>
      <w:color w:val="000000" w:themeColor="text1"/>
    </w:rPr>
  </w:style>
  <w:style w:type="paragraph" w:customStyle="1" w:styleId="P68B1DB1-ListParagraph24">
    <w:name w:val="P68B1DB1-ListParagraph24"/>
    <w:basedOn w:val="ListParagraph"/>
    <w:rPr>
      <w:color w:val="000000" w:themeColor="text1"/>
    </w:rPr>
  </w:style>
  <w:style w:type="paragraph" w:customStyle="1" w:styleId="P68B1DB1-Normal25">
    <w:name w:val="P68B1DB1-Normal25"/>
    <w:basedOn w:val="Normal"/>
    <w:rPr>
      <w:rFonts w:ascii="Times New Roman" w:eastAsia="Times New Roman" w:hAnsi="Times New Roman" w:cs="Times New Roman"/>
      <w:b/>
      <w:i/>
      <w:color w:val="000000"/>
      <w:sz w:val="24"/>
      <w:szCs w:val="24"/>
    </w:rPr>
  </w:style>
  <w:style w:type="paragraph" w:customStyle="1" w:styleId="P68B1DB1-Normal26">
    <w:name w:val="P68B1DB1-Normal26"/>
    <w:basedOn w:val="Normal"/>
    <w:rPr>
      <w:rFonts w:ascii="Times New Roman" w:eastAsia="Times New Roman" w:hAnsi="Times New Roman" w:cs="Times New Roman"/>
      <w:b/>
    </w:rPr>
  </w:style>
  <w:style w:type="paragraph" w:customStyle="1" w:styleId="P68B1DB1-Normal27">
    <w:name w:val="P68B1DB1-Normal27"/>
    <w:basedOn w:val="Normal"/>
    <w:rPr>
      <w:rFonts w:ascii="Times New Roman" w:eastAsia="Times New Roman" w:hAnsi="Times New Roman" w:cs="Times New Roman"/>
    </w:rPr>
  </w:style>
  <w:style w:type="paragraph" w:customStyle="1" w:styleId="P68B1DB1-Normal28">
    <w:name w:val="P68B1DB1-Normal28"/>
    <w:basedOn w:val="Normal"/>
    <w:rPr>
      <w:rFonts w:ascii="Times New Roman" w:hAnsi="Times New Roman" w:cs="Times New Roman"/>
    </w:rPr>
  </w:style>
  <w:style w:type="paragraph" w:customStyle="1" w:styleId="P68B1DB1-Footer29">
    <w:name w:val="P68B1DB1-Footer29"/>
    <w:basedOn w:val="Foot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12">
      <w:bodyDiv w:val="1"/>
      <w:marLeft w:val="0"/>
      <w:marRight w:val="0"/>
      <w:marTop w:val="0"/>
      <w:marBottom w:val="0"/>
      <w:divBdr>
        <w:top w:val="none" w:sz="0" w:space="0" w:color="auto"/>
        <w:left w:val="none" w:sz="0" w:space="0" w:color="auto"/>
        <w:bottom w:val="none" w:sz="0" w:space="0" w:color="auto"/>
        <w:right w:val="none" w:sz="0" w:space="0" w:color="auto"/>
      </w:divBdr>
      <w:divsChild>
        <w:div w:id="625236474">
          <w:marLeft w:val="0"/>
          <w:marRight w:val="0"/>
          <w:marTop w:val="0"/>
          <w:marBottom w:val="0"/>
          <w:divBdr>
            <w:top w:val="none" w:sz="0" w:space="0" w:color="auto"/>
            <w:left w:val="none" w:sz="0" w:space="0" w:color="auto"/>
            <w:bottom w:val="none" w:sz="0" w:space="0" w:color="auto"/>
            <w:right w:val="none" w:sz="0" w:space="0" w:color="auto"/>
          </w:divBdr>
          <w:divsChild>
            <w:div w:id="497307601">
              <w:marLeft w:val="0"/>
              <w:marRight w:val="0"/>
              <w:marTop w:val="0"/>
              <w:marBottom w:val="0"/>
              <w:divBdr>
                <w:top w:val="none" w:sz="0" w:space="0" w:color="auto"/>
                <w:left w:val="none" w:sz="0" w:space="0" w:color="auto"/>
                <w:bottom w:val="none" w:sz="0" w:space="0" w:color="auto"/>
                <w:right w:val="none" w:sz="0" w:space="0" w:color="auto"/>
              </w:divBdr>
            </w:div>
          </w:divsChild>
        </w:div>
        <w:div w:id="1648241264">
          <w:marLeft w:val="0"/>
          <w:marRight w:val="0"/>
          <w:marTop w:val="0"/>
          <w:marBottom w:val="0"/>
          <w:divBdr>
            <w:top w:val="none" w:sz="0" w:space="0" w:color="auto"/>
            <w:left w:val="none" w:sz="0" w:space="0" w:color="auto"/>
            <w:bottom w:val="none" w:sz="0" w:space="0" w:color="auto"/>
            <w:right w:val="none" w:sz="0" w:space="0" w:color="auto"/>
          </w:divBdr>
          <w:divsChild>
            <w:div w:id="16604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60">
      <w:bodyDiv w:val="1"/>
      <w:marLeft w:val="0"/>
      <w:marRight w:val="0"/>
      <w:marTop w:val="0"/>
      <w:marBottom w:val="0"/>
      <w:divBdr>
        <w:top w:val="none" w:sz="0" w:space="0" w:color="auto"/>
        <w:left w:val="none" w:sz="0" w:space="0" w:color="auto"/>
        <w:bottom w:val="none" w:sz="0" w:space="0" w:color="auto"/>
        <w:right w:val="none" w:sz="0" w:space="0" w:color="auto"/>
      </w:divBdr>
      <w:divsChild>
        <w:div w:id="359816115">
          <w:marLeft w:val="0"/>
          <w:marRight w:val="0"/>
          <w:marTop w:val="0"/>
          <w:marBottom w:val="0"/>
          <w:divBdr>
            <w:top w:val="none" w:sz="0" w:space="0" w:color="auto"/>
            <w:left w:val="none" w:sz="0" w:space="0" w:color="auto"/>
            <w:bottom w:val="none" w:sz="0" w:space="0" w:color="auto"/>
            <w:right w:val="none" w:sz="0" w:space="0" w:color="auto"/>
          </w:divBdr>
          <w:divsChild>
            <w:div w:id="1111238644">
              <w:marLeft w:val="0"/>
              <w:marRight w:val="0"/>
              <w:marTop w:val="0"/>
              <w:marBottom w:val="0"/>
              <w:divBdr>
                <w:top w:val="none" w:sz="0" w:space="0" w:color="auto"/>
                <w:left w:val="none" w:sz="0" w:space="0" w:color="auto"/>
                <w:bottom w:val="none" w:sz="0" w:space="0" w:color="auto"/>
                <w:right w:val="none" w:sz="0" w:space="0" w:color="auto"/>
              </w:divBdr>
              <w:divsChild>
                <w:div w:id="340354093">
                  <w:marLeft w:val="0"/>
                  <w:marRight w:val="0"/>
                  <w:marTop w:val="0"/>
                  <w:marBottom w:val="0"/>
                  <w:divBdr>
                    <w:top w:val="none" w:sz="0" w:space="0" w:color="auto"/>
                    <w:left w:val="none" w:sz="0" w:space="0" w:color="auto"/>
                    <w:bottom w:val="none" w:sz="0" w:space="0" w:color="auto"/>
                    <w:right w:val="none" w:sz="0" w:space="0" w:color="auto"/>
                  </w:divBdr>
                </w:div>
                <w:div w:id="1666669808">
                  <w:marLeft w:val="0"/>
                  <w:marRight w:val="0"/>
                  <w:marTop w:val="120"/>
                  <w:marBottom w:val="0"/>
                  <w:divBdr>
                    <w:top w:val="none" w:sz="0" w:space="0" w:color="auto"/>
                    <w:left w:val="none" w:sz="0" w:space="0" w:color="auto"/>
                    <w:bottom w:val="none" w:sz="0" w:space="0" w:color="auto"/>
                    <w:right w:val="none" w:sz="0" w:space="0" w:color="auto"/>
                  </w:divBdr>
                </w:div>
              </w:divsChild>
            </w:div>
            <w:div w:id="1720351510">
              <w:marLeft w:val="0"/>
              <w:marRight w:val="0"/>
              <w:marTop w:val="0"/>
              <w:marBottom w:val="0"/>
              <w:divBdr>
                <w:top w:val="none" w:sz="0" w:space="0" w:color="auto"/>
                <w:left w:val="none" w:sz="0" w:space="0" w:color="auto"/>
                <w:bottom w:val="none" w:sz="0" w:space="0" w:color="auto"/>
                <w:right w:val="none" w:sz="0" w:space="0" w:color="auto"/>
              </w:divBdr>
              <w:divsChild>
                <w:div w:id="1022786744">
                  <w:marLeft w:val="0"/>
                  <w:marRight w:val="0"/>
                  <w:marTop w:val="120"/>
                  <w:marBottom w:val="0"/>
                  <w:divBdr>
                    <w:top w:val="none" w:sz="0" w:space="0" w:color="auto"/>
                    <w:left w:val="none" w:sz="0" w:space="0" w:color="auto"/>
                    <w:bottom w:val="none" w:sz="0" w:space="0" w:color="auto"/>
                    <w:right w:val="none" w:sz="0" w:space="0" w:color="auto"/>
                  </w:divBdr>
                </w:div>
                <w:div w:id="10266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46">
      <w:bodyDiv w:val="1"/>
      <w:marLeft w:val="0"/>
      <w:marRight w:val="0"/>
      <w:marTop w:val="0"/>
      <w:marBottom w:val="0"/>
      <w:divBdr>
        <w:top w:val="none" w:sz="0" w:space="0" w:color="auto"/>
        <w:left w:val="none" w:sz="0" w:space="0" w:color="auto"/>
        <w:bottom w:val="none" w:sz="0" w:space="0" w:color="auto"/>
        <w:right w:val="none" w:sz="0" w:space="0" w:color="auto"/>
      </w:divBdr>
      <w:divsChild>
        <w:div w:id="41099246">
          <w:marLeft w:val="0"/>
          <w:marRight w:val="0"/>
          <w:marTop w:val="0"/>
          <w:marBottom w:val="0"/>
          <w:divBdr>
            <w:top w:val="none" w:sz="0" w:space="0" w:color="auto"/>
            <w:left w:val="none" w:sz="0" w:space="0" w:color="auto"/>
            <w:bottom w:val="none" w:sz="0" w:space="0" w:color="auto"/>
            <w:right w:val="none" w:sz="0" w:space="0" w:color="auto"/>
          </w:divBdr>
          <w:divsChild>
            <w:div w:id="1874734820">
              <w:marLeft w:val="0"/>
              <w:marRight w:val="0"/>
              <w:marTop w:val="0"/>
              <w:marBottom w:val="0"/>
              <w:divBdr>
                <w:top w:val="none" w:sz="0" w:space="0" w:color="auto"/>
                <w:left w:val="none" w:sz="0" w:space="0" w:color="auto"/>
                <w:bottom w:val="none" w:sz="0" w:space="0" w:color="auto"/>
                <w:right w:val="none" w:sz="0" w:space="0" w:color="auto"/>
              </w:divBdr>
            </w:div>
          </w:divsChild>
        </w:div>
        <w:div w:id="458257973">
          <w:marLeft w:val="0"/>
          <w:marRight w:val="0"/>
          <w:marTop w:val="0"/>
          <w:marBottom w:val="0"/>
          <w:divBdr>
            <w:top w:val="none" w:sz="0" w:space="0" w:color="auto"/>
            <w:left w:val="none" w:sz="0" w:space="0" w:color="auto"/>
            <w:bottom w:val="none" w:sz="0" w:space="0" w:color="auto"/>
            <w:right w:val="none" w:sz="0" w:space="0" w:color="auto"/>
          </w:divBdr>
          <w:divsChild>
            <w:div w:id="13410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9742">
      <w:bodyDiv w:val="1"/>
      <w:marLeft w:val="0"/>
      <w:marRight w:val="0"/>
      <w:marTop w:val="0"/>
      <w:marBottom w:val="0"/>
      <w:divBdr>
        <w:top w:val="none" w:sz="0" w:space="0" w:color="auto"/>
        <w:left w:val="none" w:sz="0" w:space="0" w:color="auto"/>
        <w:bottom w:val="none" w:sz="0" w:space="0" w:color="auto"/>
        <w:right w:val="none" w:sz="0" w:space="0" w:color="auto"/>
      </w:divBdr>
      <w:divsChild>
        <w:div w:id="607547490">
          <w:marLeft w:val="0"/>
          <w:marRight w:val="0"/>
          <w:marTop w:val="0"/>
          <w:marBottom w:val="0"/>
          <w:divBdr>
            <w:top w:val="none" w:sz="0" w:space="0" w:color="auto"/>
            <w:left w:val="none" w:sz="0" w:space="0" w:color="auto"/>
            <w:bottom w:val="none" w:sz="0" w:space="0" w:color="auto"/>
            <w:right w:val="none" w:sz="0" w:space="0" w:color="auto"/>
          </w:divBdr>
          <w:divsChild>
            <w:div w:id="17158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861">
      <w:bodyDiv w:val="1"/>
      <w:marLeft w:val="0"/>
      <w:marRight w:val="0"/>
      <w:marTop w:val="0"/>
      <w:marBottom w:val="0"/>
      <w:divBdr>
        <w:top w:val="none" w:sz="0" w:space="0" w:color="auto"/>
        <w:left w:val="none" w:sz="0" w:space="0" w:color="auto"/>
        <w:bottom w:val="none" w:sz="0" w:space="0" w:color="auto"/>
        <w:right w:val="none" w:sz="0" w:space="0" w:color="auto"/>
      </w:divBdr>
      <w:divsChild>
        <w:div w:id="47775954">
          <w:marLeft w:val="0"/>
          <w:marRight w:val="0"/>
          <w:marTop w:val="0"/>
          <w:marBottom w:val="0"/>
          <w:divBdr>
            <w:top w:val="none" w:sz="0" w:space="0" w:color="auto"/>
            <w:left w:val="none" w:sz="0" w:space="0" w:color="auto"/>
            <w:bottom w:val="none" w:sz="0" w:space="0" w:color="auto"/>
            <w:right w:val="none" w:sz="0" w:space="0" w:color="auto"/>
          </w:divBdr>
          <w:divsChild>
            <w:div w:id="1987010073">
              <w:marLeft w:val="0"/>
              <w:marRight w:val="0"/>
              <w:marTop w:val="0"/>
              <w:marBottom w:val="0"/>
              <w:divBdr>
                <w:top w:val="none" w:sz="0" w:space="0" w:color="auto"/>
                <w:left w:val="none" w:sz="0" w:space="0" w:color="auto"/>
                <w:bottom w:val="none" w:sz="0" w:space="0" w:color="auto"/>
                <w:right w:val="none" w:sz="0" w:space="0" w:color="auto"/>
              </w:divBdr>
            </w:div>
          </w:divsChild>
        </w:div>
        <w:div w:id="203369231">
          <w:marLeft w:val="0"/>
          <w:marRight w:val="0"/>
          <w:marTop w:val="0"/>
          <w:marBottom w:val="0"/>
          <w:divBdr>
            <w:top w:val="none" w:sz="0" w:space="0" w:color="auto"/>
            <w:left w:val="none" w:sz="0" w:space="0" w:color="auto"/>
            <w:bottom w:val="none" w:sz="0" w:space="0" w:color="auto"/>
            <w:right w:val="none" w:sz="0" w:space="0" w:color="auto"/>
          </w:divBdr>
          <w:divsChild>
            <w:div w:id="18569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3396">
      <w:bodyDiv w:val="1"/>
      <w:marLeft w:val="0"/>
      <w:marRight w:val="0"/>
      <w:marTop w:val="0"/>
      <w:marBottom w:val="0"/>
      <w:divBdr>
        <w:top w:val="none" w:sz="0" w:space="0" w:color="auto"/>
        <w:left w:val="none" w:sz="0" w:space="0" w:color="auto"/>
        <w:bottom w:val="none" w:sz="0" w:space="0" w:color="auto"/>
        <w:right w:val="none" w:sz="0" w:space="0" w:color="auto"/>
      </w:divBdr>
      <w:divsChild>
        <w:div w:id="1431778538">
          <w:marLeft w:val="0"/>
          <w:marRight w:val="0"/>
          <w:marTop w:val="0"/>
          <w:marBottom w:val="0"/>
          <w:divBdr>
            <w:top w:val="none" w:sz="0" w:space="0" w:color="auto"/>
            <w:left w:val="none" w:sz="0" w:space="0" w:color="auto"/>
            <w:bottom w:val="none" w:sz="0" w:space="0" w:color="auto"/>
            <w:right w:val="none" w:sz="0" w:space="0" w:color="auto"/>
          </w:divBdr>
          <w:divsChild>
            <w:div w:id="593588234">
              <w:marLeft w:val="0"/>
              <w:marRight w:val="0"/>
              <w:marTop w:val="0"/>
              <w:marBottom w:val="0"/>
              <w:divBdr>
                <w:top w:val="none" w:sz="0" w:space="0" w:color="auto"/>
                <w:left w:val="none" w:sz="0" w:space="0" w:color="auto"/>
                <w:bottom w:val="none" w:sz="0" w:space="0" w:color="auto"/>
                <w:right w:val="none" w:sz="0" w:space="0" w:color="auto"/>
              </w:divBdr>
              <w:divsChild>
                <w:div w:id="1717854916">
                  <w:marLeft w:val="0"/>
                  <w:marRight w:val="0"/>
                  <w:marTop w:val="0"/>
                  <w:marBottom w:val="0"/>
                  <w:divBdr>
                    <w:top w:val="none" w:sz="0" w:space="0" w:color="auto"/>
                    <w:left w:val="none" w:sz="0" w:space="0" w:color="auto"/>
                    <w:bottom w:val="none" w:sz="0" w:space="0" w:color="auto"/>
                    <w:right w:val="none" w:sz="0" w:space="0" w:color="auto"/>
                  </w:divBdr>
                </w:div>
                <w:div w:id="2039307516">
                  <w:marLeft w:val="0"/>
                  <w:marRight w:val="0"/>
                  <w:marTop w:val="120"/>
                  <w:marBottom w:val="0"/>
                  <w:divBdr>
                    <w:top w:val="none" w:sz="0" w:space="0" w:color="auto"/>
                    <w:left w:val="none" w:sz="0" w:space="0" w:color="auto"/>
                    <w:bottom w:val="none" w:sz="0" w:space="0" w:color="auto"/>
                    <w:right w:val="none" w:sz="0" w:space="0" w:color="auto"/>
                  </w:divBdr>
                </w:div>
              </w:divsChild>
            </w:div>
            <w:div w:id="1419135514">
              <w:marLeft w:val="0"/>
              <w:marRight w:val="0"/>
              <w:marTop w:val="0"/>
              <w:marBottom w:val="0"/>
              <w:divBdr>
                <w:top w:val="none" w:sz="0" w:space="0" w:color="auto"/>
                <w:left w:val="none" w:sz="0" w:space="0" w:color="auto"/>
                <w:bottom w:val="none" w:sz="0" w:space="0" w:color="auto"/>
                <w:right w:val="none" w:sz="0" w:space="0" w:color="auto"/>
              </w:divBdr>
              <w:divsChild>
                <w:div w:id="973952382">
                  <w:marLeft w:val="0"/>
                  <w:marRight w:val="0"/>
                  <w:marTop w:val="0"/>
                  <w:marBottom w:val="0"/>
                  <w:divBdr>
                    <w:top w:val="none" w:sz="0" w:space="0" w:color="auto"/>
                    <w:left w:val="none" w:sz="0" w:space="0" w:color="auto"/>
                    <w:bottom w:val="none" w:sz="0" w:space="0" w:color="auto"/>
                    <w:right w:val="none" w:sz="0" w:space="0" w:color="auto"/>
                  </w:divBdr>
                </w:div>
                <w:div w:id="1876112639">
                  <w:marLeft w:val="0"/>
                  <w:marRight w:val="0"/>
                  <w:marTop w:val="120"/>
                  <w:marBottom w:val="0"/>
                  <w:divBdr>
                    <w:top w:val="none" w:sz="0" w:space="0" w:color="auto"/>
                    <w:left w:val="none" w:sz="0" w:space="0" w:color="auto"/>
                    <w:bottom w:val="none" w:sz="0" w:space="0" w:color="auto"/>
                    <w:right w:val="none" w:sz="0" w:space="0" w:color="auto"/>
                  </w:divBdr>
                </w:div>
              </w:divsChild>
            </w:div>
            <w:div w:id="1578394977">
              <w:marLeft w:val="0"/>
              <w:marRight w:val="0"/>
              <w:marTop w:val="0"/>
              <w:marBottom w:val="0"/>
              <w:divBdr>
                <w:top w:val="none" w:sz="0" w:space="0" w:color="auto"/>
                <w:left w:val="none" w:sz="0" w:space="0" w:color="auto"/>
                <w:bottom w:val="none" w:sz="0" w:space="0" w:color="auto"/>
                <w:right w:val="none" w:sz="0" w:space="0" w:color="auto"/>
              </w:divBdr>
              <w:divsChild>
                <w:div w:id="1494562406">
                  <w:marLeft w:val="0"/>
                  <w:marRight w:val="0"/>
                  <w:marTop w:val="120"/>
                  <w:marBottom w:val="0"/>
                  <w:divBdr>
                    <w:top w:val="none" w:sz="0" w:space="0" w:color="auto"/>
                    <w:left w:val="none" w:sz="0" w:space="0" w:color="auto"/>
                    <w:bottom w:val="none" w:sz="0" w:space="0" w:color="auto"/>
                    <w:right w:val="none" w:sz="0" w:space="0" w:color="auto"/>
                  </w:divBdr>
                </w:div>
                <w:div w:id="19397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599">
      <w:bodyDiv w:val="1"/>
      <w:marLeft w:val="0"/>
      <w:marRight w:val="0"/>
      <w:marTop w:val="0"/>
      <w:marBottom w:val="0"/>
      <w:divBdr>
        <w:top w:val="none" w:sz="0" w:space="0" w:color="auto"/>
        <w:left w:val="none" w:sz="0" w:space="0" w:color="auto"/>
        <w:bottom w:val="none" w:sz="0" w:space="0" w:color="auto"/>
        <w:right w:val="none" w:sz="0" w:space="0" w:color="auto"/>
      </w:divBdr>
      <w:divsChild>
        <w:div w:id="1552886573">
          <w:marLeft w:val="0"/>
          <w:marRight w:val="0"/>
          <w:marTop w:val="0"/>
          <w:marBottom w:val="0"/>
          <w:divBdr>
            <w:top w:val="none" w:sz="0" w:space="0" w:color="auto"/>
            <w:left w:val="none" w:sz="0" w:space="0" w:color="auto"/>
            <w:bottom w:val="none" w:sz="0" w:space="0" w:color="auto"/>
            <w:right w:val="none" w:sz="0" w:space="0" w:color="auto"/>
          </w:divBdr>
          <w:divsChild>
            <w:div w:id="337386293">
              <w:marLeft w:val="0"/>
              <w:marRight w:val="0"/>
              <w:marTop w:val="0"/>
              <w:marBottom w:val="0"/>
              <w:divBdr>
                <w:top w:val="none" w:sz="0" w:space="0" w:color="auto"/>
                <w:left w:val="none" w:sz="0" w:space="0" w:color="auto"/>
                <w:bottom w:val="none" w:sz="0" w:space="0" w:color="auto"/>
                <w:right w:val="none" w:sz="0" w:space="0" w:color="auto"/>
              </w:divBdr>
              <w:divsChild>
                <w:div w:id="916666044">
                  <w:marLeft w:val="0"/>
                  <w:marRight w:val="0"/>
                  <w:marTop w:val="120"/>
                  <w:marBottom w:val="0"/>
                  <w:divBdr>
                    <w:top w:val="none" w:sz="0" w:space="0" w:color="auto"/>
                    <w:left w:val="none" w:sz="0" w:space="0" w:color="auto"/>
                    <w:bottom w:val="none" w:sz="0" w:space="0" w:color="auto"/>
                    <w:right w:val="none" w:sz="0" w:space="0" w:color="auto"/>
                  </w:divBdr>
                </w:div>
                <w:div w:id="1418332548">
                  <w:marLeft w:val="0"/>
                  <w:marRight w:val="0"/>
                  <w:marTop w:val="0"/>
                  <w:marBottom w:val="0"/>
                  <w:divBdr>
                    <w:top w:val="none" w:sz="0" w:space="0" w:color="auto"/>
                    <w:left w:val="none" w:sz="0" w:space="0" w:color="auto"/>
                    <w:bottom w:val="none" w:sz="0" w:space="0" w:color="auto"/>
                    <w:right w:val="none" w:sz="0" w:space="0" w:color="auto"/>
                  </w:divBdr>
                </w:div>
              </w:divsChild>
            </w:div>
            <w:div w:id="743992846">
              <w:marLeft w:val="0"/>
              <w:marRight w:val="0"/>
              <w:marTop w:val="0"/>
              <w:marBottom w:val="0"/>
              <w:divBdr>
                <w:top w:val="none" w:sz="0" w:space="0" w:color="auto"/>
                <w:left w:val="none" w:sz="0" w:space="0" w:color="auto"/>
                <w:bottom w:val="none" w:sz="0" w:space="0" w:color="auto"/>
                <w:right w:val="none" w:sz="0" w:space="0" w:color="auto"/>
              </w:divBdr>
              <w:divsChild>
                <w:div w:id="932976196">
                  <w:marLeft w:val="0"/>
                  <w:marRight w:val="0"/>
                  <w:marTop w:val="120"/>
                  <w:marBottom w:val="0"/>
                  <w:divBdr>
                    <w:top w:val="none" w:sz="0" w:space="0" w:color="auto"/>
                    <w:left w:val="none" w:sz="0" w:space="0" w:color="auto"/>
                    <w:bottom w:val="none" w:sz="0" w:space="0" w:color="auto"/>
                    <w:right w:val="none" w:sz="0" w:space="0" w:color="auto"/>
                  </w:divBdr>
                </w:div>
                <w:div w:id="1226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6988">
      <w:bodyDiv w:val="1"/>
      <w:marLeft w:val="0"/>
      <w:marRight w:val="0"/>
      <w:marTop w:val="0"/>
      <w:marBottom w:val="0"/>
      <w:divBdr>
        <w:top w:val="none" w:sz="0" w:space="0" w:color="auto"/>
        <w:left w:val="none" w:sz="0" w:space="0" w:color="auto"/>
        <w:bottom w:val="none" w:sz="0" w:space="0" w:color="auto"/>
        <w:right w:val="none" w:sz="0" w:space="0" w:color="auto"/>
      </w:divBdr>
      <w:divsChild>
        <w:div w:id="22752554">
          <w:marLeft w:val="0"/>
          <w:marRight w:val="0"/>
          <w:marTop w:val="0"/>
          <w:marBottom w:val="0"/>
          <w:divBdr>
            <w:top w:val="none" w:sz="0" w:space="0" w:color="auto"/>
            <w:left w:val="none" w:sz="0" w:space="0" w:color="auto"/>
            <w:bottom w:val="none" w:sz="0" w:space="0" w:color="auto"/>
            <w:right w:val="none" w:sz="0" w:space="0" w:color="auto"/>
          </w:divBdr>
          <w:divsChild>
            <w:div w:id="1594512813">
              <w:marLeft w:val="0"/>
              <w:marRight w:val="0"/>
              <w:marTop w:val="0"/>
              <w:marBottom w:val="0"/>
              <w:divBdr>
                <w:top w:val="none" w:sz="0" w:space="0" w:color="auto"/>
                <w:left w:val="none" w:sz="0" w:space="0" w:color="auto"/>
                <w:bottom w:val="none" w:sz="0" w:space="0" w:color="auto"/>
                <w:right w:val="none" w:sz="0" w:space="0" w:color="auto"/>
              </w:divBdr>
              <w:divsChild>
                <w:div w:id="538128520">
                  <w:marLeft w:val="0"/>
                  <w:marRight w:val="0"/>
                  <w:marTop w:val="0"/>
                  <w:marBottom w:val="0"/>
                  <w:divBdr>
                    <w:top w:val="none" w:sz="0" w:space="0" w:color="auto"/>
                    <w:left w:val="none" w:sz="0" w:space="0" w:color="auto"/>
                    <w:bottom w:val="none" w:sz="0" w:space="0" w:color="auto"/>
                    <w:right w:val="none" w:sz="0" w:space="0" w:color="auto"/>
                  </w:divBdr>
                  <w:divsChild>
                    <w:div w:id="1049644407">
                      <w:marLeft w:val="0"/>
                      <w:marRight w:val="0"/>
                      <w:marTop w:val="120"/>
                      <w:marBottom w:val="0"/>
                      <w:divBdr>
                        <w:top w:val="none" w:sz="0" w:space="0" w:color="auto"/>
                        <w:left w:val="none" w:sz="0" w:space="0" w:color="auto"/>
                        <w:bottom w:val="none" w:sz="0" w:space="0" w:color="auto"/>
                        <w:right w:val="none" w:sz="0" w:space="0" w:color="auto"/>
                      </w:divBdr>
                    </w:div>
                    <w:div w:id="2052459355">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1381130384">
                              <w:marLeft w:val="0"/>
                              <w:marRight w:val="0"/>
                              <w:marTop w:val="0"/>
                              <w:marBottom w:val="0"/>
                              <w:divBdr>
                                <w:top w:val="none" w:sz="0" w:space="0" w:color="auto"/>
                                <w:left w:val="none" w:sz="0" w:space="0" w:color="auto"/>
                                <w:bottom w:val="none" w:sz="0" w:space="0" w:color="auto"/>
                                <w:right w:val="none" w:sz="0" w:space="0" w:color="auto"/>
                              </w:divBdr>
                            </w:div>
                            <w:div w:id="1838305211">
                              <w:marLeft w:val="0"/>
                              <w:marRight w:val="0"/>
                              <w:marTop w:val="120"/>
                              <w:marBottom w:val="0"/>
                              <w:divBdr>
                                <w:top w:val="none" w:sz="0" w:space="0" w:color="auto"/>
                                <w:left w:val="none" w:sz="0" w:space="0" w:color="auto"/>
                                <w:bottom w:val="none" w:sz="0" w:space="0" w:color="auto"/>
                                <w:right w:val="none" w:sz="0" w:space="0" w:color="auto"/>
                              </w:divBdr>
                            </w:div>
                          </w:divsChild>
                        </w:div>
                        <w:div w:id="1344094132">
                          <w:marLeft w:val="0"/>
                          <w:marRight w:val="0"/>
                          <w:marTop w:val="0"/>
                          <w:marBottom w:val="0"/>
                          <w:divBdr>
                            <w:top w:val="none" w:sz="0" w:space="0" w:color="auto"/>
                            <w:left w:val="none" w:sz="0" w:space="0" w:color="auto"/>
                            <w:bottom w:val="none" w:sz="0" w:space="0" w:color="auto"/>
                            <w:right w:val="none" w:sz="0" w:space="0" w:color="auto"/>
                          </w:divBdr>
                          <w:divsChild>
                            <w:div w:id="1998338744">
                              <w:marLeft w:val="0"/>
                              <w:marRight w:val="0"/>
                              <w:marTop w:val="0"/>
                              <w:marBottom w:val="0"/>
                              <w:divBdr>
                                <w:top w:val="none" w:sz="0" w:space="0" w:color="auto"/>
                                <w:left w:val="none" w:sz="0" w:space="0" w:color="auto"/>
                                <w:bottom w:val="none" w:sz="0" w:space="0" w:color="auto"/>
                                <w:right w:val="none" w:sz="0" w:space="0" w:color="auto"/>
                              </w:divBdr>
                            </w:div>
                            <w:div w:id="20361473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7325629">
                  <w:marLeft w:val="0"/>
                  <w:marRight w:val="0"/>
                  <w:marTop w:val="0"/>
                  <w:marBottom w:val="0"/>
                  <w:divBdr>
                    <w:top w:val="none" w:sz="0" w:space="0" w:color="auto"/>
                    <w:left w:val="none" w:sz="0" w:space="0" w:color="auto"/>
                    <w:bottom w:val="none" w:sz="0" w:space="0" w:color="auto"/>
                    <w:right w:val="none" w:sz="0" w:space="0" w:color="auto"/>
                  </w:divBdr>
                  <w:divsChild>
                    <w:div w:id="71440460">
                      <w:marLeft w:val="0"/>
                      <w:marRight w:val="0"/>
                      <w:marTop w:val="0"/>
                      <w:marBottom w:val="0"/>
                      <w:divBdr>
                        <w:top w:val="none" w:sz="0" w:space="0" w:color="auto"/>
                        <w:left w:val="none" w:sz="0" w:space="0" w:color="auto"/>
                        <w:bottom w:val="none" w:sz="0" w:space="0" w:color="auto"/>
                        <w:right w:val="none" w:sz="0" w:space="0" w:color="auto"/>
                      </w:divBdr>
                    </w:div>
                    <w:div w:id="1187020328">
                      <w:marLeft w:val="0"/>
                      <w:marRight w:val="0"/>
                      <w:marTop w:val="120"/>
                      <w:marBottom w:val="0"/>
                      <w:divBdr>
                        <w:top w:val="none" w:sz="0" w:space="0" w:color="auto"/>
                        <w:left w:val="none" w:sz="0" w:space="0" w:color="auto"/>
                        <w:bottom w:val="none" w:sz="0" w:space="0" w:color="auto"/>
                        <w:right w:val="none" w:sz="0" w:space="0" w:color="auto"/>
                      </w:divBdr>
                    </w:div>
                  </w:divsChild>
                </w:div>
                <w:div w:id="1495143577">
                  <w:marLeft w:val="0"/>
                  <w:marRight w:val="0"/>
                  <w:marTop w:val="0"/>
                  <w:marBottom w:val="0"/>
                  <w:divBdr>
                    <w:top w:val="none" w:sz="0" w:space="0" w:color="auto"/>
                    <w:left w:val="none" w:sz="0" w:space="0" w:color="auto"/>
                    <w:bottom w:val="none" w:sz="0" w:space="0" w:color="auto"/>
                    <w:right w:val="none" w:sz="0" w:space="0" w:color="auto"/>
                  </w:divBdr>
                  <w:divsChild>
                    <w:div w:id="329531402">
                      <w:marLeft w:val="0"/>
                      <w:marRight w:val="0"/>
                      <w:marTop w:val="120"/>
                      <w:marBottom w:val="0"/>
                      <w:divBdr>
                        <w:top w:val="none" w:sz="0" w:space="0" w:color="auto"/>
                        <w:left w:val="none" w:sz="0" w:space="0" w:color="auto"/>
                        <w:bottom w:val="none" w:sz="0" w:space="0" w:color="auto"/>
                        <w:right w:val="none" w:sz="0" w:space="0" w:color="auto"/>
                      </w:divBdr>
                    </w:div>
                    <w:div w:id="15357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218">
          <w:marLeft w:val="0"/>
          <w:marRight w:val="0"/>
          <w:marTop w:val="0"/>
          <w:marBottom w:val="0"/>
          <w:divBdr>
            <w:top w:val="none" w:sz="0" w:space="0" w:color="auto"/>
            <w:left w:val="none" w:sz="0" w:space="0" w:color="auto"/>
            <w:bottom w:val="none" w:sz="0" w:space="0" w:color="auto"/>
            <w:right w:val="none" w:sz="0" w:space="0" w:color="auto"/>
          </w:divBdr>
          <w:divsChild>
            <w:div w:id="1280529725">
              <w:marLeft w:val="0"/>
              <w:marRight w:val="0"/>
              <w:marTop w:val="0"/>
              <w:marBottom w:val="0"/>
              <w:divBdr>
                <w:top w:val="none" w:sz="0" w:space="0" w:color="auto"/>
                <w:left w:val="none" w:sz="0" w:space="0" w:color="auto"/>
                <w:bottom w:val="none" w:sz="0" w:space="0" w:color="auto"/>
                <w:right w:val="none" w:sz="0" w:space="0" w:color="auto"/>
              </w:divBdr>
            </w:div>
          </w:divsChild>
        </w:div>
        <w:div w:id="813982291">
          <w:marLeft w:val="0"/>
          <w:marRight w:val="0"/>
          <w:marTop w:val="0"/>
          <w:marBottom w:val="0"/>
          <w:divBdr>
            <w:top w:val="none" w:sz="0" w:space="0" w:color="auto"/>
            <w:left w:val="none" w:sz="0" w:space="0" w:color="auto"/>
            <w:bottom w:val="none" w:sz="0" w:space="0" w:color="auto"/>
            <w:right w:val="none" w:sz="0" w:space="0" w:color="auto"/>
          </w:divBdr>
          <w:divsChild>
            <w:div w:id="696123793">
              <w:marLeft w:val="0"/>
              <w:marRight w:val="0"/>
              <w:marTop w:val="0"/>
              <w:marBottom w:val="0"/>
              <w:divBdr>
                <w:top w:val="none" w:sz="0" w:space="0" w:color="auto"/>
                <w:left w:val="none" w:sz="0" w:space="0" w:color="auto"/>
                <w:bottom w:val="none" w:sz="0" w:space="0" w:color="auto"/>
                <w:right w:val="none" w:sz="0" w:space="0" w:color="auto"/>
              </w:divBdr>
            </w:div>
          </w:divsChild>
        </w:div>
        <w:div w:id="1338733468">
          <w:marLeft w:val="0"/>
          <w:marRight w:val="0"/>
          <w:marTop w:val="0"/>
          <w:marBottom w:val="0"/>
          <w:divBdr>
            <w:top w:val="none" w:sz="0" w:space="0" w:color="auto"/>
            <w:left w:val="none" w:sz="0" w:space="0" w:color="auto"/>
            <w:bottom w:val="none" w:sz="0" w:space="0" w:color="auto"/>
            <w:right w:val="none" w:sz="0" w:space="0" w:color="auto"/>
          </w:divBdr>
          <w:divsChild>
            <w:div w:id="374816838">
              <w:marLeft w:val="0"/>
              <w:marRight w:val="0"/>
              <w:marTop w:val="0"/>
              <w:marBottom w:val="0"/>
              <w:divBdr>
                <w:top w:val="none" w:sz="0" w:space="0" w:color="auto"/>
                <w:left w:val="none" w:sz="0" w:space="0" w:color="auto"/>
                <w:bottom w:val="none" w:sz="0" w:space="0" w:color="auto"/>
                <w:right w:val="none" w:sz="0" w:space="0" w:color="auto"/>
              </w:divBdr>
            </w:div>
          </w:divsChild>
        </w:div>
        <w:div w:id="1390571218">
          <w:marLeft w:val="0"/>
          <w:marRight w:val="0"/>
          <w:marTop w:val="0"/>
          <w:marBottom w:val="0"/>
          <w:divBdr>
            <w:top w:val="none" w:sz="0" w:space="0" w:color="auto"/>
            <w:left w:val="none" w:sz="0" w:space="0" w:color="auto"/>
            <w:bottom w:val="none" w:sz="0" w:space="0" w:color="auto"/>
            <w:right w:val="none" w:sz="0" w:space="0" w:color="auto"/>
          </w:divBdr>
          <w:divsChild>
            <w:div w:id="961686366">
              <w:marLeft w:val="0"/>
              <w:marRight w:val="0"/>
              <w:marTop w:val="0"/>
              <w:marBottom w:val="0"/>
              <w:divBdr>
                <w:top w:val="none" w:sz="0" w:space="0" w:color="auto"/>
                <w:left w:val="none" w:sz="0" w:space="0" w:color="auto"/>
                <w:bottom w:val="none" w:sz="0" w:space="0" w:color="auto"/>
                <w:right w:val="none" w:sz="0" w:space="0" w:color="auto"/>
              </w:divBdr>
            </w:div>
          </w:divsChild>
        </w:div>
        <w:div w:id="1782336878">
          <w:marLeft w:val="0"/>
          <w:marRight w:val="0"/>
          <w:marTop w:val="0"/>
          <w:marBottom w:val="0"/>
          <w:divBdr>
            <w:top w:val="none" w:sz="0" w:space="0" w:color="auto"/>
            <w:left w:val="none" w:sz="0" w:space="0" w:color="auto"/>
            <w:bottom w:val="none" w:sz="0" w:space="0" w:color="auto"/>
            <w:right w:val="none" w:sz="0" w:space="0" w:color="auto"/>
          </w:divBdr>
          <w:divsChild>
            <w:div w:id="680088141">
              <w:marLeft w:val="0"/>
              <w:marRight w:val="0"/>
              <w:marTop w:val="0"/>
              <w:marBottom w:val="0"/>
              <w:divBdr>
                <w:top w:val="none" w:sz="0" w:space="0" w:color="auto"/>
                <w:left w:val="none" w:sz="0" w:space="0" w:color="auto"/>
                <w:bottom w:val="none" w:sz="0" w:space="0" w:color="auto"/>
                <w:right w:val="none" w:sz="0" w:space="0" w:color="auto"/>
              </w:divBdr>
            </w:div>
          </w:divsChild>
        </w:div>
        <w:div w:id="2008898340">
          <w:marLeft w:val="0"/>
          <w:marRight w:val="0"/>
          <w:marTop w:val="0"/>
          <w:marBottom w:val="0"/>
          <w:divBdr>
            <w:top w:val="none" w:sz="0" w:space="0" w:color="auto"/>
            <w:left w:val="none" w:sz="0" w:space="0" w:color="auto"/>
            <w:bottom w:val="none" w:sz="0" w:space="0" w:color="auto"/>
            <w:right w:val="none" w:sz="0" w:space="0" w:color="auto"/>
          </w:divBdr>
          <w:divsChild>
            <w:div w:id="4877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2791">
      <w:bodyDiv w:val="1"/>
      <w:marLeft w:val="0"/>
      <w:marRight w:val="0"/>
      <w:marTop w:val="0"/>
      <w:marBottom w:val="0"/>
      <w:divBdr>
        <w:top w:val="none" w:sz="0" w:space="0" w:color="auto"/>
        <w:left w:val="none" w:sz="0" w:space="0" w:color="auto"/>
        <w:bottom w:val="none" w:sz="0" w:space="0" w:color="auto"/>
        <w:right w:val="none" w:sz="0" w:space="0" w:color="auto"/>
      </w:divBdr>
      <w:divsChild>
        <w:div w:id="839589460">
          <w:marLeft w:val="0"/>
          <w:marRight w:val="0"/>
          <w:marTop w:val="0"/>
          <w:marBottom w:val="0"/>
          <w:divBdr>
            <w:top w:val="none" w:sz="0" w:space="0" w:color="auto"/>
            <w:left w:val="none" w:sz="0" w:space="0" w:color="auto"/>
            <w:bottom w:val="none" w:sz="0" w:space="0" w:color="auto"/>
            <w:right w:val="none" w:sz="0" w:space="0" w:color="auto"/>
          </w:divBdr>
        </w:div>
      </w:divsChild>
    </w:div>
    <w:div w:id="62218226">
      <w:bodyDiv w:val="1"/>
      <w:marLeft w:val="0"/>
      <w:marRight w:val="0"/>
      <w:marTop w:val="0"/>
      <w:marBottom w:val="0"/>
      <w:divBdr>
        <w:top w:val="none" w:sz="0" w:space="0" w:color="auto"/>
        <w:left w:val="none" w:sz="0" w:space="0" w:color="auto"/>
        <w:bottom w:val="none" w:sz="0" w:space="0" w:color="auto"/>
        <w:right w:val="none" w:sz="0" w:space="0" w:color="auto"/>
      </w:divBdr>
      <w:divsChild>
        <w:div w:id="1264218921">
          <w:marLeft w:val="0"/>
          <w:marRight w:val="0"/>
          <w:marTop w:val="0"/>
          <w:marBottom w:val="0"/>
          <w:divBdr>
            <w:top w:val="none" w:sz="0" w:space="0" w:color="auto"/>
            <w:left w:val="none" w:sz="0" w:space="0" w:color="auto"/>
            <w:bottom w:val="none" w:sz="0" w:space="0" w:color="auto"/>
            <w:right w:val="none" w:sz="0" w:space="0" w:color="auto"/>
          </w:divBdr>
          <w:divsChild>
            <w:div w:id="814613498">
              <w:marLeft w:val="0"/>
              <w:marRight w:val="0"/>
              <w:marTop w:val="0"/>
              <w:marBottom w:val="0"/>
              <w:divBdr>
                <w:top w:val="none" w:sz="0" w:space="0" w:color="auto"/>
                <w:left w:val="none" w:sz="0" w:space="0" w:color="auto"/>
                <w:bottom w:val="none" w:sz="0" w:space="0" w:color="auto"/>
                <w:right w:val="none" w:sz="0" w:space="0" w:color="auto"/>
              </w:divBdr>
              <w:divsChild>
                <w:div w:id="111899430">
                  <w:marLeft w:val="0"/>
                  <w:marRight w:val="0"/>
                  <w:marTop w:val="120"/>
                  <w:marBottom w:val="0"/>
                  <w:divBdr>
                    <w:top w:val="none" w:sz="0" w:space="0" w:color="auto"/>
                    <w:left w:val="none" w:sz="0" w:space="0" w:color="auto"/>
                    <w:bottom w:val="none" w:sz="0" w:space="0" w:color="auto"/>
                    <w:right w:val="none" w:sz="0" w:space="0" w:color="auto"/>
                  </w:divBdr>
                </w:div>
                <w:div w:id="305281796">
                  <w:marLeft w:val="0"/>
                  <w:marRight w:val="0"/>
                  <w:marTop w:val="0"/>
                  <w:marBottom w:val="0"/>
                  <w:divBdr>
                    <w:top w:val="none" w:sz="0" w:space="0" w:color="auto"/>
                    <w:left w:val="none" w:sz="0" w:space="0" w:color="auto"/>
                    <w:bottom w:val="none" w:sz="0" w:space="0" w:color="auto"/>
                    <w:right w:val="none" w:sz="0" w:space="0" w:color="auto"/>
                  </w:divBdr>
                </w:div>
              </w:divsChild>
            </w:div>
            <w:div w:id="1618944831">
              <w:marLeft w:val="0"/>
              <w:marRight w:val="0"/>
              <w:marTop w:val="0"/>
              <w:marBottom w:val="0"/>
              <w:divBdr>
                <w:top w:val="none" w:sz="0" w:space="0" w:color="auto"/>
                <w:left w:val="none" w:sz="0" w:space="0" w:color="auto"/>
                <w:bottom w:val="none" w:sz="0" w:space="0" w:color="auto"/>
                <w:right w:val="none" w:sz="0" w:space="0" w:color="auto"/>
              </w:divBdr>
              <w:divsChild>
                <w:div w:id="182283084">
                  <w:marLeft w:val="0"/>
                  <w:marRight w:val="0"/>
                  <w:marTop w:val="120"/>
                  <w:marBottom w:val="0"/>
                  <w:divBdr>
                    <w:top w:val="none" w:sz="0" w:space="0" w:color="auto"/>
                    <w:left w:val="none" w:sz="0" w:space="0" w:color="auto"/>
                    <w:bottom w:val="none" w:sz="0" w:space="0" w:color="auto"/>
                    <w:right w:val="none" w:sz="0" w:space="0" w:color="auto"/>
                  </w:divBdr>
                </w:div>
                <w:div w:id="16458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5827">
      <w:bodyDiv w:val="1"/>
      <w:marLeft w:val="0"/>
      <w:marRight w:val="0"/>
      <w:marTop w:val="0"/>
      <w:marBottom w:val="0"/>
      <w:divBdr>
        <w:top w:val="none" w:sz="0" w:space="0" w:color="auto"/>
        <w:left w:val="none" w:sz="0" w:space="0" w:color="auto"/>
        <w:bottom w:val="none" w:sz="0" w:space="0" w:color="auto"/>
        <w:right w:val="none" w:sz="0" w:space="0" w:color="auto"/>
      </w:divBdr>
    </w:div>
    <w:div w:id="73280835">
      <w:bodyDiv w:val="1"/>
      <w:marLeft w:val="0"/>
      <w:marRight w:val="0"/>
      <w:marTop w:val="0"/>
      <w:marBottom w:val="0"/>
      <w:divBdr>
        <w:top w:val="none" w:sz="0" w:space="0" w:color="auto"/>
        <w:left w:val="none" w:sz="0" w:space="0" w:color="auto"/>
        <w:bottom w:val="none" w:sz="0" w:space="0" w:color="auto"/>
        <w:right w:val="none" w:sz="0" w:space="0" w:color="auto"/>
      </w:divBdr>
    </w:div>
    <w:div w:id="105152003">
      <w:bodyDiv w:val="1"/>
      <w:marLeft w:val="0"/>
      <w:marRight w:val="0"/>
      <w:marTop w:val="0"/>
      <w:marBottom w:val="0"/>
      <w:divBdr>
        <w:top w:val="none" w:sz="0" w:space="0" w:color="auto"/>
        <w:left w:val="none" w:sz="0" w:space="0" w:color="auto"/>
        <w:bottom w:val="none" w:sz="0" w:space="0" w:color="auto"/>
        <w:right w:val="none" w:sz="0" w:space="0" w:color="auto"/>
      </w:divBdr>
      <w:divsChild>
        <w:div w:id="383992283">
          <w:marLeft w:val="0"/>
          <w:marRight w:val="0"/>
          <w:marTop w:val="120"/>
          <w:marBottom w:val="0"/>
          <w:divBdr>
            <w:top w:val="none" w:sz="0" w:space="0" w:color="auto"/>
            <w:left w:val="none" w:sz="0" w:space="0" w:color="auto"/>
            <w:bottom w:val="none" w:sz="0" w:space="0" w:color="auto"/>
            <w:right w:val="none" w:sz="0" w:space="0" w:color="auto"/>
          </w:divBdr>
        </w:div>
        <w:div w:id="2018841752">
          <w:marLeft w:val="0"/>
          <w:marRight w:val="0"/>
          <w:marTop w:val="0"/>
          <w:marBottom w:val="0"/>
          <w:divBdr>
            <w:top w:val="none" w:sz="0" w:space="0" w:color="auto"/>
            <w:left w:val="none" w:sz="0" w:space="0" w:color="auto"/>
            <w:bottom w:val="none" w:sz="0" w:space="0" w:color="auto"/>
            <w:right w:val="none" w:sz="0" w:space="0" w:color="auto"/>
          </w:divBdr>
        </w:div>
      </w:divsChild>
    </w:div>
    <w:div w:id="123282316">
      <w:bodyDiv w:val="1"/>
      <w:marLeft w:val="0"/>
      <w:marRight w:val="0"/>
      <w:marTop w:val="0"/>
      <w:marBottom w:val="0"/>
      <w:divBdr>
        <w:top w:val="none" w:sz="0" w:space="0" w:color="auto"/>
        <w:left w:val="none" w:sz="0" w:space="0" w:color="auto"/>
        <w:bottom w:val="none" w:sz="0" w:space="0" w:color="auto"/>
        <w:right w:val="none" w:sz="0" w:space="0" w:color="auto"/>
      </w:divBdr>
    </w:div>
    <w:div w:id="129052572">
      <w:bodyDiv w:val="1"/>
      <w:marLeft w:val="0"/>
      <w:marRight w:val="0"/>
      <w:marTop w:val="0"/>
      <w:marBottom w:val="0"/>
      <w:divBdr>
        <w:top w:val="none" w:sz="0" w:space="0" w:color="auto"/>
        <w:left w:val="none" w:sz="0" w:space="0" w:color="auto"/>
        <w:bottom w:val="none" w:sz="0" w:space="0" w:color="auto"/>
        <w:right w:val="none" w:sz="0" w:space="0" w:color="auto"/>
      </w:divBdr>
      <w:divsChild>
        <w:div w:id="20474971">
          <w:marLeft w:val="0"/>
          <w:marRight w:val="0"/>
          <w:marTop w:val="0"/>
          <w:marBottom w:val="0"/>
          <w:divBdr>
            <w:top w:val="none" w:sz="0" w:space="0" w:color="auto"/>
            <w:left w:val="none" w:sz="0" w:space="0" w:color="auto"/>
            <w:bottom w:val="none" w:sz="0" w:space="0" w:color="auto"/>
            <w:right w:val="none" w:sz="0" w:space="0" w:color="auto"/>
          </w:divBdr>
          <w:divsChild>
            <w:div w:id="303900525">
              <w:marLeft w:val="0"/>
              <w:marRight w:val="0"/>
              <w:marTop w:val="0"/>
              <w:marBottom w:val="0"/>
              <w:divBdr>
                <w:top w:val="none" w:sz="0" w:space="0" w:color="auto"/>
                <w:left w:val="none" w:sz="0" w:space="0" w:color="auto"/>
                <w:bottom w:val="none" w:sz="0" w:space="0" w:color="auto"/>
                <w:right w:val="none" w:sz="0" w:space="0" w:color="auto"/>
              </w:divBdr>
              <w:divsChild>
                <w:div w:id="87628048">
                  <w:marLeft w:val="0"/>
                  <w:marRight w:val="0"/>
                  <w:marTop w:val="0"/>
                  <w:marBottom w:val="0"/>
                  <w:divBdr>
                    <w:top w:val="none" w:sz="0" w:space="0" w:color="auto"/>
                    <w:left w:val="none" w:sz="0" w:space="0" w:color="auto"/>
                    <w:bottom w:val="none" w:sz="0" w:space="0" w:color="auto"/>
                    <w:right w:val="none" w:sz="0" w:space="0" w:color="auto"/>
                  </w:divBdr>
                  <w:divsChild>
                    <w:div w:id="55707976">
                      <w:marLeft w:val="0"/>
                      <w:marRight w:val="0"/>
                      <w:marTop w:val="0"/>
                      <w:marBottom w:val="0"/>
                      <w:divBdr>
                        <w:top w:val="none" w:sz="0" w:space="0" w:color="auto"/>
                        <w:left w:val="none" w:sz="0" w:space="0" w:color="auto"/>
                        <w:bottom w:val="none" w:sz="0" w:space="0" w:color="auto"/>
                        <w:right w:val="none" w:sz="0" w:space="0" w:color="auto"/>
                      </w:divBdr>
                      <w:divsChild>
                        <w:div w:id="986475548">
                          <w:marLeft w:val="0"/>
                          <w:marRight w:val="0"/>
                          <w:marTop w:val="0"/>
                          <w:marBottom w:val="0"/>
                          <w:divBdr>
                            <w:top w:val="none" w:sz="0" w:space="0" w:color="auto"/>
                            <w:left w:val="none" w:sz="0" w:space="0" w:color="auto"/>
                            <w:bottom w:val="none" w:sz="0" w:space="0" w:color="auto"/>
                            <w:right w:val="none" w:sz="0" w:space="0" w:color="auto"/>
                          </w:divBdr>
                        </w:div>
                        <w:div w:id="1189832312">
                          <w:marLeft w:val="0"/>
                          <w:marRight w:val="0"/>
                          <w:marTop w:val="120"/>
                          <w:marBottom w:val="0"/>
                          <w:divBdr>
                            <w:top w:val="none" w:sz="0" w:space="0" w:color="auto"/>
                            <w:left w:val="none" w:sz="0" w:space="0" w:color="auto"/>
                            <w:bottom w:val="none" w:sz="0" w:space="0" w:color="auto"/>
                            <w:right w:val="none" w:sz="0" w:space="0" w:color="auto"/>
                          </w:divBdr>
                        </w:div>
                      </w:divsChild>
                    </w:div>
                    <w:div w:id="964241239">
                      <w:marLeft w:val="0"/>
                      <w:marRight w:val="0"/>
                      <w:marTop w:val="0"/>
                      <w:marBottom w:val="0"/>
                      <w:divBdr>
                        <w:top w:val="none" w:sz="0" w:space="0" w:color="auto"/>
                        <w:left w:val="none" w:sz="0" w:space="0" w:color="auto"/>
                        <w:bottom w:val="none" w:sz="0" w:space="0" w:color="auto"/>
                        <w:right w:val="none" w:sz="0" w:space="0" w:color="auto"/>
                      </w:divBdr>
                      <w:divsChild>
                        <w:div w:id="218249104">
                          <w:marLeft w:val="0"/>
                          <w:marRight w:val="0"/>
                          <w:marTop w:val="120"/>
                          <w:marBottom w:val="0"/>
                          <w:divBdr>
                            <w:top w:val="none" w:sz="0" w:space="0" w:color="auto"/>
                            <w:left w:val="none" w:sz="0" w:space="0" w:color="auto"/>
                            <w:bottom w:val="none" w:sz="0" w:space="0" w:color="auto"/>
                            <w:right w:val="none" w:sz="0" w:space="0" w:color="auto"/>
                          </w:divBdr>
                        </w:div>
                        <w:div w:id="441077333">
                          <w:marLeft w:val="0"/>
                          <w:marRight w:val="0"/>
                          <w:marTop w:val="0"/>
                          <w:marBottom w:val="0"/>
                          <w:divBdr>
                            <w:top w:val="none" w:sz="0" w:space="0" w:color="auto"/>
                            <w:left w:val="none" w:sz="0" w:space="0" w:color="auto"/>
                            <w:bottom w:val="none" w:sz="0" w:space="0" w:color="auto"/>
                            <w:right w:val="none" w:sz="0" w:space="0" w:color="auto"/>
                          </w:divBdr>
                        </w:div>
                      </w:divsChild>
                    </w:div>
                    <w:div w:id="1487162839">
                      <w:marLeft w:val="0"/>
                      <w:marRight w:val="0"/>
                      <w:marTop w:val="0"/>
                      <w:marBottom w:val="0"/>
                      <w:divBdr>
                        <w:top w:val="none" w:sz="0" w:space="0" w:color="auto"/>
                        <w:left w:val="none" w:sz="0" w:space="0" w:color="auto"/>
                        <w:bottom w:val="none" w:sz="0" w:space="0" w:color="auto"/>
                        <w:right w:val="none" w:sz="0" w:space="0" w:color="auto"/>
                      </w:divBdr>
                      <w:divsChild>
                        <w:div w:id="137042641">
                          <w:marLeft w:val="0"/>
                          <w:marRight w:val="0"/>
                          <w:marTop w:val="120"/>
                          <w:marBottom w:val="0"/>
                          <w:divBdr>
                            <w:top w:val="none" w:sz="0" w:space="0" w:color="auto"/>
                            <w:left w:val="none" w:sz="0" w:space="0" w:color="auto"/>
                            <w:bottom w:val="none" w:sz="0" w:space="0" w:color="auto"/>
                            <w:right w:val="none" w:sz="0" w:space="0" w:color="auto"/>
                          </w:divBdr>
                        </w:div>
                        <w:div w:id="1551382587">
                          <w:marLeft w:val="0"/>
                          <w:marRight w:val="0"/>
                          <w:marTop w:val="0"/>
                          <w:marBottom w:val="0"/>
                          <w:divBdr>
                            <w:top w:val="none" w:sz="0" w:space="0" w:color="auto"/>
                            <w:left w:val="none" w:sz="0" w:space="0" w:color="auto"/>
                            <w:bottom w:val="none" w:sz="0" w:space="0" w:color="auto"/>
                            <w:right w:val="none" w:sz="0" w:space="0" w:color="auto"/>
                          </w:divBdr>
                        </w:div>
                      </w:divsChild>
                    </w:div>
                    <w:div w:id="1607040266">
                      <w:marLeft w:val="0"/>
                      <w:marRight w:val="0"/>
                      <w:marTop w:val="0"/>
                      <w:marBottom w:val="0"/>
                      <w:divBdr>
                        <w:top w:val="none" w:sz="0" w:space="0" w:color="auto"/>
                        <w:left w:val="none" w:sz="0" w:space="0" w:color="auto"/>
                        <w:bottom w:val="none" w:sz="0" w:space="0" w:color="auto"/>
                        <w:right w:val="none" w:sz="0" w:space="0" w:color="auto"/>
                      </w:divBdr>
                      <w:divsChild>
                        <w:div w:id="67846538">
                          <w:marLeft w:val="0"/>
                          <w:marRight w:val="0"/>
                          <w:marTop w:val="0"/>
                          <w:marBottom w:val="0"/>
                          <w:divBdr>
                            <w:top w:val="none" w:sz="0" w:space="0" w:color="auto"/>
                            <w:left w:val="none" w:sz="0" w:space="0" w:color="auto"/>
                            <w:bottom w:val="none" w:sz="0" w:space="0" w:color="auto"/>
                            <w:right w:val="none" w:sz="0" w:space="0" w:color="auto"/>
                          </w:divBdr>
                        </w:div>
                        <w:div w:id="10953944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675141">
                  <w:marLeft w:val="0"/>
                  <w:marRight w:val="0"/>
                  <w:marTop w:val="120"/>
                  <w:marBottom w:val="0"/>
                  <w:divBdr>
                    <w:top w:val="none" w:sz="0" w:space="0" w:color="auto"/>
                    <w:left w:val="none" w:sz="0" w:space="0" w:color="auto"/>
                    <w:bottom w:val="none" w:sz="0" w:space="0" w:color="auto"/>
                    <w:right w:val="none" w:sz="0" w:space="0" w:color="auto"/>
                  </w:divBdr>
                </w:div>
              </w:divsChild>
            </w:div>
            <w:div w:id="1543982931">
              <w:marLeft w:val="0"/>
              <w:marRight w:val="0"/>
              <w:marTop w:val="0"/>
              <w:marBottom w:val="0"/>
              <w:divBdr>
                <w:top w:val="none" w:sz="0" w:space="0" w:color="auto"/>
                <w:left w:val="none" w:sz="0" w:space="0" w:color="auto"/>
                <w:bottom w:val="none" w:sz="0" w:space="0" w:color="auto"/>
                <w:right w:val="none" w:sz="0" w:space="0" w:color="auto"/>
              </w:divBdr>
              <w:divsChild>
                <w:div w:id="127554433">
                  <w:marLeft w:val="0"/>
                  <w:marRight w:val="0"/>
                  <w:marTop w:val="120"/>
                  <w:marBottom w:val="0"/>
                  <w:divBdr>
                    <w:top w:val="none" w:sz="0" w:space="0" w:color="auto"/>
                    <w:left w:val="none" w:sz="0" w:space="0" w:color="auto"/>
                    <w:bottom w:val="none" w:sz="0" w:space="0" w:color="auto"/>
                    <w:right w:val="none" w:sz="0" w:space="0" w:color="auto"/>
                  </w:divBdr>
                </w:div>
                <w:div w:id="498270951">
                  <w:marLeft w:val="0"/>
                  <w:marRight w:val="0"/>
                  <w:marTop w:val="0"/>
                  <w:marBottom w:val="0"/>
                  <w:divBdr>
                    <w:top w:val="none" w:sz="0" w:space="0" w:color="auto"/>
                    <w:left w:val="none" w:sz="0" w:space="0" w:color="auto"/>
                    <w:bottom w:val="none" w:sz="0" w:space="0" w:color="auto"/>
                    <w:right w:val="none" w:sz="0" w:space="0" w:color="auto"/>
                  </w:divBdr>
                </w:div>
              </w:divsChild>
            </w:div>
            <w:div w:id="1849443842">
              <w:marLeft w:val="0"/>
              <w:marRight w:val="0"/>
              <w:marTop w:val="0"/>
              <w:marBottom w:val="0"/>
              <w:divBdr>
                <w:top w:val="none" w:sz="0" w:space="0" w:color="auto"/>
                <w:left w:val="none" w:sz="0" w:space="0" w:color="auto"/>
                <w:bottom w:val="none" w:sz="0" w:space="0" w:color="auto"/>
                <w:right w:val="none" w:sz="0" w:space="0" w:color="auto"/>
              </w:divBdr>
              <w:divsChild>
                <w:div w:id="928391740">
                  <w:marLeft w:val="0"/>
                  <w:marRight w:val="0"/>
                  <w:marTop w:val="120"/>
                  <w:marBottom w:val="0"/>
                  <w:divBdr>
                    <w:top w:val="none" w:sz="0" w:space="0" w:color="auto"/>
                    <w:left w:val="none" w:sz="0" w:space="0" w:color="auto"/>
                    <w:bottom w:val="none" w:sz="0" w:space="0" w:color="auto"/>
                    <w:right w:val="none" w:sz="0" w:space="0" w:color="auto"/>
                  </w:divBdr>
                </w:div>
                <w:div w:id="1650477731">
                  <w:marLeft w:val="0"/>
                  <w:marRight w:val="0"/>
                  <w:marTop w:val="0"/>
                  <w:marBottom w:val="0"/>
                  <w:divBdr>
                    <w:top w:val="none" w:sz="0" w:space="0" w:color="auto"/>
                    <w:left w:val="none" w:sz="0" w:space="0" w:color="auto"/>
                    <w:bottom w:val="none" w:sz="0" w:space="0" w:color="auto"/>
                    <w:right w:val="none" w:sz="0" w:space="0" w:color="auto"/>
                  </w:divBdr>
                </w:div>
              </w:divsChild>
            </w:div>
            <w:div w:id="2029746356">
              <w:marLeft w:val="0"/>
              <w:marRight w:val="0"/>
              <w:marTop w:val="0"/>
              <w:marBottom w:val="0"/>
              <w:divBdr>
                <w:top w:val="none" w:sz="0" w:space="0" w:color="auto"/>
                <w:left w:val="none" w:sz="0" w:space="0" w:color="auto"/>
                <w:bottom w:val="none" w:sz="0" w:space="0" w:color="auto"/>
                <w:right w:val="none" w:sz="0" w:space="0" w:color="auto"/>
              </w:divBdr>
              <w:divsChild>
                <w:div w:id="526872981">
                  <w:marLeft w:val="0"/>
                  <w:marRight w:val="0"/>
                  <w:marTop w:val="0"/>
                  <w:marBottom w:val="0"/>
                  <w:divBdr>
                    <w:top w:val="none" w:sz="0" w:space="0" w:color="auto"/>
                    <w:left w:val="none" w:sz="0" w:space="0" w:color="auto"/>
                    <w:bottom w:val="none" w:sz="0" w:space="0" w:color="auto"/>
                    <w:right w:val="none" w:sz="0" w:space="0" w:color="auto"/>
                  </w:divBdr>
                </w:div>
                <w:div w:id="1995723416">
                  <w:marLeft w:val="0"/>
                  <w:marRight w:val="0"/>
                  <w:marTop w:val="120"/>
                  <w:marBottom w:val="0"/>
                  <w:divBdr>
                    <w:top w:val="none" w:sz="0" w:space="0" w:color="auto"/>
                    <w:left w:val="none" w:sz="0" w:space="0" w:color="auto"/>
                    <w:bottom w:val="none" w:sz="0" w:space="0" w:color="auto"/>
                    <w:right w:val="none" w:sz="0" w:space="0" w:color="auto"/>
                  </w:divBdr>
                </w:div>
              </w:divsChild>
            </w:div>
            <w:div w:id="2104718027">
              <w:marLeft w:val="0"/>
              <w:marRight w:val="0"/>
              <w:marTop w:val="0"/>
              <w:marBottom w:val="0"/>
              <w:divBdr>
                <w:top w:val="none" w:sz="0" w:space="0" w:color="auto"/>
                <w:left w:val="none" w:sz="0" w:space="0" w:color="auto"/>
                <w:bottom w:val="none" w:sz="0" w:space="0" w:color="auto"/>
                <w:right w:val="none" w:sz="0" w:space="0" w:color="auto"/>
              </w:divBdr>
              <w:divsChild>
                <w:div w:id="1554004005">
                  <w:marLeft w:val="0"/>
                  <w:marRight w:val="0"/>
                  <w:marTop w:val="0"/>
                  <w:marBottom w:val="0"/>
                  <w:divBdr>
                    <w:top w:val="none" w:sz="0" w:space="0" w:color="auto"/>
                    <w:left w:val="none" w:sz="0" w:space="0" w:color="auto"/>
                    <w:bottom w:val="none" w:sz="0" w:space="0" w:color="auto"/>
                    <w:right w:val="none" w:sz="0" w:space="0" w:color="auto"/>
                  </w:divBdr>
                </w:div>
                <w:div w:id="1773627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88016">
      <w:bodyDiv w:val="1"/>
      <w:marLeft w:val="0"/>
      <w:marRight w:val="0"/>
      <w:marTop w:val="0"/>
      <w:marBottom w:val="0"/>
      <w:divBdr>
        <w:top w:val="none" w:sz="0" w:space="0" w:color="auto"/>
        <w:left w:val="none" w:sz="0" w:space="0" w:color="auto"/>
        <w:bottom w:val="none" w:sz="0" w:space="0" w:color="auto"/>
        <w:right w:val="none" w:sz="0" w:space="0" w:color="auto"/>
      </w:divBdr>
      <w:divsChild>
        <w:div w:id="336930472">
          <w:marLeft w:val="0"/>
          <w:marRight w:val="0"/>
          <w:marTop w:val="0"/>
          <w:marBottom w:val="0"/>
          <w:divBdr>
            <w:top w:val="none" w:sz="0" w:space="0" w:color="auto"/>
            <w:left w:val="none" w:sz="0" w:space="0" w:color="auto"/>
            <w:bottom w:val="none" w:sz="0" w:space="0" w:color="auto"/>
            <w:right w:val="none" w:sz="0" w:space="0" w:color="auto"/>
          </w:divBdr>
        </w:div>
      </w:divsChild>
    </w:div>
    <w:div w:id="158084740">
      <w:bodyDiv w:val="1"/>
      <w:marLeft w:val="0"/>
      <w:marRight w:val="0"/>
      <w:marTop w:val="0"/>
      <w:marBottom w:val="0"/>
      <w:divBdr>
        <w:top w:val="none" w:sz="0" w:space="0" w:color="auto"/>
        <w:left w:val="none" w:sz="0" w:space="0" w:color="auto"/>
        <w:bottom w:val="none" w:sz="0" w:space="0" w:color="auto"/>
        <w:right w:val="none" w:sz="0" w:space="0" w:color="auto"/>
      </w:divBdr>
    </w:div>
    <w:div w:id="162554741">
      <w:bodyDiv w:val="1"/>
      <w:marLeft w:val="0"/>
      <w:marRight w:val="0"/>
      <w:marTop w:val="0"/>
      <w:marBottom w:val="0"/>
      <w:divBdr>
        <w:top w:val="none" w:sz="0" w:space="0" w:color="auto"/>
        <w:left w:val="none" w:sz="0" w:space="0" w:color="auto"/>
        <w:bottom w:val="none" w:sz="0" w:space="0" w:color="auto"/>
        <w:right w:val="none" w:sz="0" w:space="0" w:color="auto"/>
      </w:divBdr>
    </w:div>
    <w:div w:id="164637570">
      <w:bodyDiv w:val="1"/>
      <w:marLeft w:val="0"/>
      <w:marRight w:val="0"/>
      <w:marTop w:val="0"/>
      <w:marBottom w:val="0"/>
      <w:divBdr>
        <w:top w:val="none" w:sz="0" w:space="0" w:color="auto"/>
        <w:left w:val="none" w:sz="0" w:space="0" w:color="auto"/>
        <w:bottom w:val="none" w:sz="0" w:space="0" w:color="auto"/>
        <w:right w:val="none" w:sz="0" w:space="0" w:color="auto"/>
      </w:divBdr>
      <w:divsChild>
        <w:div w:id="126319498">
          <w:marLeft w:val="0"/>
          <w:marRight w:val="0"/>
          <w:marTop w:val="0"/>
          <w:marBottom w:val="0"/>
          <w:divBdr>
            <w:top w:val="none" w:sz="0" w:space="0" w:color="auto"/>
            <w:left w:val="none" w:sz="0" w:space="0" w:color="auto"/>
            <w:bottom w:val="none" w:sz="0" w:space="0" w:color="auto"/>
            <w:right w:val="none" w:sz="0" w:space="0" w:color="auto"/>
          </w:divBdr>
          <w:divsChild>
            <w:div w:id="2358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3059">
      <w:bodyDiv w:val="1"/>
      <w:marLeft w:val="0"/>
      <w:marRight w:val="0"/>
      <w:marTop w:val="0"/>
      <w:marBottom w:val="0"/>
      <w:divBdr>
        <w:top w:val="none" w:sz="0" w:space="0" w:color="auto"/>
        <w:left w:val="none" w:sz="0" w:space="0" w:color="auto"/>
        <w:bottom w:val="none" w:sz="0" w:space="0" w:color="auto"/>
        <w:right w:val="none" w:sz="0" w:space="0" w:color="auto"/>
      </w:divBdr>
      <w:divsChild>
        <w:div w:id="196699188">
          <w:marLeft w:val="0"/>
          <w:marRight w:val="0"/>
          <w:marTop w:val="0"/>
          <w:marBottom w:val="0"/>
          <w:divBdr>
            <w:top w:val="none" w:sz="0" w:space="0" w:color="auto"/>
            <w:left w:val="none" w:sz="0" w:space="0" w:color="auto"/>
            <w:bottom w:val="none" w:sz="0" w:space="0" w:color="auto"/>
            <w:right w:val="none" w:sz="0" w:space="0" w:color="auto"/>
          </w:divBdr>
          <w:divsChild>
            <w:div w:id="1031344083">
              <w:marLeft w:val="0"/>
              <w:marRight w:val="0"/>
              <w:marTop w:val="0"/>
              <w:marBottom w:val="0"/>
              <w:divBdr>
                <w:top w:val="none" w:sz="0" w:space="0" w:color="auto"/>
                <w:left w:val="none" w:sz="0" w:space="0" w:color="auto"/>
                <w:bottom w:val="none" w:sz="0" w:space="0" w:color="auto"/>
                <w:right w:val="none" w:sz="0" w:space="0" w:color="auto"/>
              </w:divBdr>
            </w:div>
            <w:div w:id="1157764359">
              <w:marLeft w:val="0"/>
              <w:marRight w:val="0"/>
              <w:marTop w:val="120"/>
              <w:marBottom w:val="0"/>
              <w:divBdr>
                <w:top w:val="none" w:sz="0" w:space="0" w:color="auto"/>
                <w:left w:val="none" w:sz="0" w:space="0" w:color="auto"/>
                <w:bottom w:val="none" w:sz="0" w:space="0" w:color="auto"/>
                <w:right w:val="none" w:sz="0" w:space="0" w:color="auto"/>
              </w:divBdr>
            </w:div>
          </w:divsChild>
        </w:div>
        <w:div w:id="424496320">
          <w:marLeft w:val="0"/>
          <w:marRight w:val="0"/>
          <w:marTop w:val="0"/>
          <w:marBottom w:val="0"/>
          <w:divBdr>
            <w:top w:val="none" w:sz="0" w:space="0" w:color="auto"/>
            <w:left w:val="none" w:sz="0" w:space="0" w:color="auto"/>
            <w:bottom w:val="none" w:sz="0" w:space="0" w:color="auto"/>
            <w:right w:val="none" w:sz="0" w:space="0" w:color="auto"/>
          </w:divBdr>
          <w:divsChild>
            <w:div w:id="832842288">
              <w:marLeft w:val="0"/>
              <w:marRight w:val="0"/>
              <w:marTop w:val="0"/>
              <w:marBottom w:val="0"/>
              <w:divBdr>
                <w:top w:val="none" w:sz="0" w:space="0" w:color="auto"/>
                <w:left w:val="none" w:sz="0" w:space="0" w:color="auto"/>
                <w:bottom w:val="none" w:sz="0" w:space="0" w:color="auto"/>
                <w:right w:val="none" w:sz="0" w:space="0" w:color="auto"/>
              </w:divBdr>
            </w:div>
            <w:div w:id="1558323277">
              <w:marLeft w:val="0"/>
              <w:marRight w:val="0"/>
              <w:marTop w:val="120"/>
              <w:marBottom w:val="0"/>
              <w:divBdr>
                <w:top w:val="none" w:sz="0" w:space="0" w:color="auto"/>
                <w:left w:val="none" w:sz="0" w:space="0" w:color="auto"/>
                <w:bottom w:val="none" w:sz="0" w:space="0" w:color="auto"/>
                <w:right w:val="none" w:sz="0" w:space="0" w:color="auto"/>
              </w:divBdr>
            </w:div>
          </w:divsChild>
        </w:div>
        <w:div w:id="810253029">
          <w:marLeft w:val="0"/>
          <w:marRight w:val="0"/>
          <w:marTop w:val="0"/>
          <w:marBottom w:val="0"/>
          <w:divBdr>
            <w:top w:val="none" w:sz="0" w:space="0" w:color="auto"/>
            <w:left w:val="none" w:sz="0" w:space="0" w:color="auto"/>
            <w:bottom w:val="none" w:sz="0" w:space="0" w:color="auto"/>
            <w:right w:val="none" w:sz="0" w:space="0" w:color="auto"/>
          </w:divBdr>
          <w:divsChild>
            <w:div w:id="413477258">
              <w:marLeft w:val="0"/>
              <w:marRight w:val="0"/>
              <w:marTop w:val="0"/>
              <w:marBottom w:val="0"/>
              <w:divBdr>
                <w:top w:val="none" w:sz="0" w:space="0" w:color="auto"/>
                <w:left w:val="none" w:sz="0" w:space="0" w:color="auto"/>
                <w:bottom w:val="none" w:sz="0" w:space="0" w:color="auto"/>
                <w:right w:val="none" w:sz="0" w:space="0" w:color="auto"/>
              </w:divBdr>
            </w:div>
            <w:div w:id="1408959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596522">
      <w:bodyDiv w:val="1"/>
      <w:marLeft w:val="0"/>
      <w:marRight w:val="0"/>
      <w:marTop w:val="0"/>
      <w:marBottom w:val="0"/>
      <w:divBdr>
        <w:top w:val="none" w:sz="0" w:space="0" w:color="auto"/>
        <w:left w:val="none" w:sz="0" w:space="0" w:color="auto"/>
        <w:bottom w:val="none" w:sz="0" w:space="0" w:color="auto"/>
        <w:right w:val="none" w:sz="0" w:space="0" w:color="auto"/>
      </w:divBdr>
      <w:divsChild>
        <w:div w:id="1880583459">
          <w:marLeft w:val="0"/>
          <w:marRight w:val="0"/>
          <w:marTop w:val="0"/>
          <w:marBottom w:val="0"/>
          <w:divBdr>
            <w:top w:val="none" w:sz="0" w:space="0" w:color="auto"/>
            <w:left w:val="none" w:sz="0" w:space="0" w:color="auto"/>
            <w:bottom w:val="none" w:sz="0" w:space="0" w:color="auto"/>
            <w:right w:val="none" w:sz="0" w:space="0" w:color="auto"/>
          </w:divBdr>
        </w:div>
      </w:divsChild>
    </w:div>
    <w:div w:id="177431343">
      <w:bodyDiv w:val="1"/>
      <w:marLeft w:val="0"/>
      <w:marRight w:val="0"/>
      <w:marTop w:val="0"/>
      <w:marBottom w:val="0"/>
      <w:divBdr>
        <w:top w:val="none" w:sz="0" w:space="0" w:color="auto"/>
        <w:left w:val="none" w:sz="0" w:space="0" w:color="auto"/>
        <w:bottom w:val="none" w:sz="0" w:space="0" w:color="auto"/>
        <w:right w:val="none" w:sz="0" w:space="0" w:color="auto"/>
      </w:divBdr>
      <w:divsChild>
        <w:div w:id="1200320630">
          <w:marLeft w:val="0"/>
          <w:marRight w:val="0"/>
          <w:marTop w:val="0"/>
          <w:marBottom w:val="0"/>
          <w:divBdr>
            <w:top w:val="none" w:sz="0" w:space="0" w:color="auto"/>
            <w:left w:val="none" w:sz="0" w:space="0" w:color="auto"/>
            <w:bottom w:val="none" w:sz="0" w:space="0" w:color="auto"/>
            <w:right w:val="none" w:sz="0" w:space="0" w:color="auto"/>
          </w:divBdr>
          <w:divsChild>
            <w:div w:id="10630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7112">
      <w:bodyDiv w:val="1"/>
      <w:marLeft w:val="0"/>
      <w:marRight w:val="0"/>
      <w:marTop w:val="0"/>
      <w:marBottom w:val="0"/>
      <w:divBdr>
        <w:top w:val="none" w:sz="0" w:space="0" w:color="auto"/>
        <w:left w:val="none" w:sz="0" w:space="0" w:color="auto"/>
        <w:bottom w:val="none" w:sz="0" w:space="0" w:color="auto"/>
        <w:right w:val="none" w:sz="0" w:space="0" w:color="auto"/>
      </w:divBdr>
      <w:divsChild>
        <w:div w:id="273754707">
          <w:marLeft w:val="0"/>
          <w:marRight w:val="0"/>
          <w:marTop w:val="0"/>
          <w:marBottom w:val="0"/>
          <w:divBdr>
            <w:top w:val="none" w:sz="0" w:space="0" w:color="auto"/>
            <w:left w:val="none" w:sz="0" w:space="0" w:color="auto"/>
            <w:bottom w:val="none" w:sz="0" w:space="0" w:color="auto"/>
            <w:right w:val="none" w:sz="0" w:space="0" w:color="auto"/>
          </w:divBdr>
          <w:divsChild>
            <w:div w:id="1159156412">
              <w:marLeft w:val="0"/>
              <w:marRight w:val="0"/>
              <w:marTop w:val="0"/>
              <w:marBottom w:val="0"/>
              <w:divBdr>
                <w:top w:val="none" w:sz="0" w:space="0" w:color="auto"/>
                <w:left w:val="none" w:sz="0" w:space="0" w:color="auto"/>
                <w:bottom w:val="none" w:sz="0" w:space="0" w:color="auto"/>
                <w:right w:val="none" w:sz="0" w:space="0" w:color="auto"/>
              </w:divBdr>
            </w:div>
          </w:divsChild>
        </w:div>
        <w:div w:id="1058897806">
          <w:marLeft w:val="0"/>
          <w:marRight w:val="0"/>
          <w:marTop w:val="0"/>
          <w:marBottom w:val="0"/>
          <w:divBdr>
            <w:top w:val="none" w:sz="0" w:space="0" w:color="auto"/>
            <w:left w:val="none" w:sz="0" w:space="0" w:color="auto"/>
            <w:bottom w:val="none" w:sz="0" w:space="0" w:color="auto"/>
            <w:right w:val="none" w:sz="0" w:space="0" w:color="auto"/>
          </w:divBdr>
          <w:divsChild>
            <w:div w:id="1923224259">
              <w:marLeft w:val="0"/>
              <w:marRight w:val="0"/>
              <w:marTop w:val="0"/>
              <w:marBottom w:val="0"/>
              <w:divBdr>
                <w:top w:val="none" w:sz="0" w:space="0" w:color="auto"/>
                <w:left w:val="none" w:sz="0" w:space="0" w:color="auto"/>
                <w:bottom w:val="none" w:sz="0" w:space="0" w:color="auto"/>
                <w:right w:val="none" w:sz="0" w:space="0" w:color="auto"/>
              </w:divBdr>
            </w:div>
          </w:divsChild>
        </w:div>
        <w:div w:id="1629779269">
          <w:marLeft w:val="0"/>
          <w:marRight w:val="0"/>
          <w:marTop w:val="0"/>
          <w:marBottom w:val="0"/>
          <w:divBdr>
            <w:top w:val="none" w:sz="0" w:space="0" w:color="auto"/>
            <w:left w:val="none" w:sz="0" w:space="0" w:color="auto"/>
            <w:bottom w:val="none" w:sz="0" w:space="0" w:color="auto"/>
            <w:right w:val="none" w:sz="0" w:space="0" w:color="auto"/>
          </w:divBdr>
          <w:divsChild>
            <w:div w:id="343440011">
              <w:marLeft w:val="0"/>
              <w:marRight w:val="0"/>
              <w:marTop w:val="0"/>
              <w:marBottom w:val="0"/>
              <w:divBdr>
                <w:top w:val="none" w:sz="0" w:space="0" w:color="auto"/>
                <w:left w:val="none" w:sz="0" w:space="0" w:color="auto"/>
                <w:bottom w:val="none" w:sz="0" w:space="0" w:color="auto"/>
                <w:right w:val="none" w:sz="0" w:space="0" w:color="auto"/>
              </w:divBdr>
            </w:div>
          </w:divsChild>
        </w:div>
        <w:div w:id="1895776163">
          <w:marLeft w:val="0"/>
          <w:marRight w:val="0"/>
          <w:marTop w:val="0"/>
          <w:marBottom w:val="0"/>
          <w:divBdr>
            <w:top w:val="none" w:sz="0" w:space="0" w:color="auto"/>
            <w:left w:val="none" w:sz="0" w:space="0" w:color="auto"/>
            <w:bottom w:val="none" w:sz="0" w:space="0" w:color="auto"/>
            <w:right w:val="none" w:sz="0" w:space="0" w:color="auto"/>
          </w:divBdr>
          <w:divsChild>
            <w:div w:id="1452091721">
              <w:marLeft w:val="0"/>
              <w:marRight w:val="0"/>
              <w:marTop w:val="0"/>
              <w:marBottom w:val="0"/>
              <w:divBdr>
                <w:top w:val="none" w:sz="0" w:space="0" w:color="auto"/>
                <w:left w:val="none" w:sz="0" w:space="0" w:color="auto"/>
                <w:bottom w:val="none" w:sz="0" w:space="0" w:color="auto"/>
                <w:right w:val="none" w:sz="0" w:space="0" w:color="auto"/>
              </w:divBdr>
              <w:divsChild>
                <w:div w:id="17849978">
                  <w:marLeft w:val="0"/>
                  <w:marRight w:val="0"/>
                  <w:marTop w:val="0"/>
                  <w:marBottom w:val="0"/>
                  <w:divBdr>
                    <w:top w:val="none" w:sz="0" w:space="0" w:color="auto"/>
                    <w:left w:val="none" w:sz="0" w:space="0" w:color="auto"/>
                    <w:bottom w:val="none" w:sz="0" w:space="0" w:color="auto"/>
                    <w:right w:val="none" w:sz="0" w:space="0" w:color="auto"/>
                  </w:divBdr>
                  <w:divsChild>
                    <w:div w:id="89011244">
                      <w:marLeft w:val="0"/>
                      <w:marRight w:val="0"/>
                      <w:marTop w:val="0"/>
                      <w:marBottom w:val="0"/>
                      <w:divBdr>
                        <w:top w:val="none" w:sz="0" w:space="0" w:color="auto"/>
                        <w:left w:val="none" w:sz="0" w:space="0" w:color="auto"/>
                        <w:bottom w:val="none" w:sz="0" w:space="0" w:color="auto"/>
                        <w:right w:val="none" w:sz="0" w:space="0" w:color="auto"/>
                      </w:divBdr>
                    </w:div>
                    <w:div w:id="664287236">
                      <w:marLeft w:val="0"/>
                      <w:marRight w:val="0"/>
                      <w:marTop w:val="120"/>
                      <w:marBottom w:val="0"/>
                      <w:divBdr>
                        <w:top w:val="none" w:sz="0" w:space="0" w:color="auto"/>
                        <w:left w:val="none" w:sz="0" w:space="0" w:color="auto"/>
                        <w:bottom w:val="none" w:sz="0" w:space="0" w:color="auto"/>
                        <w:right w:val="none" w:sz="0" w:space="0" w:color="auto"/>
                      </w:divBdr>
                    </w:div>
                  </w:divsChild>
                </w:div>
                <w:div w:id="333537534">
                  <w:marLeft w:val="0"/>
                  <w:marRight w:val="0"/>
                  <w:marTop w:val="0"/>
                  <w:marBottom w:val="0"/>
                  <w:divBdr>
                    <w:top w:val="none" w:sz="0" w:space="0" w:color="auto"/>
                    <w:left w:val="none" w:sz="0" w:space="0" w:color="auto"/>
                    <w:bottom w:val="none" w:sz="0" w:space="0" w:color="auto"/>
                    <w:right w:val="none" w:sz="0" w:space="0" w:color="auto"/>
                  </w:divBdr>
                  <w:divsChild>
                    <w:div w:id="114716110">
                      <w:marLeft w:val="0"/>
                      <w:marRight w:val="0"/>
                      <w:marTop w:val="120"/>
                      <w:marBottom w:val="0"/>
                      <w:divBdr>
                        <w:top w:val="none" w:sz="0" w:space="0" w:color="auto"/>
                        <w:left w:val="none" w:sz="0" w:space="0" w:color="auto"/>
                        <w:bottom w:val="none" w:sz="0" w:space="0" w:color="auto"/>
                        <w:right w:val="none" w:sz="0" w:space="0" w:color="auto"/>
                      </w:divBdr>
                    </w:div>
                    <w:div w:id="540945074">
                      <w:marLeft w:val="0"/>
                      <w:marRight w:val="0"/>
                      <w:marTop w:val="0"/>
                      <w:marBottom w:val="0"/>
                      <w:divBdr>
                        <w:top w:val="none" w:sz="0" w:space="0" w:color="auto"/>
                        <w:left w:val="none" w:sz="0" w:space="0" w:color="auto"/>
                        <w:bottom w:val="none" w:sz="0" w:space="0" w:color="auto"/>
                        <w:right w:val="none" w:sz="0" w:space="0" w:color="auto"/>
                      </w:divBdr>
                    </w:div>
                  </w:divsChild>
                </w:div>
                <w:div w:id="1585064320">
                  <w:marLeft w:val="0"/>
                  <w:marRight w:val="0"/>
                  <w:marTop w:val="0"/>
                  <w:marBottom w:val="0"/>
                  <w:divBdr>
                    <w:top w:val="none" w:sz="0" w:space="0" w:color="auto"/>
                    <w:left w:val="none" w:sz="0" w:space="0" w:color="auto"/>
                    <w:bottom w:val="none" w:sz="0" w:space="0" w:color="auto"/>
                    <w:right w:val="none" w:sz="0" w:space="0" w:color="auto"/>
                  </w:divBdr>
                  <w:divsChild>
                    <w:div w:id="1390301075">
                      <w:marLeft w:val="0"/>
                      <w:marRight w:val="0"/>
                      <w:marTop w:val="120"/>
                      <w:marBottom w:val="0"/>
                      <w:divBdr>
                        <w:top w:val="none" w:sz="0" w:space="0" w:color="auto"/>
                        <w:left w:val="none" w:sz="0" w:space="0" w:color="auto"/>
                        <w:bottom w:val="none" w:sz="0" w:space="0" w:color="auto"/>
                        <w:right w:val="none" w:sz="0" w:space="0" w:color="auto"/>
                      </w:divBdr>
                    </w:div>
                    <w:div w:id="1491944809">
                      <w:marLeft w:val="0"/>
                      <w:marRight w:val="0"/>
                      <w:marTop w:val="0"/>
                      <w:marBottom w:val="0"/>
                      <w:divBdr>
                        <w:top w:val="none" w:sz="0" w:space="0" w:color="auto"/>
                        <w:left w:val="none" w:sz="0" w:space="0" w:color="auto"/>
                        <w:bottom w:val="none" w:sz="0" w:space="0" w:color="auto"/>
                        <w:right w:val="none" w:sz="0" w:space="0" w:color="auto"/>
                      </w:divBdr>
                    </w:div>
                  </w:divsChild>
                </w:div>
                <w:div w:id="1917935325">
                  <w:marLeft w:val="0"/>
                  <w:marRight w:val="0"/>
                  <w:marTop w:val="0"/>
                  <w:marBottom w:val="0"/>
                  <w:divBdr>
                    <w:top w:val="none" w:sz="0" w:space="0" w:color="auto"/>
                    <w:left w:val="none" w:sz="0" w:space="0" w:color="auto"/>
                    <w:bottom w:val="none" w:sz="0" w:space="0" w:color="auto"/>
                    <w:right w:val="none" w:sz="0" w:space="0" w:color="auto"/>
                  </w:divBdr>
                  <w:divsChild>
                    <w:div w:id="469441371">
                      <w:marLeft w:val="0"/>
                      <w:marRight w:val="0"/>
                      <w:marTop w:val="120"/>
                      <w:marBottom w:val="0"/>
                      <w:divBdr>
                        <w:top w:val="none" w:sz="0" w:space="0" w:color="auto"/>
                        <w:left w:val="none" w:sz="0" w:space="0" w:color="auto"/>
                        <w:bottom w:val="none" w:sz="0" w:space="0" w:color="auto"/>
                        <w:right w:val="none" w:sz="0" w:space="0" w:color="auto"/>
                      </w:divBdr>
                    </w:div>
                    <w:div w:id="20060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2205">
      <w:bodyDiv w:val="1"/>
      <w:marLeft w:val="0"/>
      <w:marRight w:val="0"/>
      <w:marTop w:val="0"/>
      <w:marBottom w:val="0"/>
      <w:divBdr>
        <w:top w:val="none" w:sz="0" w:space="0" w:color="auto"/>
        <w:left w:val="none" w:sz="0" w:space="0" w:color="auto"/>
        <w:bottom w:val="none" w:sz="0" w:space="0" w:color="auto"/>
        <w:right w:val="none" w:sz="0" w:space="0" w:color="auto"/>
      </w:divBdr>
      <w:divsChild>
        <w:div w:id="239023323">
          <w:marLeft w:val="0"/>
          <w:marRight w:val="0"/>
          <w:marTop w:val="0"/>
          <w:marBottom w:val="0"/>
          <w:divBdr>
            <w:top w:val="none" w:sz="0" w:space="0" w:color="auto"/>
            <w:left w:val="none" w:sz="0" w:space="0" w:color="auto"/>
            <w:bottom w:val="none" w:sz="0" w:space="0" w:color="auto"/>
            <w:right w:val="none" w:sz="0" w:space="0" w:color="auto"/>
          </w:divBdr>
          <w:divsChild>
            <w:div w:id="1818187596">
              <w:marLeft w:val="0"/>
              <w:marRight w:val="0"/>
              <w:marTop w:val="0"/>
              <w:marBottom w:val="0"/>
              <w:divBdr>
                <w:top w:val="none" w:sz="0" w:space="0" w:color="auto"/>
                <w:left w:val="none" w:sz="0" w:space="0" w:color="auto"/>
                <w:bottom w:val="none" w:sz="0" w:space="0" w:color="auto"/>
                <w:right w:val="none" w:sz="0" w:space="0" w:color="auto"/>
              </w:divBdr>
              <w:divsChild>
                <w:div w:id="73481247">
                  <w:marLeft w:val="0"/>
                  <w:marRight w:val="0"/>
                  <w:marTop w:val="0"/>
                  <w:marBottom w:val="0"/>
                  <w:divBdr>
                    <w:top w:val="none" w:sz="0" w:space="0" w:color="auto"/>
                    <w:left w:val="none" w:sz="0" w:space="0" w:color="auto"/>
                    <w:bottom w:val="none" w:sz="0" w:space="0" w:color="auto"/>
                    <w:right w:val="none" w:sz="0" w:space="0" w:color="auto"/>
                  </w:divBdr>
                  <w:divsChild>
                    <w:div w:id="476919290">
                      <w:marLeft w:val="0"/>
                      <w:marRight w:val="0"/>
                      <w:marTop w:val="120"/>
                      <w:marBottom w:val="0"/>
                      <w:divBdr>
                        <w:top w:val="none" w:sz="0" w:space="0" w:color="auto"/>
                        <w:left w:val="none" w:sz="0" w:space="0" w:color="auto"/>
                        <w:bottom w:val="none" w:sz="0" w:space="0" w:color="auto"/>
                        <w:right w:val="none" w:sz="0" w:space="0" w:color="auto"/>
                      </w:divBdr>
                    </w:div>
                    <w:div w:id="1307203870">
                      <w:marLeft w:val="0"/>
                      <w:marRight w:val="0"/>
                      <w:marTop w:val="0"/>
                      <w:marBottom w:val="0"/>
                      <w:divBdr>
                        <w:top w:val="none" w:sz="0" w:space="0" w:color="auto"/>
                        <w:left w:val="none" w:sz="0" w:space="0" w:color="auto"/>
                        <w:bottom w:val="none" w:sz="0" w:space="0" w:color="auto"/>
                        <w:right w:val="none" w:sz="0" w:space="0" w:color="auto"/>
                      </w:divBdr>
                    </w:div>
                  </w:divsChild>
                </w:div>
                <w:div w:id="258757326">
                  <w:marLeft w:val="0"/>
                  <w:marRight w:val="0"/>
                  <w:marTop w:val="0"/>
                  <w:marBottom w:val="0"/>
                  <w:divBdr>
                    <w:top w:val="none" w:sz="0" w:space="0" w:color="auto"/>
                    <w:left w:val="none" w:sz="0" w:space="0" w:color="auto"/>
                    <w:bottom w:val="none" w:sz="0" w:space="0" w:color="auto"/>
                    <w:right w:val="none" w:sz="0" w:space="0" w:color="auto"/>
                  </w:divBdr>
                  <w:divsChild>
                    <w:div w:id="168255012">
                      <w:marLeft w:val="0"/>
                      <w:marRight w:val="0"/>
                      <w:marTop w:val="120"/>
                      <w:marBottom w:val="0"/>
                      <w:divBdr>
                        <w:top w:val="none" w:sz="0" w:space="0" w:color="auto"/>
                        <w:left w:val="none" w:sz="0" w:space="0" w:color="auto"/>
                        <w:bottom w:val="none" w:sz="0" w:space="0" w:color="auto"/>
                        <w:right w:val="none" w:sz="0" w:space="0" w:color="auto"/>
                      </w:divBdr>
                    </w:div>
                    <w:div w:id="572550666">
                      <w:marLeft w:val="0"/>
                      <w:marRight w:val="0"/>
                      <w:marTop w:val="0"/>
                      <w:marBottom w:val="0"/>
                      <w:divBdr>
                        <w:top w:val="none" w:sz="0" w:space="0" w:color="auto"/>
                        <w:left w:val="none" w:sz="0" w:space="0" w:color="auto"/>
                        <w:bottom w:val="none" w:sz="0" w:space="0" w:color="auto"/>
                        <w:right w:val="none" w:sz="0" w:space="0" w:color="auto"/>
                      </w:divBdr>
                    </w:div>
                  </w:divsChild>
                </w:div>
                <w:div w:id="271135218">
                  <w:marLeft w:val="0"/>
                  <w:marRight w:val="0"/>
                  <w:marTop w:val="0"/>
                  <w:marBottom w:val="0"/>
                  <w:divBdr>
                    <w:top w:val="none" w:sz="0" w:space="0" w:color="auto"/>
                    <w:left w:val="none" w:sz="0" w:space="0" w:color="auto"/>
                    <w:bottom w:val="none" w:sz="0" w:space="0" w:color="auto"/>
                    <w:right w:val="none" w:sz="0" w:space="0" w:color="auto"/>
                  </w:divBdr>
                  <w:divsChild>
                    <w:div w:id="365179631">
                      <w:marLeft w:val="0"/>
                      <w:marRight w:val="0"/>
                      <w:marTop w:val="0"/>
                      <w:marBottom w:val="0"/>
                      <w:divBdr>
                        <w:top w:val="none" w:sz="0" w:space="0" w:color="auto"/>
                        <w:left w:val="none" w:sz="0" w:space="0" w:color="auto"/>
                        <w:bottom w:val="none" w:sz="0" w:space="0" w:color="auto"/>
                        <w:right w:val="none" w:sz="0" w:space="0" w:color="auto"/>
                      </w:divBdr>
                    </w:div>
                    <w:div w:id="1229925106">
                      <w:marLeft w:val="0"/>
                      <w:marRight w:val="0"/>
                      <w:marTop w:val="120"/>
                      <w:marBottom w:val="0"/>
                      <w:divBdr>
                        <w:top w:val="none" w:sz="0" w:space="0" w:color="auto"/>
                        <w:left w:val="none" w:sz="0" w:space="0" w:color="auto"/>
                        <w:bottom w:val="none" w:sz="0" w:space="0" w:color="auto"/>
                        <w:right w:val="none" w:sz="0" w:space="0" w:color="auto"/>
                      </w:divBdr>
                    </w:div>
                  </w:divsChild>
                </w:div>
                <w:div w:id="1033068694">
                  <w:marLeft w:val="0"/>
                  <w:marRight w:val="0"/>
                  <w:marTop w:val="0"/>
                  <w:marBottom w:val="0"/>
                  <w:divBdr>
                    <w:top w:val="none" w:sz="0" w:space="0" w:color="auto"/>
                    <w:left w:val="none" w:sz="0" w:space="0" w:color="auto"/>
                    <w:bottom w:val="none" w:sz="0" w:space="0" w:color="auto"/>
                    <w:right w:val="none" w:sz="0" w:space="0" w:color="auto"/>
                  </w:divBdr>
                  <w:divsChild>
                    <w:div w:id="634215079">
                      <w:marLeft w:val="0"/>
                      <w:marRight w:val="0"/>
                      <w:marTop w:val="120"/>
                      <w:marBottom w:val="0"/>
                      <w:divBdr>
                        <w:top w:val="none" w:sz="0" w:space="0" w:color="auto"/>
                        <w:left w:val="none" w:sz="0" w:space="0" w:color="auto"/>
                        <w:bottom w:val="none" w:sz="0" w:space="0" w:color="auto"/>
                        <w:right w:val="none" w:sz="0" w:space="0" w:color="auto"/>
                      </w:divBdr>
                    </w:div>
                    <w:div w:id="17989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7971">
          <w:marLeft w:val="0"/>
          <w:marRight w:val="0"/>
          <w:marTop w:val="0"/>
          <w:marBottom w:val="0"/>
          <w:divBdr>
            <w:top w:val="none" w:sz="0" w:space="0" w:color="auto"/>
            <w:left w:val="none" w:sz="0" w:space="0" w:color="auto"/>
            <w:bottom w:val="none" w:sz="0" w:space="0" w:color="auto"/>
            <w:right w:val="none" w:sz="0" w:space="0" w:color="auto"/>
          </w:divBdr>
          <w:divsChild>
            <w:div w:id="1056734980">
              <w:marLeft w:val="0"/>
              <w:marRight w:val="0"/>
              <w:marTop w:val="0"/>
              <w:marBottom w:val="0"/>
              <w:divBdr>
                <w:top w:val="none" w:sz="0" w:space="0" w:color="auto"/>
                <w:left w:val="none" w:sz="0" w:space="0" w:color="auto"/>
                <w:bottom w:val="none" w:sz="0" w:space="0" w:color="auto"/>
                <w:right w:val="none" w:sz="0" w:space="0" w:color="auto"/>
              </w:divBdr>
              <w:divsChild>
                <w:div w:id="631594042">
                  <w:marLeft w:val="0"/>
                  <w:marRight w:val="0"/>
                  <w:marTop w:val="0"/>
                  <w:marBottom w:val="0"/>
                  <w:divBdr>
                    <w:top w:val="none" w:sz="0" w:space="0" w:color="auto"/>
                    <w:left w:val="none" w:sz="0" w:space="0" w:color="auto"/>
                    <w:bottom w:val="none" w:sz="0" w:space="0" w:color="auto"/>
                    <w:right w:val="none" w:sz="0" w:space="0" w:color="auto"/>
                  </w:divBdr>
                  <w:divsChild>
                    <w:div w:id="1219434102">
                      <w:marLeft w:val="0"/>
                      <w:marRight w:val="0"/>
                      <w:marTop w:val="120"/>
                      <w:marBottom w:val="0"/>
                      <w:divBdr>
                        <w:top w:val="none" w:sz="0" w:space="0" w:color="auto"/>
                        <w:left w:val="none" w:sz="0" w:space="0" w:color="auto"/>
                        <w:bottom w:val="none" w:sz="0" w:space="0" w:color="auto"/>
                        <w:right w:val="none" w:sz="0" w:space="0" w:color="auto"/>
                      </w:divBdr>
                    </w:div>
                    <w:div w:id="1310131224">
                      <w:marLeft w:val="0"/>
                      <w:marRight w:val="0"/>
                      <w:marTop w:val="0"/>
                      <w:marBottom w:val="0"/>
                      <w:divBdr>
                        <w:top w:val="none" w:sz="0" w:space="0" w:color="auto"/>
                        <w:left w:val="none" w:sz="0" w:space="0" w:color="auto"/>
                        <w:bottom w:val="none" w:sz="0" w:space="0" w:color="auto"/>
                        <w:right w:val="none" w:sz="0" w:space="0" w:color="auto"/>
                      </w:divBdr>
                    </w:div>
                  </w:divsChild>
                </w:div>
                <w:div w:id="663823263">
                  <w:marLeft w:val="0"/>
                  <w:marRight w:val="0"/>
                  <w:marTop w:val="0"/>
                  <w:marBottom w:val="0"/>
                  <w:divBdr>
                    <w:top w:val="none" w:sz="0" w:space="0" w:color="auto"/>
                    <w:left w:val="none" w:sz="0" w:space="0" w:color="auto"/>
                    <w:bottom w:val="none" w:sz="0" w:space="0" w:color="auto"/>
                    <w:right w:val="none" w:sz="0" w:space="0" w:color="auto"/>
                  </w:divBdr>
                  <w:divsChild>
                    <w:div w:id="1429617507">
                      <w:marLeft w:val="0"/>
                      <w:marRight w:val="0"/>
                      <w:marTop w:val="120"/>
                      <w:marBottom w:val="0"/>
                      <w:divBdr>
                        <w:top w:val="none" w:sz="0" w:space="0" w:color="auto"/>
                        <w:left w:val="none" w:sz="0" w:space="0" w:color="auto"/>
                        <w:bottom w:val="none" w:sz="0" w:space="0" w:color="auto"/>
                        <w:right w:val="none" w:sz="0" w:space="0" w:color="auto"/>
                      </w:divBdr>
                    </w:div>
                    <w:div w:id="1838229157">
                      <w:marLeft w:val="0"/>
                      <w:marRight w:val="0"/>
                      <w:marTop w:val="0"/>
                      <w:marBottom w:val="0"/>
                      <w:divBdr>
                        <w:top w:val="none" w:sz="0" w:space="0" w:color="auto"/>
                        <w:left w:val="none" w:sz="0" w:space="0" w:color="auto"/>
                        <w:bottom w:val="none" w:sz="0" w:space="0" w:color="auto"/>
                        <w:right w:val="none" w:sz="0" w:space="0" w:color="auto"/>
                      </w:divBdr>
                    </w:div>
                  </w:divsChild>
                </w:div>
                <w:div w:id="716663510">
                  <w:marLeft w:val="0"/>
                  <w:marRight w:val="0"/>
                  <w:marTop w:val="0"/>
                  <w:marBottom w:val="0"/>
                  <w:divBdr>
                    <w:top w:val="none" w:sz="0" w:space="0" w:color="auto"/>
                    <w:left w:val="none" w:sz="0" w:space="0" w:color="auto"/>
                    <w:bottom w:val="none" w:sz="0" w:space="0" w:color="auto"/>
                    <w:right w:val="none" w:sz="0" w:space="0" w:color="auto"/>
                  </w:divBdr>
                  <w:divsChild>
                    <w:div w:id="95945606">
                      <w:marLeft w:val="0"/>
                      <w:marRight w:val="0"/>
                      <w:marTop w:val="120"/>
                      <w:marBottom w:val="0"/>
                      <w:divBdr>
                        <w:top w:val="none" w:sz="0" w:space="0" w:color="auto"/>
                        <w:left w:val="none" w:sz="0" w:space="0" w:color="auto"/>
                        <w:bottom w:val="none" w:sz="0" w:space="0" w:color="auto"/>
                        <w:right w:val="none" w:sz="0" w:space="0" w:color="auto"/>
                      </w:divBdr>
                    </w:div>
                    <w:div w:id="1018972263">
                      <w:marLeft w:val="0"/>
                      <w:marRight w:val="0"/>
                      <w:marTop w:val="0"/>
                      <w:marBottom w:val="0"/>
                      <w:divBdr>
                        <w:top w:val="none" w:sz="0" w:space="0" w:color="auto"/>
                        <w:left w:val="none" w:sz="0" w:space="0" w:color="auto"/>
                        <w:bottom w:val="none" w:sz="0" w:space="0" w:color="auto"/>
                        <w:right w:val="none" w:sz="0" w:space="0" w:color="auto"/>
                      </w:divBdr>
                    </w:div>
                  </w:divsChild>
                </w:div>
                <w:div w:id="1034695616">
                  <w:marLeft w:val="0"/>
                  <w:marRight w:val="0"/>
                  <w:marTop w:val="0"/>
                  <w:marBottom w:val="0"/>
                  <w:divBdr>
                    <w:top w:val="none" w:sz="0" w:space="0" w:color="auto"/>
                    <w:left w:val="none" w:sz="0" w:space="0" w:color="auto"/>
                    <w:bottom w:val="none" w:sz="0" w:space="0" w:color="auto"/>
                    <w:right w:val="none" w:sz="0" w:space="0" w:color="auto"/>
                  </w:divBdr>
                  <w:divsChild>
                    <w:div w:id="571550476">
                      <w:marLeft w:val="0"/>
                      <w:marRight w:val="0"/>
                      <w:marTop w:val="120"/>
                      <w:marBottom w:val="0"/>
                      <w:divBdr>
                        <w:top w:val="none" w:sz="0" w:space="0" w:color="auto"/>
                        <w:left w:val="none" w:sz="0" w:space="0" w:color="auto"/>
                        <w:bottom w:val="none" w:sz="0" w:space="0" w:color="auto"/>
                        <w:right w:val="none" w:sz="0" w:space="0" w:color="auto"/>
                      </w:divBdr>
                    </w:div>
                    <w:div w:id="2068910877">
                      <w:marLeft w:val="0"/>
                      <w:marRight w:val="0"/>
                      <w:marTop w:val="0"/>
                      <w:marBottom w:val="0"/>
                      <w:divBdr>
                        <w:top w:val="none" w:sz="0" w:space="0" w:color="auto"/>
                        <w:left w:val="none" w:sz="0" w:space="0" w:color="auto"/>
                        <w:bottom w:val="none" w:sz="0" w:space="0" w:color="auto"/>
                        <w:right w:val="none" w:sz="0" w:space="0" w:color="auto"/>
                      </w:divBdr>
                    </w:div>
                  </w:divsChild>
                </w:div>
                <w:div w:id="1247883923">
                  <w:marLeft w:val="0"/>
                  <w:marRight w:val="0"/>
                  <w:marTop w:val="0"/>
                  <w:marBottom w:val="0"/>
                  <w:divBdr>
                    <w:top w:val="none" w:sz="0" w:space="0" w:color="auto"/>
                    <w:left w:val="none" w:sz="0" w:space="0" w:color="auto"/>
                    <w:bottom w:val="none" w:sz="0" w:space="0" w:color="auto"/>
                    <w:right w:val="none" w:sz="0" w:space="0" w:color="auto"/>
                  </w:divBdr>
                  <w:divsChild>
                    <w:div w:id="826358783">
                      <w:marLeft w:val="0"/>
                      <w:marRight w:val="0"/>
                      <w:marTop w:val="120"/>
                      <w:marBottom w:val="0"/>
                      <w:divBdr>
                        <w:top w:val="none" w:sz="0" w:space="0" w:color="auto"/>
                        <w:left w:val="none" w:sz="0" w:space="0" w:color="auto"/>
                        <w:bottom w:val="none" w:sz="0" w:space="0" w:color="auto"/>
                        <w:right w:val="none" w:sz="0" w:space="0" w:color="auto"/>
                      </w:divBdr>
                    </w:div>
                    <w:div w:id="1035932318">
                      <w:marLeft w:val="0"/>
                      <w:marRight w:val="0"/>
                      <w:marTop w:val="0"/>
                      <w:marBottom w:val="0"/>
                      <w:divBdr>
                        <w:top w:val="none" w:sz="0" w:space="0" w:color="auto"/>
                        <w:left w:val="none" w:sz="0" w:space="0" w:color="auto"/>
                        <w:bottom w:val="none" w:sz="0" w:space="0" w:color="auto"/>
                        <w:right w:val="none" w:sz="0" w:space="0" w:color="auto"/>
                      </w:divBdr>
                    </w:div>
                  </w:divsChild>
                </w:div>
                <w:div w:id="1464426784">
                  <w:marLeft w:val="0"/>
                  <w:marRight w:val="0"/>
                  <w:marTop w:val="0"/>
                  <w:marBottom w:val="0"/>
                  <w:divBdr>
                    <w:top w:val="none" w:sz="0" w:space="0" w:color="auto"/>
                    <w:left w:val="none" w:sz="0" w:space="0" w:color="auto"/>
                    <w:bottom w:val="none" w:sz="0" w:space="0" w:color="auto"/>
                    <w:right w:val="none" w:sz="0" w:space="0" w:color="auto"/>
                  </w:divBdr>
                  <w:divsChild>
                    <w:div w:id="1245258079">
                      <w:marLeft w:val="0"/>
                      <w:marRight w:val="0"/>
                      <w:marTop w:val="120"/>
                      <w:marBottom w:val="0"/>
                      <w:divBdr>
                        <w:top w:val="none" w:sz="0" w:space="0" w:color="auto"/>
                        <w:left w:val="none" w:sz="0" w:space="0" w:color="auto"/>
                        <w:bottom w:val="none" w:sz="0" w:space="0" w:color="auto"/>
                        <w:right w:val="none" w:sz="0" w:space="0" w:color="auto"/>
                      </w:divBdr>
                    </w:div>
                    <w:div w:id="1271744626">
                      <w:marLeft w:val="0"/>
                      <w:marRight w:val="0"/>
                      <w:marTop w:val="0"/>
                      <w:marBottom w:val="0"/>
                      <w:divBdr>
                        <w:top w:val="none" w:sz="0" w:space="0" w:color="auto"/>
                        <w:left w:val="none" w:sz="0" w:space="0" w:color="auto"/>
                        <w:bottom w:val="none" w:sz="0" w:space="0" w:color="auto"/>
                        <w:right w:val="none" w:sz="0" w:space="0" w:color="auto"/>
                      </w:divBdr>
                    </w:div>
                  </w:divsChild>
                </w:div>
                <w:div w:id="2123642544">
                  <w:marLeft w:val="0"/>
                  <w:marRight w:val="0"/>
                  <w:marTop w:val="0"/>
                  <w:marBottom w:val="0"/>
                  <w:divBdr>
                    <w:top w:val="none" w:sz="0" w:space="0" w:color="auto"/>
                    <w:left w:val="none" w:sz="0" w:space="0" w:color="auto"/>
                    <w:bottom w:val="none" w:sz="0" w:space="0" w:color="auto"/>
                    <w:right w:val="none" w:sz="0" w:space="0" w:color="auto"/>
                  </w:divBdr>
                  <w:divsChild>
                    <w:div w:id="465048867">
                      <w:marLeft w:val="0"/>
                      <w:marRight w:val="0"/>
                      <w:marTop w:val="0"/>
                      <w:marBottom w:val="0"/>
                      <w:divBdr>
                        <w:top w:val="none" w:sz="0" w:space="0" w:color="auto"/>
                        <w:left w:val="none" w:sz="0" w:space="0" w:color="auto"/>
                        <w:bottom w:val="none" w:sz="0" w:space="0" w:color="auto"/>
                        <w:right w:val="none" w:sz="0" w:space="0" w:color="auto"/>
                      </w:divBdr>
                    </w:div>
                    <w:div w:id="1468546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754928">
      <w:bodyDiv w:val="1"/>
      <w:marLeft w:val="0"/>
      <w:marRight w:val="0"/>
      <w:marTop w:val="0"/>
      <w:marBottom w:val="0"/>
      <w:divBdr>
        <w:top w:val="none" w:sz="0" w:space="0" w:color="auto"/>
        <w:left w:val="none" w:sz="0" w:space="0" w:color="auto"/>
        <w:bottom w:val="none" w:sz="0" w:space="0" w:color="auto"/>
        <w:right w:val="none" w:sz="0" w:space="0" w:color="auto"/>
      </w:divBdr>
      <w:divsChild>
        <w:div w:id="1344866485">
          <w:marLeft w:val="0"/>
          <w:marRight w:val="0"/>
          <w:marTop w:val="0"/>
          <w:marBottom w:val="0"/>
          <w:divBdr>
            <w:top w:val="none" w:sz="0" w:space="0" w:color="auto"/>
            <w:left w:val="none" w:sz="0" w:space="0" w:color="auto"/>
            <w:bottom w:val="none" w:sz="0" w:space="0" w:color="auto"/>
            <w:right w:val="none" w:sz="0" w:space="0" w:color="auto"/>
          </w:divBdr>
          <w:divsChild>
            <w:div w:id="695664929">
              <w:marLeft w:val="0"/>
              <w:marRight w:val="0"/>
              <w:marTop w:val="0"/>
              <w:marBottom w:val="0"/>
              <w:divBdr>
                <w:top w:val="none" w:sz="0" w:space="0" w:color="auto"/>
                <w:left w:val="none" w:sz="0" w:space="0" w:color="auto"/>
                <w:bottom w:val="none" w:sz="0" w:space="0" w:color="auto"/>
                <w:right w:val="none" w:sz="0" w:space="0" w:color="auto"/>
              </w:divBdr>
              <w:divsChild>
                <w:div w:id="967469798">
                  <w:marLeft w:val="0"/>
                  <w:marRight w:val="0"/>
                  <w:marTop w:val="0"/>
                  <w:marBottom w:val="0"/>
                  <w:divBdr>
                    <w:top w:val="none" w:sz="0" w:space="0" w:color="auto"/>
                    <w:left w:val="none" w:sz="0" w:space="0" w:color="auto"/>
                    <w:bottom w:val="none" w:sz="0" w:space="0" w:color="auto"/>
                    <w:right w:val="none" w:sz="0" w:space="0" w:color="auto"/>
                  </w:divBdr>
                </w:div>
                <w:div w:id="1258292696">
                  <w:marLeft w:val="0"/>
                  <w:marRight w:val="0"/>
                  <w:marTop w:val="120"/>
                  <w:marBottom w:val="0"/>
                  <w:divBdr>
                    <w:top w:val="none" w:sz="0" w:space="0" w:color="auto"/>
                    <w:left w:val="none" w:sz="0" w:space="0" w:color="auto"/>
                    <w:bottom w:val="none" w:sz="0" w:space="0" w:color="auto"/>
                    <w:right w:val="none" w:sz="0" w:space="0" w:color="auto"/>
                  </w:divBdr>
                </w:div>
              </w:divsChild>
            </w:div>
            <w:div w:id="1133520964">
              <w:marLeft w:val="0"/>
              <w:marRight w:val="0"/>
              <w:marTop w:val="0"/>
              <w:marBottom w:val="0"/>
              <w:divBdr>
                <w:top w:val="none" w:sz="0" w:space="0" w:color="auto"/>
                <w:left w:val="none" w:sz="0" w:space="0" w:color="auto"/>
                <w:bottom w:val="none" w:sz="0" w:space="0" w:color="auto"/>
                <w:right w:val="none" w:sz="0" w:space="0" w:color="auto"/>
              </w:divBdr>
              <w:divsChild>
                <w:div w:id="395132193">
                  <w:marLeft w:val="0"/>
                  <w:marRight w:val="0"/>
                  <w:marTop w:val="0"/>
                  <w:marBottom w:val="0"/>
                  <w:divBdr>
                    <w:top w:val="none" w:sz="0" w:space="0" w:color="auto"/>
                    <w:left w:val="none" w:sz="0" w:space="0" w:color="auto"/>
                    <w:bottom w:val="none" w:sz="0" w:space="0" w:color="auto"/>
                    <w:right w:val="none" w:sz="0" w:space="0" w:color="auto"/>
                  </w:divBdr>
                  <w:divsChild>
                    <w:div w:id="602106031">
                      <w:marLeft w:val="0"/>
                      <w:marRight w:val="0"/>
                      <w:marTop w:val="0"/>
                      <w:marBottom w:val="0"/>
                      <w:divBdr>
                        <w:top w:val="none" w:sz="0" w:space="0" w:color="auto"/>
                        <w:left w:val="none" w:sz="0" w:space="0" w:color="auto"/>
                        <w:bottom w:val="none" w:sz="0" w:space="0" w:color="auto"/>
                        <w:right w:val="none" w:sz="0" w:space="0" w:color="auto"/>
                      </w:divBdr>
                      <w:divsChild>
                        <w:div w:id="999305464">
                          <w:marLeft w:val="0"/>
                          <w:marRight w:val="0"/>
                          <w:marTop w:val="0"/>
                          <w:marBottom w:val="0"/>
                          <w:divBdr>
                            <w:top w:val="none" w:sz="0" w:space="0" w:color="auto"/>
                            <w:left w:val="none" w:sz="0" w:space="0" w:color="auto"/>
                            <w:bottom w:val="none" w:sz="0" w:space="0" w:color="auto"/>
                            <w:right w:val="none" w:sz="0" w:space="0" w:color="auto"/>
                          </w:divBdr>
                        </w:div>
                        <w:div w:id="1761833079">
                          <w:marLeft w:val="0"/>
                          <w:marRight w:val="0"/>
                          <w:marTop w:val="120"/>
                          <w:marBottom w:val="0"/>
                          <w:divBdr>
                            <w:top w:val="none" w:sz="0" w:space="0" w:color="auto"/>
                            <w:left w:val="none" w:sz="0" w:space="0" w:color="auto"/>
                            <w:bottom w:val="none" w:sz="0" w:space="0" w:color="auto"/>
                            <w:right w:val="none" w:sz="0" w:space="0" w:color="auto"/>
                          </w:divBdr>
                        </w:div>
                      </w:divsChild>
                    </w:div>
                    <w:div w:id="1137838724">
                      <w:marLeft w:val="0"/>
                      <w:marRight w:val="0"/>
                      <w:marTop w:val="0"/>
                      <w:marBottom w:val="0"/>
                      <w:divBdr>
                        <w:top w:val="none" w:sz="0" w:space="0" w:color="auto"/>
                        <w:left w:val="none" w:sz="0" w:space="0" w:color="auto"/>
                        <w:bottom w:val="none" w:sz="0" w:space="0" w:color="auto"/>
                        <w:right w:val="none" w:sz="0" w:space="0" w:color="auto"/>
                      </w:divBdr>
                      <w:divsChild>
                        <w:div w:id="287276961">
                          <w:marLeft w:val="0"/>
                          <w:marRight w:val="0"/>
                          <w:marTop w:val="120"/>
                          <w:marBottom w:val="0"/>
                          <w:divBdr>
                            <w:top w:val="none" w:sz="0" w:space="0" w:color="auto"/>
                            <w:left w:val="none" w:sz="0" w:space="0" w:color="auto"/>
                            <w:bottom w:val="none" w:sz="0" w:space="0" w:color="auto"/>
                            <w:right w:val="none" w:sz="0" w:space="0" w:color="auto"/>
                          </w:divBdr>
                        </w:div>
                        <w:div w:id="15893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1303">
                  <w:marLeft w:val="0"/>
                  <w:marRight w:val="0"/>
                  <w:marTop w:val="120"/>
                  <w:marBottom w:val="0"/>
                  <w:divBdr>
                    <w:top w:val="none" w:sz="0" w:space="0" w:color="auto"/>
                    <w:left w:val="none" w:sz="0" w:space="0" w:color="auto"/>
                    <w:bottom w:val="none" w:sz="0" w:space="0" w:color="auto"/>
                    <w:right w:val="none" w:sz="0" w:space="0" w:color="auto"/>
                  </w:divBdr>
                </w:div>
              </w:divsChild>
            </w:div>
            <w:div w:id="1814172492">
              <w:marLeft w:val="0"/>
              <w:marRight w:val="0"/>
              <w:marTop w:val="0"/>
              <w:marBottom w:val="0"/>
              <w:divBdr>
                <w:top w:val="none" w:sz="0" w:space="0" w:color="auto"/>
                <w:left w:val="none" w:sz="0" w:space="0" w:color="auto"/>
                <w:bottom w:val="none" w:sz="0" w:space="0" w:color="auto"/>
                <w:right w:val="none" w:sz="0" w:space="0" w:color="auto"/>
              </w:divBdr>
              <w:divsChild>
                <w:div w:id="1287200976">
                  <w:marLeft w:val="0"/>
                  <w:marRight w:val="0"/>
                  <w:marTop w:val="120"/>
                  <w:marBottom w:val="0"/>
                  <w:divBdr>
                    <w:top w:val="none" w:sz="0" w:space="0" w:color="auto"/>
                    <w:left w:val="none" w:sz="0" w:space="0" w:color="auto"/>
                    <w:bottom w:val="none" w:sz="0" w:space="0" w:color="auto"/>
                    <w:right w:val="none" w:sz="0" w:space="0" w:color="auto"/>
                  </w:divBdr>
                </w:div>
                <w:div w:id="17826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123">
      <w:bodyDiv w:val="1"/>
      <w:marLeft w:val="0"/>
      <w:marRight w:val="0"/>
      <w:marTop w:val="0"/>
      <w:marBottom w:val="0"/>
      <w:divBdr>
        <w:top w:val="none" w:sz="0" w:space="0" w:color="auto"/>
        <w:left w:val="none" w:sz="0" w:space="0" w:color="auto"/>
        <w:bottom w:val="none" w:sz="0" w:space="0" w:color="auto"/>
        <w:right w:val="none" w:sz="0" w:space="0" w:color="auto"/>
      </w:divBdr>
      <w:divsChild>
        <w:div w:id="1842742166">
          <w:marLeft w:val="0"/>
          <w:marRight w:val="0"/>
          <w:marTop w:val="0"/>
          <w:marBottom w:val="0"/>
          <w:divBdr>
            <w:top w:val="none" w:sz="0" w:space="0" w:color="auto"/>
            <w:left w:val="none" w:sz="0" w:space="0" w:color="auto"/>
            <w:bottom w:val="none" w:sz="0" w:space="0" w:color="auto"/>
            <w:right w:val="none" w:sz="0" w:space="0" w:color="auto"/>
          </w:divBdr>
        </w:div>
      </w:divsChild>
    </w:div>
    <w:div w:id="210730124">
      <w:bodyDiv w:val="1"/>
      <w:marLeft w:val="0"/>
      <w:marRight w:val="0"/>
      <w:marTop w:val="0"/>
      <w:marBottom w:val="0"/>
      <w:divBdr>
        <w:top w:val="none" w:sz="0" w:space="0" w:color="auto"/>
        <w:left w:val="none" w:sz="0" w:space="0" w:color="auto"/>
        <w:bottom w:val="none" w:sz="0" w:space="0" w:color="auto"/>
        <w:right w:val="none" w:sz="0" w:space="0" w:color="auto"/>
      </w:divBdr>
    </w:div>
    <w:div w:id="214901379">
      <w:bodyDiv w:val="1"/>
      <w:marLeft w:val="0"/>
      <w:marRight w:val="0"/>
      <w:marTop w:val="0"/>
      <w:marBottom w:val="0"/>
      <w:divBdr>
        <w:top w:val="none" w:sz="0" w:space="0" w:color="auto"/>
        <w:left w:val="none" w:sz="0" w:space="0" w:color="auto"/>
        <w:bottom w:val="none" w:sz="0" w:space="0" w:color="auto"/>
        <w:right w:val="none" w:sz="0" w:space="0" w:color="auto"/>
      </w:divBdr>
      <w:divsChild>
        <w:div w:id="4676878">
          <w:marLeft w:val="0"/>
          <w:marRight w:val="0"/>
          <w:marTop w:val="0"/>
          <w:marBottom w:val="0"/>
          <w:divBdr>
            <w:top w:val="none" w:sz="0" w:space="0" w:color="auto"/>
            <w:left w:val="none" w:sz="0" w:space="0" w:color="auto"/>
            <w:bottom w:val="none" w:sz="0" w:space="0" w:color="auto"/>
            <w:right w:val="none" w:sz="0" w:space="0" w:color="auto"/>
          </w:divBdr>
          <w:divsChild>
            <w:div w:id="23992348">
              <w:marLeft w:val="0"/>
              <w:marRight w:val="0"/>
              <w:marTop w:val="0"/>
              <w:marBottom w:val="0"/>
              <w:divBdr>
                <w:top w:val="none" w:sz="0" w:space="0" w:color="auto"/>
                <w:left w:val="none" w:sz="0" w:space="0" w:color="auto"/>
                <w:bottom w:val="none" w:sz="0" w:space="0" w:color="auto"/>
                <w:right w:val="none" w:sz="0" w:space="0" w:color="auto"/>
              </w:divBdr>
            </w:div>
          </w:divsChild>
        </w:div>
        <w:div w:id="388043984">
          <w:marLeft w:val="0"/>
          <w:marRight w:val="0"/>
          <w:marTop w:val="0"/>
          <w:marBottom w:val="0"/>
          <w:divBdr>
            <w:top w:val="none" w:sz="0" w:space="0" w:color="auto"/>
            <w:left w:val="none" w:sz="0" w:space="0" w:color="auto"/>
            <w:bottom w:val="none" w:sz="0" w:space="0" w:color="auto"/>
            <w:right w:val="none" w:sz="0" w:space="0" w:color="auto"/>
          </w:divBdr>
          <w:divsChild>
            <w:div w:id="1060439611">
              <w:marLeft w:val="0"/>
              <w:marRight w:val="0"/>
              <w:marTop w:val="0"/>
              <w:marBottom w:val="0"/>
              <w:divBdr>
                <w:top w:val="none" w:sz="0" w:space="0" w:color="auto"/>
                <w:left w:val="none" w:sz="0" w:space="0" w:color="auto"/>
                <w:bottom w:val="none" w:sz="0" w:space="0" w:color="auto"/>
                <w:right w:val="none" w:sz="0" w:space="0" w:color="auto"/>
              </w:divBdr>
            </w:div>
            <w:div w:id="1652325410">
              <w:marLeft w:val="0"/>
              <w:marRight w:val="0"/>
              <w:marTop w:val="120"/>
              <w:marBottom w:val="0"/>
              <w:divBdr>
                <w:top w:val="none" w:sz="0" w:space="0" w:color="auto"/>
                <w:left w:val="none" w:sz="0" w:space="0" w:color="auto"/>
                <w:bottom w:val="none" w:sz="0" w:space="0" w:color="auto"/>
                <w:right w:val="none" w:sz="0" w:space="0" w:color="auto"/>
              </w:divBdr>
            </w:div>
          </w:divsChild>
        </w:div>
        <w:div w:id="887692236">
          <w:marLeft w:val="0"/>
          <w:marRight w:val="0"/>
          <w:marTop w:val="0"/>
          <w:marBottom w:val="0"/>
          <w:divBdr>
            <w:top w:val="none" w:sz="0" w:space="0" w:color="auto"/>
            <w:left w:val="none" w:sz="0" w:space="0" w:color="auto"/>
            <w:bottom w:val="none" w:sz="0" w:space="0" w:color="auto"/>
            <w:right w:val="none" w:sz="0" w:space="0" w:color="auto"/>
          </w:divBdr>
          <w:divsChild>
            <w:div w:id="528416823">
              <w:marLeft w:val="0"/>
              <w:marRight w:val="0"/>
              <w:marTop w:val="0"/>
              <w:marBottom w:val="0"/>
              <w:divBdr>
                <w:top w:val="none" w:sz="0" w:space="0" w:color="auto"/>
                <w:left w:val="none" w:sz="0" w:space="0" w:color="auto"/>
                <w:bottom w:val="none" w:sz="0" w:space="0" w:color="auto"/>
                <w:right w:val="none" w:sz="0" w:space="0" w:color="auto"/>
              </w:divBdr>
              <w:divsChild>
                <w:div w:id="290139994">
                  <w:marLeft w:val="0"/>
                  <w:marRight w:val="0"/>
                  <w:marTop w:val="0"/>
                  <w:marBottom w:val="0"/>
                  <w:divBdr>
                    <w:top w:val="none" w:sz="0" w:space="0" w:color="auto"/>
                    <w:left w:val="none" w:sz="0" w:space="0" w:color="auto"/>
                    <w:bottom w:val="none" w:sz="0" w:space="0" w:color="auto"/>
                    <w:right w:val="none" w:sz="0" w:space="0" w:color="auto"/>
                  </w:divBdr>
                  <w:divsChild>
                    <w:div w:id="584267997">
                      <w:marLeft w:val="0"/>
                      <w:marRight w:val="0"/>
                      <w:marTop w:val="0"/>
                      <w:marBottom w:val="0"/>
                      <w:divBdr>
                        <w:top w:val="none" w:sz="0" w:space="0" w:color="auto"/>
                        <w:left w:val="none" w:sz="0" w:space="0" w:color="auto"/>
                        <w:bottom w:val="none" w:sz="0" w:space="0" w:color="auto"/>
                        <w:right w:val="none" w:sz="0" w:space="0" w:color="auto"/>
                      </w:divBdr>
                    </w:div>
                    <w:div w:id="1835028006">
                      <w:marLeft w:val="0"/>
                      <w:marRight w:val="0"/>
                      <w:marTop w:val="120"/>
                      <w:marBottom w:val="0"/>
                      <w:divBdr>
                        <w:top w:val="none" w:sz="0" w:space="0" w:color="auto"/>
                        <w:left w:val="none" w:sz="0" w:space="0" w:color="auto"/>
                        <w:bottom w:val="none" w:sz="0" w:space="0" w:color="auto"/>
                        <w:right w:val="none" w:sz="0" w:space="0" w:color="auto"/>
                      </w:divBdr>
                    </w:div>
                  </w:divsChild>
                </w:div>
                <w:div w:id="686950837">
                  <w:marLeft w:val="0"/>
                  <w:marRight w:val="0"/>
                  <w:marTop w:val="0"/>
                  <w:marBottom w:val="0"/>
                  <w:divBdr>
                    <w:top w:val="none" w:sz="0" w:space="0" w:color="auto"/>
                    <w:left w:val="none" w:sz="0" w:space="0" w:color="auto"/>
                    <w:bottom w:val="none" w:sz="0" w:space="0" w:color="auto"/>
                    <w:right w:val="none" w:sz="0" w:space="0" w:color="auto"/>
                  </w:divBdr>
                  <w:divsChild>
                    <w:div w:id="166605369">
                      <w:marLeft w:val="0"/>
                      <w:marRight w:val="0"/>
                      <w:marTop w:val="120"/>
                      <w:marBottom w:val="0"/>
                      <w:divBdr>
                        <w:top w:val="none" w:sz="0" w:space="0" w:color="auto"/>
                        <w:left w:val="none" w:sz="0" w:space="0" w:color="auto"/>
                        <w:bottom w:val="none" w:sz="0" w:space="0" w:color="auto"/>
                        <w:right w:val="none" w:sz="0" w:space="0" w:color="auto"/>
                      </w:divBdr>
                    </w:div>
                    <w:div w:id="14992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29848">
          <w:marLeft w:val="0"/>
          <w:marRight w:val="0"/>
          <w:marTop w:val="0"/>
          <w:marBottom w:val="0"/>
          <w:divBdr>
            <w:top w:val="none" w:sz="0" w:space="0" w:color="auto"/>
            <w:left w:val="none" w:sz="0" w:space="0" w:color="auto"/>
            <w:bottom w:val="none" w:sz="0" w:space="0" w:color="auto"/>
            <w:right w:val="none" w:sz="0" w:space="0" w:color="auto"/>
          </w:divBdr>
          <w:divsChild>
            <w:div w:id="1866752437">
              <w:marLeft w:val="0"/>
              <w:marRight w:val="0"/>
              <w:marTop w:val="120"/>
              <w:marBottom w:val="0"/>
              <w:divBdr>
                <w:top w:val="none" w:sz="0" w:space="0" w:color="auto"/>
                <w:left w:val="none" w:sz="0" w:space="0" w:color="auto"/>
                <w:bottom w:val="none" w:sz="0" w:space="0" w:color="auto"/>
                <w:right w:val="none" w:sz="0" w:space="0" w:color="auto"/>
              </w:divBdr>
            </w:div>
            <w:div w:id="1983465185">
              <w:marLeft w:val="0"/>
              <w:marRight w:val="0"/>
              <w:marTop w:val="0"/>
              <w:marBottom w:val="0"/>
              <w:divBdr>
                <w:top w:val="none" w:sz="0" w:space="0" w:color="auto"/>
                <w:left w:val="none" w:sz="0" w:space="0" w:color="auto"/>
                <w:bottom w:val="none" w:sz="0" w:space="0" w:color="auto"/>
                <w:right w:val="none" w:sz="0" w:space="0" w:color="auto"/>
              </w:divBdr>
            </w:div>
          </w:divsChild>
        </w:div>
        <w:div w:id="1826042923">
          <w:marLeft w:val="0"/>
          <w:marRight w:val="0"/>
          <w:marTop w:val="0"/>
          <w:marBottom w:val="0"/>
          <w:divBdr>
            <w:top w:val="none" w:sz="0" w:space="0" w:color="auto"/>
            <w:left w:val="none" w:sz="0" w:space="0" w:color="auto"/>
            <w:bottom w:val="none" w:sz="0" w:space="0" w:color="auto"/>
            <w:right w:val="none" w:sz="0" w:space="0" w:color="auto"/>
          </w:divBdr>
          <w:divsChild>
            <w:div w:id="1426918811">
              <w:marLeft w:val="0"/>
              <w:marRight w:val="0"/>
              <w:marTop w:val="0"/>
              <w:marBottom w:val="0"/>
              <w:divBdr>
                <w:top w:val="none" w:sz="0" w:space="0" w:color="auto"/>
                <w:left w:val="none" w:sz="0" w:space="0" w:color="auto"/>
                <w:bottom w:val="none" w:sz="0" w:space="0" w:color="auto"/>
                <w:right w:val="none" w:sz="0" w:space="0" w:color="auto"/>
              </w:divBdr>
            </w:div>
          </w:divsChild>
        </w:div>
        <w:div w:id="2117478231">
          <w:marLeft w:val="0"/>
          <w:marRight w:val="0"/>
          <w:marTop w:val="0"/>
          <w:marBottom w:val="0"/>
          <w:divBdr>
            <w:top w:val="none" w:sz="0" w:space="0" w:color="auto"/>
            <w:left w:val="none" w:sz="0" w:space="0" w:color="auto"/>
            <w:bottom w:val="none" w:sz="0" w:space="0" w:color="auto"/>
            <w:right w:val="none" w:sz="0" w:space="0" w:color="auto"/>
          </w:divBdr>
          <w:divsChild>
            <w:div w:id="219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9212">
      <w:bodyDiv w:val="1"/>
      <w:marLeft w:val="0"/>
      <w:marRight w:val="0"/>
      <w:marTop w:val="0"/>
      <w:marBottom w:val="0"/>
      <w:divBdr>
        <w:top w:val="none" w:sz="0" w:space="0" w:color="auto"/>
        <w:left w:val="none" w:sz="0" w:space="0" w:color="auto"/>
        <w:bottom w:val="none" w:sz="0" w:space="0" w:color="auto"/>
        <w:right w:val="none" w:sz="0" w:space="0" w:color="auto"/>
      </w:divBdr>
      <w:divsChild>
        <w:div w:id="74591309">
          <w:marLeft w:val="0"/>
          <w:marRight w:val="0"/>
          <w:marTop w:val="0"/>
          <w:marBottom w:val="0"/>
          <w:divBdr>
            <w:top w:val="none" w:sz="0" w:space="0" w:color="auto"/>
            <w:left w:val="none" w:sz="0" w:space="0" w:color="auto"/>
            <w:bottom w:val="none" w:sz="0" w:space="0" w:color="auto"/>
            <w:right w:val="none" w:sz="0" w:space="0" w:color="auto"/>
          </w:divBdr>
          <w:divsChild>
            <w:div w:id="1745031102">
              <w:marLeft w:val="0"/>
              <w:marRight w:val="0"/>
              <w:marTop w:val="0"/>
              <w:marBottom w:val="0"/>
              <w:divBdr>
                <w:top w:val="none" w:sz="0" w:space="0" w:color="auto"/>
                <w:left w:val="none" w:sz="0" w:space="0" w:color="auto"/>
                <w:bottom w:val="none" w:sz="0" w:space="0" w:color="auto"/>
                <w:right w:val="none" w:sz="0" w:space="0" w:color="auto"/>
              </w:divBdr>
            </w:div>
          </w:divsChild>
        </w:div>
        <w:div w:id="1262058388">
          <w:marLeft w:val="0"/>
          <w:marRight w:val="0"/>
          <w:marTop w:val="0"/>
          <w:marBottom w:val="0"/>
          <w:divBdr>
            <w:top w:val="none" w:sz="0" w:space="0" w:color="auto"/>
            <w:left w:val="none" w:sz="0" w:space="0" w:color="auto"/>
            <w:bottom w:val="none" w:sz="0" w:space="0" w:color="auto"/>
            <w:right w:val="none" w:sz="0" w:space="0" w:color="auto"/>
          </w:divBdr>
          <w:divsChild>
            <w:div w:id="2194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70269">
      <w:bodyDiv w:val="1"/>
      <w:marLeft w:val="0"/>
      <w:marRight w:val="0"/>
      <w:marTop w:val="0"/>
      <w:marBottom w:val="0"/>
      <w:divBdr>
        <w:top w:val="none" w:sz="0" w:space="0" w:color="auto"/>
        <w:left w:val="none" w:sz="0" w:space="0" w:color="auto"/>
        <w:bottom w:val="none" w:sz="0" w:space="0" w:color="auto"/>
        <w:right w:val="none" w:sz="0" w:space="0" w:color="auto"/>
      </w:divBdr>
      <w:divsChild>
        <w:div w:id="1308559291">
          <w:marLeft w:val="0"/>
          <w:marRight w:val="0"/>
          <w:marTop w:val="0"/>
          <w:marBottom w:val="0"/>
          <w:divBdr>
            <w:top w:val="none" w:sz="0" w:space="0" w:color="auto"/>
            <w:left w:val="none" w:sz="0" w:space="0" w:color="auto"/>
            <w:bottom w:val="none" w:sz="0" w:space="0" w:color="auto"/>
            <w:right w:val="none" w:sz="0" w:space="0" w:color="auto"/>
          </w:divBdr>
          <w:divsChild>
            <w:div w:id="1484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7226">
      <w:bodyDiv w:val="1"/>
      <w:marLeft w:val="0"/>
      <w:marRight w:val="0"/>
      <w:marTop w:val="0"/>
      <w:marBottom w:val="0"/>
      <w:divBdr>
        <w:top w:val="none" w:sz="0" w:space="0" w:color="auto"/>
        <w:left w:val="none" w:sz="0" w:space="0" w:color="auto"/>
        <w:bottom w:val="none" w:sz="0" w:space="0" w:color="auto"/>
        <w:right w:val="none" w:sz="0" w:space="0" w:color="auto"/>
      </w:divBdr>
      <w:divsChild>
        <w:div w:id="1246644720">
          <w:marLeft w:val="0"/>
          <w:marRight w:val="0"/>
          <w:marTop w:val="0"/>
          <w:marBottom w:val="0"/>
          <w:divBdr>
            <w:top w:val="none" w:sz="0" w:space="0" w:color="auto"/>
            <w:left w:val="none" w:sz="0" w:space="0" w:color="auto"/>
            <w:bottom w:val="none" w:sz="0" w:space="0" w:color="auto"/>
            <w:right w:val="none" w:sz="0" w:space="0" w:color="auto"/>
          </w:divBdr>
          <w:divsChild>
            <w:div w:id="356589694">
              <w:marLeft w:val="0"/>
              <w:marRight w:val="0"/>
              <w:marTop w:val="0"/>
              <w:marBottom w:val="0"/>
              <w:divBdr>
                <w:top w:val="none" w:sz="0" w:space="0" w:color="auto"/>
                <w:left w:val="none" w:sz="0" w:space="0" w:color="auto"/>
                <w:bottom w:val="none" w:sz="0" w:space="0" w:color="auto"/>
                <w:right w:val="none" w:sz="0" w:space="0" w:color="auto"/>
              </w:divBdr>
              <w:divsChild>
                <w:div w:id="207255487">
                  <w:marLeft w:val="0"/>
                  <w:marRight w:val="0"/>
                  <w:marTop w:val="0"/>
                  <w:marBottom w:val="0"/>
                  <w:divBdr>
                    <w:top w:val="none" w:sz="0" w:space="0" w:color="auto"/>
                    <w:left w:val="none" w:sz="0" w:space="0" w:color="auto"/>
                    <w:bottom w:val="none" w:sz="0" w:space="0" w:color="auto"/>
                    <w:right w:val="none" w:sz="0" w:space="0" w:color="auto"/>
                  </w:divBdr>
                </w:div>
                <w:div w:id="1382948082">
                  <w:marLeft w:val="0"/>
                  <w:marRight w:val="0"/>
                  <w:marTop w:val="120"/>
                  <w:marBottom w:val="0"/>
                  <w:divBdr>
                    <w:top w:val="none" w:sz="0" w:space="0" w:color="auto"/>
                    <w:left w:val="none" w:sz="0" w:space="0" w:color="auto"/>
                    <w:bottom w:val="none" w:sz="0" w:space="0" w:color="auto"/>
                    <w:right w:val="none" w:sz="0" w:space="0" w:color="auto"/>
                  </w:divBdr>
                </w:div>
              </w:divsChild>
            </w:div>
            <w:div w:id="1248926557">
              <w:marLeft w:val="0"/>
              <w:marRight w:val="0"/>
              <w:marTop w:val="0"/>
              <w:marBottom w:val="0"/>
              <w:divBdr>
                <w:top w:val="none" w:sz="0" w:space="0" w:color="auto"/>
                <w:left w:val="none" w:sz="0" w:space="0" w:color="auto"/>
                <w:bottom w:val="none" w:sz="0" w:space="0" w:color="auto"/>
                <w:right w:val="none" w:sz="0" w:space="0" w:color="auto"/>
              </w:divBdr>
              <w:divsChild>
                <w:div w:id="167647550">
                  <w:marLeft w:val="0"/>
                  <w:marRight w:val="0"/>
                  <w:marTop w:val="120"/>
                  <w:marBottom w:val="0"/>
                  <w:divBdr>
                    <w:top w:val="none" w:sz="0" w:space="0" w:color="auto"/>
                    <w:left w:val="none" w:sz="0" w:space="0" w:color="auto"/>
                    <w:bottom w:val="none" w:sz="0" w:space="0" w:color="auto"/>
                    <w:right w:val="none" w:sz="0" w:space="0" w:color="auto"/>
                  </w:divBdr>
                </w:div>
                <w:div w:id="1683361338">
                  <w:marLeft w:val="0"/>
                  <w:marRight w:val="0"/>
                  <w:marTop w:val="0"/>
                  <w:marBottom w:val="0"/>
                  <w:divBdr>
                    <w:top w:val="none" w:sz="0" w:space="0" w:color="auto"/>
                    <w:left w:val="none" w:sz="0" w:space="0" w:color="auto"/>
                    <w:bottom w:val="none" w:sz="0" w:space="0" w:color="auto"/>
                    <w:right w:val="none" w:sz="0" w:space="0" w:color="auto"/>
                  </w:divBdr>
                </w:div>
              </w:divsChild>
            </w:div>
            <w:div w:id="1457336143">
              <w:marLeft w:val="0"/>
              <w:marRight w:val="0"/>
              <w:marTop w:val="0"/>
              <w:marBottom w:val="0"/>
              <w:divBdr>
                <w:top w:val="none" w:sz="0" w:space="0" w:color="auto"/>
                <w:left w:val="none" w:sz="0" w:space="0" w:color="auto"/>
                <w:bottom w:val="none" w:sz="0" w:space="0" w:color="auto"/>
                <w:right w:val="none" w:sz="0" w:space="0" w:color="auto"/>
              </w:divBdr>
              <w:divsChild>
                <w:div w:id="1196045001">
                  <w:marLeft w:val="0"/>
                  <w:marRight w:val="0"/>
                  <w:marTop w:val="120"/>
                  <w:marBottom w:val="0"/>
                  <w:divBdr>
                    <w:top w:val="none" w:sz="0" w:space="0" w:color="auto"/>
                    <w:left w:val="none" w:sz="0" w:space="0" w:color="auto"/>
                    <w:bottom w:val="none" w:sz="0" w:space="0" w:color="auto"/>
                    <w:right w:val="none" w:sz="0" w:space="0" w:color="auto"/>
                  </w:divBdr>
                </w:div>
                <w:div w:id="1605578484">
                  <w:marLeft w:val="0"/>
                  <w:marRight w:val="0"/>
                  <w:marTop w:val="0"/>
                  <w:marBottom w:val="0"/>
                  <w:divBdr>
                    <w:top w:val="none" w:sz="0" w:space="0" w:color="auto"/>
                    <w:left w:val="none" w:sz="0" w:space="0" w:color="auto"/>
                    <w:bottom w:val="none" w:sz="0" w:space="0" w:color="auto"/>
                    <w:right w:val="none" w:sz="0" w:space="0" w:color="auto"/>
                  </w:divBdr>
                </w:div>
              </w:divsChild>
            </w:div>
            <w:div w:id="1464812514">
              <w:marLeft w:val="0"/>
              <w:marRight w:val="0"/>
              <w:marTop w:val="0"/>
              <w:marBottom w:val="0"/>
              <w:divBdr>
                <w:top w:val="none" w:sz="0" w:space="0" w:color="auto"/>
                <w:left w:val="none" w:sz="0" w:space="0" w:color="auto"/>
                <w:bottom w:val="none" w:sz="0" w:space="0" w:color="auto"/>
                <w:right w:val="none" w:sz="0" w:space="0" w:color="auto"/>
              </w:divBdr>
              <w:divsChild>
                <w:div w:id="669022906">
                  <w:marLeft w:val="0"/>
                  <w:marRight w:val="0"/>
                  <w:marTop w:val="0"/>
                  <w:marBottom w:val="0"/>
                  <w:divBdr>
                    <w:top w:val="none" w:sz="0" w:space="0" w:color="auto"/>
                    <w:left w:val="none" w:sz="0" w:space="0" w:color="auto"/>
                    <w:bottom w:val="none" w:sz="0" w:space="0" w:color="auto"/>
                    <w:right w:val="none" w:sz="0" w:space="0" w:color="auto"/>
                  </w:divBdr>
                </w:div>
                <w:div w:id="2100783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6675838">
      <w:bodyDiv w:val="1"/>
      <w:marLeft w:val="0"/>
      <w:marRight w:val="0"/>
      <w:marTop w:val="0"/>
      <w:marBottom w:val="0"/>
      <w:divBdr>
        <w:top w:val="none" w:sz="0" w:space="0" w:color="auto"/>
        <w:left w:val="none" w:sz="0" w:space="0" w:color="auto"/>
        <w:bottom w:val="none" w:sz="0" w:space="0" w:color="auto"/>
        <w:right w:val="none" w:sz="0" w:space="0" w:color="auto"/>
      </w:divBdr>
      <w:divsChild>
        <w:div w:id="797145861">
          <w:marLeft w:val="0"/>
          <w:marRight w:val="0"/>
          <w:marTop w:val="0"/>
          <w:marBottom w:val="0"/>
          <w:divBdr>
            <w:top w:val="none" w:sz="0" w:space="0" w:color="auto"/>
            <w:left w:val="none" w:sz="0" w:space="0" w:color="auto"/>
            <w:bottom w:val="none" w:sz="0" w:space="0" w:color="auto"/>
            <w:right w:val="none" w:sz="0" w:space="0" w:color="auto"/>
          </w:divBdr>
        </w:div>
      </w:divsChild>
    </w:div>
    <w:div w:id="239413049">
      <w:bodyDiv w:val="1"/>
      <w:marLeft w:val="0"/>
      <w:marRight w:val="0"/>
      <w:marTop w:val="0"/>
      <w:marBottom w:val="0"/>
      <w:divBdr>
        <w:top w:val="none" w:sz="0" w:space="0" w:color="auto"/>
        <w:left w:val="none" w:sz="0" w:space="0" w:color="auto"/>
        <w:bottom w:val="none" w:sz="0" w:space="0" w:color="auto"/>
        <w:right w:val="none" w:sz="0" w:space="0" w:color="auto"/>
      </w:divBdr>
      <w:divsChild>
        <w:div w:id="818959603">
          <w:marLeft w:val="0"/>
          <w:marRight w:val="0"/>
          <w:marTop w:val="0"/>
          <w:marBottom w:val="0"/>
          <w:divBdr>
            <w:top w:val="none" w:sz="0" w:space="0" w:color="auto"/>
            <w:left w:val="none" w:sz="0" w:space="0" w:color="auto"/>
            <w:bottom w:val="none" w:sz="0" w:space="0" w:color="auto"/>
            <w:right w:val="none" w:sz="0" w:space="0" w:color="auto"/>
          </w:divBdr>
          <w:divsChild>
            <w:div w:id="849754064">
              <w:marLeft w:val="0"/>
              <w:marRight w:val="0"/>
              <w:marTop w:val="0"/>
              <w:marBottom w:val="0"/>
              <w:divBdr>
                <w:top w:val="none" w:sz="0" w:space="0" w:color="auto"/>
                <w:left w:val="none" w:sz="0" w:space="0" w:color="auto"/>
                <w:bottom w:val="none" w:sz="0" w:space="0" w:color="auto"/>
                <w:right w:val="none" w:sz="0" w:space="0" w:color="auto"/>
              </w:divBdr>
            </w:div>
          </w:divsChild>
        </w:div>
        <w:div w:id="842013616">
          <w:marLeft w:val="0"/>
          <w:marRight w:val="0"/>
          <w:marTop w:val="0"/>
          <w:marBottom w:val="0"/>
          <w:divBdr>
            <w:top w:val="none" w:sz="0" w:space="0" w:color="auto"/>
            <w:left w:val="none" w:sz="0" w:space="0" w:color="auto"/>
            <w:bottom w:val="none" w:sz="0" w:space="0" w:color="auto"/>
            <w:right w:val="none" w:sz="0" w:space="0" w:color="auto"/>
          </w:divBdr>
          <w:divsChild>
            <w:div w:id="891234618">
              <w:marLeft w:val="0"/>
              <w:marRight w:val="0"/>
              <w:marTop w:val="0"/>
              <w:marBottom w:val="0"/>
              <w:divBdr>
                <w:top w:val="none" w:sz="0" w:space="0" w:color="auto"/>
                <w:left w:val="none" w:sz="0" w:space="0" w:color="auto"/>
                <w:bottom w:val="none" w:sz="0" w:space="0" w:color="auto"/>
                <w:right w:val="none" w:sz="0" w:space="0" w:color="auto"/>
              </w:divBdr>
            </w:div>
          </w:divsChild>
        </w:div>
        <w:div w:id="852452100">
          <w:marLeft w:val="0"/>
          <w:marRight w:val="0"/>
          <w:marTop w:val="0"/>
          <w:marBottom w:val="0"/>
          <w:divBdr>
            <w:top w:val="none" w:sz="0" w:space="0" w:color="auto"/>
            <w:left w:val="none" w:sz="0" w:space="0" w:color="auto"/>
            <w:bottom w:val="none" w:sz="0" w:space="0" w:color="auto"/>
            <w:right w:val="none" w:sz="0" w:space="0" w:color="auto"/>
          </w:divBdr>
          <w:divsChild>
            <w:div w:id="501119119">
              <w:marLeft w:val="0"/>
              <w:marRight w:val="0"/>
              <w:marTop w:val="0"/>
              <w:marBottom w:val="0"/>
              <w:divBdr>
                <w:top w:val="none" w:sz="0" w:space="0" w:color="auto"/>
                <w:left w:val="none" w:sz="0" w:space="0" w:color="auto"/>
                <w:bottom w:val="none" w:sz="0" w:space="0" w:color="auto"/>
                <w:right w:val="none" w:sz="0" w:space="0" w:color="auto"/>
              </w:divBdr>
              <w:divsChild>
                <w:div w:id="510611322">
                  <w:marLeft w:val="0"/>
                  <w:marRight w:val="0"/>
                  <w:marTop w:val="0"/>
                  <w:marBottom w:val="0"/>
                  <w:divBdr>
                    <w:top w:val="none" w:sz="0" w:space="0" w:color="auto"/>
                    <w:left w:val="none" w:sz="0" w:space="0" w:color="auto"/>
                    <w:bottom w:val="none" w:sz="0" w:space="0" w:color="auto"/>
                    <w:right w:val="none" w:sz="0" w:space="0" w:color="auto"/>
                  </w:divBdr>
                  <w:divsChild>
                    <w:div w:id="39210520">
                      <w:marLeft w:val="0"/>
                      <w:marRight w:val="0"/>
                      <w:marTop w:val="120"/>
                      <w:marBottom w:val="0"/>
                      <w:divBdr>
                        <w:top w:val="none" w:sz="0" w:space="0" w:color="auto"/>
                        <w:left w:val="none" w:sz="0" w:space="0" w:color="auto"/>
                        <w:bottom w:val="none" w:sz="0" w:space="0" w:color="auto"/>
                        <w:right w:val="none" w:sz="0" w:space="0" w:color="auto"/>
                      </w:divBdr>
                    </w:div>
                    <w:div w:id="545214233">
                      <w:marLeft w:val="0"/>
                      <w:marRight w:val="0"/>
                      <w:marTop w:val="0"/>
                      <w:marBottom w:val="0"/>
                      <w:divBdr>
                        <w:top w:val="none" w:sz="0" w:space="0" w:color="auto"/>
                        <w:left w:val="none" w:sz="0" w:space="0" w:color="auto"/>
                        <w:bottom w:val="none" w:sz="0" w:space="0" w:color="auto"/>
                        <w:right w:val="none" w:sz="0" w:space="0" w:color="auto"/>
                      </w:divBdr>
                    </w:div>
                  </w:divsChild>
                </w:div>
                <w:div w:id="1212041117">
                  <w:marLeft w:val="0"/>
                  <w:marRight w:val="0"/>
                  <w:marTop w:val="0"/>
                  <w:marBottom w:val="0"/>
                  <w:divBdr>
                    <w:top w:val="none" w:sz="0" w:space="0" w:color="auto"/>
                    <w:left w:val="none" w:sz="0" w:space="0" w:color="auto"/>
                    <w:bottom w:val="none" w:sz="0" w:space="0" w:color="auto"/>
                    <w:right w:val="none" w:sz="0" w:space="0" w:color="auto"/>
                  </w:divBdr>
                  <w:divsChild>
                    <w:div w:id="30691992">
                      <w:marLeft w:val="0"/>
                      <w:marRight w:val="0"/>
                      <w:marTop w:val="120"/>
                      <w:marBottom w:val="0"/>
                      <w:divBdr>
                        <w:top w:val="none" w:sz="0" w:space="0" w:color="auto"/>
                        <w:left w:val="none" w:sz="0" w:space="0" w:color="auto"/>
                        <w:bottom w:val="none" w:sz="0" w:space="0" w:color="auto"/>
                        <w:right w:val="none" w:sz="0" w:space="0" w:color="auto"/>
                      </w:divBdr>
                    </w:div>
                    <w:div w:id="554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303">
          <w:marLeft w:val="0"/>
          <w:marRight w:val="0"/>
          <w:marTop w:val="0"/>
          <w:marBottom w:val="0"/>
          <w:divBdr>
            <w:top w:val="none" w:sz="0" w:space="0" w:color="auto"/>
            <w:left w:val="none" w:sz="0" w:space="0" w:color="auto"/>
            <w:bottom w:val="none" w:sz="0" w:space="0" w:color="auto"/>
            <w:right w:val="none" w:sz="0" w:space="0" w:color="auto"/>
          </w:divBdr>
        </w:div>
        <w:div w:id="1988974695">
          <w:marLeft w:val="0"/>
          <w:marRight w:val="0"/>
          <w:marTop w:val="0"/>
          <w:marBottom w:val="0"/>
          <w:divBdr>
            <w:top w:val="none" w:sz="0" w:space="0" w:color="auto"/>
            <w:left w:val="none" w:sz="0" w:space="0" w:color="auto"/>
            <w:bottom w:val="none" w:sz="0" w:space="0" w:color="auto"/>
            <w:right w:val="none" w:sz="0" w:space="0" w:color="auto"/>
          </w:divBdr>
          <w:divsChild>
            <w:div w:id="9147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2883">
      <w:bodyDiv w:val="1"/>
      <w:marLeft w:val="0"/>
      <w:marRight w:val="0"/>
      <w:marTop w:val="0"/>
      <w:marBottom w:val="0"/>
      <w:divBdr>
        <w:top w:val="none" w:sz="0" w:space="0" w:color="auto"/>
        <w:left w:val="none" w:sz="0" w:space="0" w:color="auto"/>
        <w:bottom w:val="none" w:sz="0" w:space="0" w:color="auto"/>
        <w:right w:val="none" w:sz="0" w:space="0" w:color="auto"/>
      </w:divBdr>
      <w:divsChild>
        <w:div w:id="1635597757">
          <w:marLeft w:val="0"/>
          <w:marRight w:val="0"/>
          <w:marTop w:val="0"/>
          <w:marBottom w:val="0"/>
          <w:divBdr>
            <w:top w:val="none" w:sz="0" w:space="0" w:color="auto"/>
            <w:left w:val="none" w:sz="0" w:space="0" w:color="auto"/>
            <w:bottom w:val="none" w:sz="0" w:space="0" w:color="auto"/>
            <w:right w:val="none" w:sz="0" w:space="0" w:color="auto"/>
          </w:divBdr>
          <w:divsChild>
            <w:div w:id="123544968">
              <w:marLeft w:val="0"/>
              <w:marRight w:val="0"/>
              <w:marTop w:val="0"/>
              <w:marBottom w:val="0"/>
              <w:divBdr>
                <w:top w:val="none" w:sz="0" w:space="0" w:color="auto"/>
                <w:left w:val="none" w:sz="0" w:space="0" w:color="auto"/>
                <w:bottom w:val="none" w:sz="0" w:space="0" w:color="auto"/>
                <w:right w:val="none" w:sz="0" w:space="0" w:color="auto"/>
              </w:divBdr>
              <w:divsChild>
                <w:div w:id="79955794">
                  <w:marLeft w:val="0"/>
                  <w:marRight w:val="0"/>
                  <w:marTop w:val="0"/>
                  <w:marBottom w:val="0"/>
                  <w:divBdr>
                    <w:top w:val="none" w:sz="0" w:space="0" w:color="auto"/>
                    <w:left w:val="none" w:sz="0" w:space="0" w:color="auto"/>
                    <w:bottom w:val="none" w:sz="0" w:space="0" w:color="auto"/>
                    <w:right w:val="none" w:sz="0" w:space="0" w:color="auto"/>
                  </w:divBdr>
                  <w:divsChild>
                    <w:div w:id="687172004">
                      <w:marLeft w:val="0"/>
                      <w:marRight w:val="0"/>
                      <w:marTop w:val="120"/>
                      <w:marBottom w:val="0"/>
                      <w:divBdr>
                        <w:top w:val="none" w:sz="0" w:space="0" w:color="auto"/>
                        <w:left w:val="none" w:sz="0" w:space="0" w:color="auto"/>
                        <w:bottom w:val="none" w:sz="0" w:space="0" w:color="auto"/>
                        <w:right w:val="none" w:sz="0" w:space="0" w:color="auto"/>
                      </w:divBdr>
                    </w:div>
                    <w:div w:id="1755734743">
                      <w:marLeft w:val="0"/>
                      <w:marRight w:val="0"/>
                      <w:marTop w:val="0"/>
                      <w:marBottom w:val="0"/>
                      <w:divBdr>
                        <w:top w:val="none" w:sz="0" w:space="0" w:color="auto"/>
                        <w:left w:val="none" w:sz="0" w:space="0" w:color="auto"/>
                        <w:bottom w:val="none" w:sz="0" w:space="0" w:color="auto"/>
                        <w:right w:val="none" w:sz="0" w:space="0" w:color="auto"/>
                      </w:divBdr>
                    </w:div>
                  </w:divsChild>
                </w:div>
                <w:div w:id="316347344">
                  <w:marLeft w:val="0"/>
                  <w:marRight w:val="0"/>
                  <w:marTop w:val="0"/>
                  <w:marBottom w:val="0"/>
                  <w:divBdr>
                    <w:top w:val="none" w:sz="0" w:space="0" w:color="auto"/>
                    <w:left w:val="none" w:sz="0" w:space="0" w:color="auto"/>
                    <w:bottom w:val="none" w:sz="0" w:space="0" w:color="auto"/>
                    <w:right w:val="none" w:sz="0" w:space="0" w:color="auto"/>
                  </w:divBdr>
                  <w:divsChild>
                    <w:div w:id="293021941">
                      <w:marLeft w:val="0"/>
                      <w:marRight w:val="0"/>
                      <w:marTop w:val="120"/>
                      <w:marBottom w:val="0"/>
                      <w:divBdr>
                        <w:top w:val="none" w:sz="0" w:space="0" w:color="auto"/>
                        <w:left w:val="none" w:sz="0" w:space="0" w:color="auto"/>
                        <w:bottom w:val="none" w:sz="0" w:space="0" w:color="auto"/>
                        <w:right w:val="none" w:sz="0" w:space="0" w:color="auto"/>
                      </w:divBdr>
                    </w:div>
                    <w:div w:id="1347168416">
                      <w:marLeft w:val="0"/>
                      <w:marRight w:val="0"/>
                      <w:marTop w:val="0"/>
                      <w:marBottom w:val="0"/>
                      <w:divBdr>
                        <w:top w:val="none" w:sz="0" w:space="0" w:color="auto"/>
                        <w:left w:val="none" w:sz="0" w:space="0" w:color="auto"/>
                        <w:bottom w:val="none" w:sz="0" w:space="0" w:color="auto"/>
                        <w:right w:val="none" w:sz="0" w:space="0" w:color="auto"/>
                      </w:divBdr>
                    </w:div>
                  </w:divsChild>
                </w:div>
                <w:div w:id="359666189">
                  <w:marLeft w:val="0"/>
                  <w:marRight w:val="0"/>
                  <w:marTop w:val="0"/>
                  <w:marBottom w:val="0"/>
                  <w:divBdr>
                    <w:top w:val="none" w:sz="0" w:space="0" w:color="auto"/>
                    <w:left w:val="none" w:sz="0" w:space="0" w:color="auto"/>
                    <w:bottom w:val="none" w:sz="0" w:space="0" w:color="auto"/>
                    <w:right w:val="none" w:sz="0" w:space="0" w:color="auto"/>
                  </w:divBdr>
                  <w:divsChild>
                    <w:div w:id="737049457">
                      <w:marLeft w:val="0"/>
                      <w:marRight w:val="0"/>
                      <w:marTop w:val="120"/>
                      <w:marBottom w:val="0"/>
                      <w:divBdr>
                        <w:top w:val="none" w:sz="0" w:space="0" w:color="auto"/>
                        <w:left w:val="none" w:sz="0" w:space="0" w:color="auto"/>
                        <w:bottom w:val="none" w:sz="0" w:space="0" w:color="auto"/>
                        <w:right w:val="none" w:sz="0" w:space="0" w:color="auto"/>
                      </w:divBdr>
                    </w:div>
                    <w:div w:id="1361586833">
                      <w:marLeft w:val="0"/>
                      <w:marRight w:val="0"/>
                      <w:marTop w:val="0"/>
                      <w:marBottom w:val="0"/>
                      <w:divBdr>
                        <w:top w:val="none" w:sz="0" w:space="0" w:color="auto"/>
                        <w:left w:val="none" w:sz="0" w:space="0" w:color="auto"/>
                        <w:bottom w:val="none" w:sz="0" w:space="0" w:color="auto"/>
                        <w:right w:val="none" w:sz="0" w:space="0" w:color="auto"/>
                      </w:divBdr>
                    </w:div>
                  </w:divsChild>
                </w:div>
                <w:div w:id="759062275">
                  <w:marLeft w:val="0"/>
                  <w:marRight w:val="0"/>
                  <w:marTop w:val="0"/>
                  <w:marBottom w:val="0"/>
                  <w:divBdr>
                    <w:top w:val="none" w:sz="0" w:space="0" w:color="auto"/>
                    <w:left w:val="none" w:sz="0" w:space="0" w:color="auto"/>
                    <w:bottom w:val="none" w:sz="0" w:space="0" w:color="auto"/>
                    <w:right w:val="none" w:sz="0" w:space="0" w:color="auto"/>
                  </w:divBdr>
                  <w:divsChild>
                    <w:div w:id="1890141282">
                      <w:marLeft w:val="0"/>
                      <w:marRight w:val="0"/>
                      <w:marTop w:val="120"/>
                      <w:marBottom w:val="0"/>
                      <w:divBdr>
                        <w:top w:val="none" w:sz="0" w:space="0" w:color="auto"/>
                        <w:left w:val="none" w:sz="0" w:space="0" w:color="auto"/>
                        <w:bottom w:val="none" w:sz="0" w:space="0" w:color="auto"/>
                        <w:right w:val="none" w:sz="0" w:space="0" w:color="auto"/>
                      </w:divBdr>
                    </w:div>
                    <w:div w:id="2075080849">
                      <w:marLeft w:val="0"/>
                      <w:marRight w:val="0"/>
                      <w:marTop w:val="0"/>
                      <w:marBottom w:val="0"/>
                      <w:divBdr>
                        <w:top w:val="none" w:sz="0" w:space="0" w:color="auto"/>
                        <w:left w:val="none" w:sz="0" w:space="0" w:color="auto"/>
                        <w:bottom w:val="none" w:sz="0" w:space="0" w:color="auto"/>
                        <w:right w:val="none" w:sz="0" w:space="0" w:color="auto"/>
                      </w:divBdr>
                    </w:div>
                  </w:divsChild>
                </w:div>
                <w:div w:id="1201749351">
                  <w:marLeft w:val="0"/>
                  <w:marRight w:val="0"/>
                  <w:marTop w:val="0"/>
                  <w:marBottom w:val="0"/>
                  <w:divBdr>
                    <w:top w:val="none" w:sz="0" w:space="0" w:color="auto"/>
                    <w:left w:val="none" w:sz="0" w:space="0" w:color="auto"/>
                    <w:bottom w:val="none" w:sz="0" w:space="0" w:color="auto"/>
                    <w:right w:val="none" w:sz="0" w:space="0" w:color="auto"/>
                  </w:divBdr>
                  <w:divsChild>
                    <w:div w:id="723141171">
                      <w:marLeft w:val="0"/>
                      <w:marRight w:val="0"/>
                      <w:marTop w:val="120"/>
                      <w:marBottom w:val="0"/>
                      <w:divBdr>
                        <w:top w:val="none" w:sz="0" w:space="0" w:color="auto"/>
                        <w:left w:val="none" w:sz="0" w:space="0" w:color="auto"/>
                        <w:bottom w:val="none" w:sz="0" w:space="0" w:color="auto"/>
                        <w:right w:val="none" w:sz="0" w:space="0" w:color="auto"/>
                      </w:divBdr>
                    </w:div>
                    <w:div w:id="1182626082">
                      <w:marLeft w:val="0"/>
                      <w:marRight w:val="0"/>
                      <w:marTop w:val="0"/>
                      <w:marBottom w:val="0"/>
                      <w:divBdr>
                        <w:top w:val="none" w:sz="0" w:space="0" w:color="auto"/>
                        <w:left w:val="none" w:sz="0" w:space="0" w:color="auto"/>
                        <w:bottom w:val="none" w:sz="0" w:space="0" w:color="auto"/>
                        <w:right w:val="none" w:sz="0" w:space="0" w:color="auto"/>
                      </w:divBdr>
                    </w:div>
                  </w:divsChild>
                </w:div>
                <w:div w:id="1735665887">
                  <w:marLeft w:val="0"/>
                  <w:marRight w:val="0"/>
                  <w:marTop w:val="0"/>
                  <w:marBottom w:val="0"/>
                  <w:divBdr>
                    <w:top w:val="none" w:sz="0" w:space="0" w:color="auto"/>
                    <w:left w:val="none" w:sz="0" w:space="0" w:color="auto"/>
                    <w:bottom w:val="none" w:sz="0" w:space="0" w:color="auto"/>
                    <w:right w:val="none" w:sz="0" w:space="0" w:color="auto"/>
                  </w:divBdr>
                  <w:divsChild>
                    <w:div w:id="940839172">
                      <w:marLeft w:val="0"/>
                      <w:marRight w:val="0"/>
                      <w:marTop w:val="120"/>
                      <w:marBottom w:val="0"/>
                      <w:divBdr>
                        <w:top w:val="none" w:sz="0" w:space="0" w:color="auto"/>
                        <w:left w:val="none" w:sz="0" w:space="0" w:color="auto"/>
                        <w:bottom w:val="none" w:sz="0" w:space="0" w:color="auto"/>
                        <w:right w:val="none" w:sz="0" w:space="0" w:color="auto"/>
                      </w:divBdr>
                    </w:div>
                    <w:div w:id="1685786097">
                      <w:marLeft w:val="0"/>
                      <w:marRight w:val="0"/>
                      <w:marTop w:val="0"/>
                      <w:marBottom w:val="0"/>
                      <w:divBdr>
                        <w:top w:val="none" w:sz="0" w:space="0" w:color="auto"/>
                        <w:left w:val="none" w:sz="0" w:space="0" w:color="auto"/>
                        <w:bottom w:val="none" w:sz="0" w:space="0" w:color="auto"/>
                        <w:right w:val="none" w:sz="0" w:space="0" w:color="auto"/>
                      </w:divBdr>
                    </w:div>
                  </w:divsChild>
                </w:div>
                <w:div w:id="1763602082">
                  <w:marLeft w:val="0"/>
                  <w:marRight w:val="0"/>
                  <w:marTop w:val="0"/>
                  <w:marBottom w:val="0"/>
                  <w:divBdr>
                    <w:top w:val="none" w:sz="0" w:space="0" w:color="auto"/>
                    <w:left w:val="none" w:sz="0" w:space="0" w:color="auto"/>
                    <w:bottom w:val="none" w:sz="0" w:space="0" w:color="auto"/>
                    <w:right w:val="none" w:sz="0" w:space="0" w:color="auto"/>
                  </w:divBdr>
                  <w:divsChild>
                    <w:div w:id="1348797109">
                      <w:marLeft w:val="0"/>
                      <w:marRight w:val="0"/>
                      <w:marTop w:val="0"/>
                      <w:marBottom w:val="0"/>
                      <w:divBdr>
                        <w:top w:val="none" w:sz="0" w:space="0" w:color="auto"/>
                        <w:left w:val="none" w:sz="0" w:space="0" w:color="auto"/>
                        <w:bottom w:val="none" w:sz="0" w:space="0" w:color="auto"/>
                        <w:right w:val="none" w:sz="0" w:space="0" w:color="auto"/>
                      </w:divBdr>
                    </w:div>
                    <w:div w:id="14383333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4728629">
      <w:bodyDiv w:val="1"/>
      <w:marLeft w:val="0"/>
      <w:marRight w:val="0"/>
      <w:marTop w:val="0"/>
      <w:marBottom w:val="0"/>
      <w:divBdr>
        <w:top w:val="none" w:sz="0" w:space="0" w:color="auto"/>
        <w:left w:val="none" w:sz="0" w:space="0" w:color="auto"/>
        <w:bottom w:val="none" w:sz="0" w:space="0" w:color="auto"/>
        <w:right w:val="none" w:sz="0" w:space="0" w:color="auto"/>
      </w:divBdr>
      <w:divsChild>
        <w:div w:id="445075553">
          <w:marLeft w:val="0"/>
          <w:marRight w:val="0"/>
          <w:marTop w:val="0"/>
          <w:marBottom w:val="0"/>
          <w:divBdr>
            <w:top w:val="none" w:sz="0" w:space="0" w:color="auto"/>
            <w:left w:val="none" w:sz="0" w:space="0" w:color="auto"/>
            <w:bottom w:val="none" w:sz="0" w:space="0" w:color="auto"/>
            <w:right w:val="none" w:sz="0" w:space="0" w:color="auto"/>
          </w:divBdr>
          <w:divsChild>
            <w:div w:id="426385251">
              <w:marLeft w:val="0"/>
              <w:marRight w:val="0"/>
              <w:marTop w:val="0"/>
              <w:marBottom w:val="0"/>
              <w:divBdr>
                <w:top w:val="none" w:sz="0" w:space="0" w:color="auto"/>
                <w:left w:val="none" w:sz="0" w:space="0" w:color="auto"/>
                <w:bottom w:val="none" w:sz="0" w:space="0" w:color="auto"/>
                <w:right w:val="none" w:sz="0" w:space="0" w:color="auto"/>
              </w:divBdr>
              <w:divsChild>
                <w:div w:id="1813675054">
                  <w:marLeft w:val="0"/>
                  <w:marRight w:val="0"/>
                  <w:marTop w:val="0"/>
                  <w:marBottom w:val="0"/>
                  <w:divBdr>
                    <w:top w:val="none" w:sz="0" w:space="0" w:color="auto"/>
                    <w:left w:val="none" w:sz="0" w:space="0" w:color="auto"/>
                    <w:bottom w:val="none" w:sz="0" w:space="0" w:color="auto"/>
                    <w:right w:val="none" w:sz="0" w:space="0" w:color="auto"/>
                  </w:divBdr>
                  <w:divsChild>
                    <w:div w:id="708842984">
                      <w:marLeft w:val="0"/>
                      <w:marRight w:val="0"/>
                      <w:marTop w:val="0"/>
                      <w:marBottom w:val="0"/>
                      <w:divBdr>
                        <w:top w:val="none" w:sz="0" w:space="0" w:color="auto"/>
                        <w:left w:val="none" w:sz="0" w:space="0" w:color="auto"/>
                        <w:bottom w:val="none" w:sz="0" w:space="0" w:color="auto"/>
                        <w:right w:val="none" w:sz="0" w:space="0" w:color="auto"/>
                      </w:divBdr>
                    </w:div>
                    <w:div w:id="791099127">
                      <w:marLeft w:val="0"/>
                      <w:marRight w:val="0"/>
                      <w:marTop w:val="120"/>
                      <w:marBottom w:val="0"/>
                      <w:divBdr>
                        <w:top w:val="none" w:sz="0" w:space="0" w:color="auto"/>
                        <w:left w:val="none" w:sz="0" w:space="0" w:color="auto"/>
                        <w:bottom w:val="none" w:sz="0" w:space="0" w:color="auto"/>
                        <w:right w:val="none" w:sz="0" w:space="0" w:color="auto"/>
                      </w:divBdr>
                    </w:div>
                  </w:divsChild>
                </w:div>
                <w:div w:id="1972636747">
                  <w:marLeft w:val="0"/>
                  <w:marRight w:val="0"/>
                  <w:marTop w:val="0"/>
                  <w:marBottom w:val="0"/>
                  <w:divBdr>
                    <w:top w:val="none" w:sz="0" w:space="0" w:color="auto"/>
                    <w:left w:val="none" w:sz="0" w:space="0" w:color="auto"/>
                    <w:bottom w:val="none" w:sz="0" w:space="0" w:color="auto"/>
                    <w:right w:val="none" w:sz="0" w:space="0" w:color="auto"/>
                  </w:divBdr>
                  <w:divsChild>
                    <w:div w:id="633221600">
                      <w:marLeft w:val="0"/>
                      <w:marRight w:val="0"/>
                      <w:marTop w:val="120"/>
                      <w:marBottom w:val="0"/>
                      <w:divBdr>
                        <w:top w:val="none" w:sz="0" w:space="0" w:color="auto"/>
                        <w:left w:val="none" w:sz="0" w:space="0" w:color="auto"/>
                        <w:bottom w:val="none" w:sz="0" w:space="0" w:color="auto"/>
                        <w:right w:val="none" w:sz="0" w:space="0" w:color="auto"/>
                      </w:divBdr>
                    </w:div>
                    <w:div w:id="17171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1414">
          <w:marLeft w:val="0"/>
          <w:marRight w:val="0"/>
          <w:marTop w:val="0"/>
          <w:marBottom w:val="0"/>
          <w:divBdr>
            <w:top w:val="none" w:sz="0" w:space="0" w:color="auto"/>
            <w:left w:val="none" w:sz="0" w:space="0" w:color="auto"/>
            <w:bottom w:val="none" w:sz="0" w:space="0" w:color="auto"/>
            <w:right w:val="none" w:sz="0" w:space="0" w:color="auto"/>
          </w:divBdr>
          <w:divsChild>
            <w:div w:id="371812862">
              <w:marLeft w:val="0"/>
              <w:marRight w:val="0"/>
              <w:marTop w:val="0"/>
              <w:marBottom w:val="0"/>
              <w:divBdr>
                <w:top w:val="none" w:sz="0" w:space="0" w:color="auto"/>
                <w:left w:val="none" w:sz="0" w:space="0" w:color="auto"/>
                <w:bottom w:val="none" w:sz="0" w:space="0" w:color="auto"/>
                <w:right w:val="none" w:sz="0" w:space="0" w:color="auto"/>
              </w:divBdr>
            </w:div>
          </w:divsChild>
        </w:div>
        <w:div w:id="1694113067">
          <w:marLeft w:val="0"/>
          <w:marRight w:val="0"/>
          <w:marTop w:val="0"/>
          <w:marBottom w:val="0"/>
          <w:divBdr>
            <w:top w:val="none" w:sz="0" w:space="0" w:color="auto"/>
            <w:left w:val="none" w:sz="0" w:space="0" w:color="auto"/>
            <w:bottom w:val="none" w:sz="0" w:space="0" w:color="auto"/>
            <w:right w:val="none" w:sz="0" w:space="0" w:color="auto"/>
          </w:divBdr>
          <w:divsChild>
            <w:div w:id="947737445">
              <w:marLeft w:val="0"/>
              <w:marRight w:val="0"/>
              <w:marTop w:val="0"/>
              <w:marBottom w:val="0"/>
              <w:divBdr>
                <w:top w:val="none" w:sz="0" w:space="0" w:color="auto"/>
                <w:left w:val="none" w:sz="0" w:space="0" w:color="auto"/>
                <w:bottom w:val="none" w:sz="0" w:space="0" w:color="auto"/>
                <w:right w:val="none" w:sz="0" w:space="0" w:color="auto"/>
              </w:divBdr>
            </w:div>
          </w:divsChild>
        </w:div>
        <w:div w:id="1762021079">
          <w:marLeft w:val="0"/>
          <w:marRight w:val="0"/>
          <w:marTop w:val="0"/>
          <w:marBottom w:val="0"/>
          <w:divBdr>
            <w:top w:val="none" w:sz="0" w:space="0" w:color="auto"/>
            <w:left w:val="none" w:sz="0" w:space="0" w:color="auto"/>
            <w:bottom w:val="none" w:sz="0" w:space="0" w:color="auto"/>
            <w:right w:val="none" w:sz="0" w:space="0" w:color="auto"/>
          </w:divBdr>
          <w:divsChild>
            <w:div w:id="9297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3447">
      <w:bodyDiv w:val="1"/>
      <w:marLeft w:val="0"/>
      <w:marRight w:val="0"/>
      <w:marTop w:val="0"/>
      <w:marBottom w:val="0"/>
      <w:divBdr>
        <w:top w:val="none" w:sz="0" w:space="0" w:color="auto"/>
        <w:left w:val="none" w:sz="0" w:space="0" w:color="auto"/>
        <w:bottom w:val="none" w:sz="0" w:space="0" w:color="auto"/>
        <w:right w:val="none" w:sz="0" w:space="0" w:color="auto"/>
      </w:divBdr>
      <w:divsChild>
        <w:div w:id="1072852693">
          <w:marLeft w:val="0"/>
          <w:marRight w:val="0"/>
          <w:marTop w:val="0"/>
          <w:marBottom w:val="0"/>
          <w:divBdr>
            <w:top w:val="none" w:sz="0" w:space="0" w:color="auto"/>
            <w:left w:val="none" w:sz="0" w:space="0" w:color="auto"/>
            <w:bottom w:val="none" w:sz="0" w:space="0" w:color="auto"/>
            <w:right w:val="none" w:sz="0" w:space="0" w:color="auto"/>
          </w:divBdr>
        </w:div>
      </w:divsChild>
    </w:div>
    <w:div w:id="261305875">
      <w:bodyDiv w:val="1"/>
      <w:marLeft w:val="0"/>
      <w:marRight w:val="0"/>
      <w:marTop w:val="0"/>
      <w:marBottom w:val="0"/>
      <w:divBdr>
        <w:top w:val="none" w:sz="0" w:space="0" w:color="auto"/>
        <w:left w:val="none" w:sz="0" w:space="0" w:color="auto"/>
        <w:bottom w:val="none" w:sz="0" w:space="0" w:color="auto"/>
        <w:right w:val="none" w:sz="0" w:space="0" w:color="auto"/>
      </w:divBdr>
      <w:divsChild>
        <w:div w:id="444079510">
          <w:marLeft w:val="0"/>
          <w:marRight w:val="0"/>
          <w:marTop w:val="0"/>
          <w:marBottom w:val="0"/>
          <w:divBdr>
            <w:top w:val="none" w:sz="0" w:space="0" w:color="auto"/>
            <w:left w:val="none" w:sz="0" w:space="0" w:color="auto"/>
            <w:bottom w:val="none" w:sz="0" w:space="0" w:color="auto"/>
            <w:right w:val="none" w:sz="0" w:space="0" w:color="auto"/>
          </w:divBdr>
        </w:div>
      </w:divsChild>
    </w:div>
    <w:div w:id="264196951">
      <w:bodyDiv w:val="1"/>
      <w:marLeft w:val="0"/>
      <w:marRight w:val="0"/>
      <w:marTop w:val="0"/>
      <w:marBottom w:val="0"/>
      <w:divBdr>
        <w:top w:val="none" w:sz="0" w:space="0" w:color="auto"/>
        <w:left w:val="none" w:sz="0" w:space="0" w:color="auto"/>
        <w:bottom w:val="none" w:sz="0" w:space="0" w:color="auto"/>
        <w:right w:val="none" w:sz="0" w:space="0" w:color="auto"/>
      </w:divBdr>
      <w:divsChild>
        <w:div w:id="194659493">
          <w:marLeft w:val="0"/>
          <w:marRight w:val="0"/>
          <w:marTop w:val="0"/>
          <w:marBottom w:val="0"/>
          <w:divBdr>
            <w:top w:val="none" w:sz="0" w:space="0" w:color="auto"/>
            <w:left w:val="none" w:sz="0" w:space="0" w:color="auto"/>
            <w:bottom w:val="none" w:sz="0" w:space="0" w:color="auto"/>
            <w:right w:val="none" w:sz="0" w:space="0" w:color="auto"/>
          </w:divBdr>
        </w:div>
      </w:divsChild>
    </w:div>
    <w:div w:id="272322090">
      <w:bodyDiv w:val="1"/>
      <w:marLeft w:val="0"/>
      <w:marRight w:val="0"/>
      <w:marTop w:val="0"/>
      <w:marBottom w:val="0"/>
      <w:divBdr>
        <w:top w:val="none" w:sz="0" w:space="0" w:color="auto"/>
        <w:left w:val="none" w:sz="0" w:space="0" w:color="auto"/>
        <w:bottom w:val="none" w:sz="0" w:space="0" w:color="auto"/>
        <w:right w:val="none" w:sz="0" w:space="0" w:color="auto"/>
      </w:divBdr>
      <w:divsChild>
        <w:div w:id="337008435">
          <w:marLeft w:val="0"/>
          <w:marRight w:val="0"/>
          <w:marTop w:val="0"/>
          <w:marBottom w:val="0"/>
          <w:divBdr>
            <w:top w:val="none" w:sz="0" w:space="0" w:color="auto"/>
            <w:left w:val="none" w:sz="0" w:space="0" w:color="auto"/>
            <w:bottom w:val="none" w:sz="0" w:space="0" w:color="auto"/>
            <w:right w:val="none" w:sz="0" w:space="0" w:color="auto"/>
          </w:divBdr>
        </w:div>
        <w:div w:id="662321980">
          <w:marLeft w:val="0"/>
          <w:marRight w:val="0"/>
          <w:marTop w:val="120"/>
          <w:marBottom w:val="0"/>
          <w:divBdr>
            <w:top w:val="none" w:sz="0" w:space="0" w:color="auto"/>
            <w:left w:val="none" w:sz="0" w:space="0" w:color="auto"/>
            <w:bottom w:val="none" w:sz="0" w:space="0" w:color="auto"/>
            <w:right w:val="none" w:sz="0" w:space="0" w:color="auto"/>
          </w:divBdr>
        </w:div>
        <w:div w:id="1440368105">
          <w:marLeft w:val="0"/>
          <w:marRight w:val="0"/>
          <w:marTop w:val="120"/>
          <w:marBottom w:val="0"/>
          <w:divBdr>
            <w:top w:val="none" w:sz="0" w:space="0" w:color="auto"/>
            <w:left w:val="none" w:sz="0" w:space="0" w:color="auto"/>
            <w:bottom w:val="none" w:sz="0" w:space="0" w:color="auto"/>
            <w:right w:val="none" w:sz="0" w:space="0" w:color="auto"/>
          </w:divBdr>
        </w:div>
      </w:divsChild>
    </w:div>
    <w:div w:id="286473544">
      <w:bodyDiv w:val="1"/>
      <w:marLeft w:val="0"/>
      <w:marRight w:val="0"/>
      <w:marTop w:val="0"/>
      <w:marBottom w:val="0"/>
      <w:divBdr>
        <w:top w:val="none" w:sz="0" w:space="0" w:color="auto"/>
        <w:left w:val="none" w:sz="0" w:space="0" w:color="auto"/>
        <w:bottom w:val="none" w:sz="0" w:space="0" w:color="auto"/>
        <w:right w:val="none" w:sz="0" w:space="0" w:color="auto"/>
      </w:divBdr>
    </w:div>
    <w:div w:id="287126254">
      <w:bodyDiv w:val="1"/>
      <w:marLeft w:val="0"/>
      <w:marRight w:val="0"/>
      <w:marTop w:val="0"/>
      <w:marBottom w:val="0"/>
      <w:divBdr>
        <w:top w:val="none" w:sz="0" w:space="0" w:color="auto"/>
        <w:left w:val="none" w:sz="0" w:space="0" w:color="auto"/>
        <w:bottom w:val="none" w:sz="0" w:space="0" w:color="auto"/>
        <w:right w:val="none" w:sz="0" w:space="0" w:color="auto"/>
      </w:divBdr>
      <w:divsChild>
        <w:div w:id="13458582">
          <w:marLeft w:val="0"/>
          <w:marRight w:val="0"/>
          <w:marTop w:val="0"/>
          <w:marBottom w:val="0"/>
          <w:divBdr>
            <w:top w:val="none" w:sz="0" w:space="0" w:color="auto"/>
            <w:left w:val="none" w:sz="0" w:space="0" w:color="auto"/>
            <w:bottom w:val="none" w:sz="0" w:space="0" w:color="auto"/>
            <w:right w:val="none" w:sz="0" w:space="0" w:color="auto"/>
          </w:divBdr>
          <w:divsChild>
            <w:div w:id="826551966">
              <w:marLeft w:val="0"/>
              <w:marRight w:val="0"/>
              <w:marTop w:val="0"/>
              <w:marBottom w:val="0"/>
              <w:divBdr>
                <w:top w:val="none" w:sz="0" w:space="0" w:color="auto"/>
                <w:left w:val="none" w:sz="0" w:space="0" w:color="auto"/>
                <w:bottom w:val="none" w:sz="0" w:space="0" w:color="auto"/>
                <w:right w:val="none" w:sz="0" w:space="0" w:color="auto"/>
              </w:divBdr>
            </w:div>
          </w:divsChild>
        </w:div>
        <w:div w:id="1867133723">
          <w:marLeft w:val="0"/>
          <w:marRight w:val="0"/>
          <w:marTop w:val="0"/>
          <w:marBottom w:val="0"/>
          <w:divBdr>
            <w:top w:val="none" w:sz="0" w:space="0" w:color="auto"/>
            <w:left w:val="none" w:sz="0" w:space="0" w:color="auto"/>
            <w:bottom w:val="none" w:sz="0" w:space="0" w:color="auto"/>
            <w:right w:val="none" w:sz="0" w:space="0" w:color="auto"/>
          </w:divBdr>
          <w:divsChild>
            <w:div w:id="18371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9312">
      <w:bodyDiv w:val="1"/>
      <w:marLeft w:val="0"/>
      <w:marRight w:val="0"/>
      <w:marTop w:val="0"/>
      <w:marBottom w:val="0"/>
      <w:divBdr>
        <w:top w:val="none" w:sz="0" w:space="0" w:color="auto"/>
        <w:left w:val="none" w:sz="0" w:space="0" w:color="auto"/>
        <w:bottom w:val="none" w:sz="0" w:space="0" w:color="auto"/>
        <w:right w:val="none" w:sz="0" w:space="0" w:color="auto"/>
      </w:divBdr>
      <w:divsChild>
        <w:div w:id="405347460">
          <w:marLeft w:val="0"/>
          <w:marRight w:val="0"/>
          <w:marTop w:val="0"/>
          <w:marBottom w:val="0"/>
          <w:divBdr>
            <w:top w:val="none" w:sz="0" w:space="0" w:color="auto"/>
            <w:left w:val="none" w:sz="0" w:space="0" w:color="auto"/>
            <w:bottom w:val="none" w:sz="0" w:space="0" w:color="auto"/>
            <w:right w:val="none" w:sz="0" w:space="0" w:color="auto"/>
          </w:divBdr>
        </w:div>
      </w:divsChild>
    </w:div>
    <w:div w:id="290677627">
      <w:bodyDiv w:val="1"/>
      <w:marLeft w:val="0"/>
      <w:marRight w:val="0"/>
      <w:marTop w:val="0"/>
      <w:marBottom w:val="0"/>
      <w:divBdr>
        <w:top w:val="none" w:sz="0" w:space="0" w:color="auto"/>
        <w:left w:val="none" w:sz="0" w:space="0" w:color="auto"/>
        <w:bottom w:val="none" w:sz="0" w:space="0" w:color="auto"/>
        <w:right w:val="none" w:sz="0" w:space="0" w:color="auto"/>
      </w:divBdr>
      <w:divsChild>
        <w:div w:id="2097284534">
          <w:marLeft w:val="0"/>
          <w:marRight w:val="0"/>
          <w:marTop w:val="0"/>
          <w:marBottom w:val="0"/>
          <w:divBdr>
            <w:top w:val="none" w:sz="0" w:space="0" w:color="auto"/>
            <w:left w:val="none" w:sz="0" w:space="0" w:color="auto"/>
            <w:bottom w:val="none" w:sz="0" w:space="0" w:color="auto"/>
            <w:right w:val="none" w:sz="0" w:space="0" w:color="auto"/>
          </w:divBdr>
          <w:divsChild>
            <w:div w:id="7736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9829">
      <w:bodyDiv w:val="1"/>
      <w:marLeft w:val="0"/>
      <w:marRight w:val="0"/>
      <w:marTop w:val="0"/>
      <w:marBottom w:val="0"/>
      <w:divBdr>
        <w:top w:val="none" w:sz="0" w:space="0" w:color="auto"/>
        <w:left w:val="none" w:sz="0" w:space="0" w:color="auto"/>
        <w:bottom w:val="none" w:sz="0" w:space="0" w:color="auto"/>
        <w:right w:val="none" w:sz="0" w:space="0" w:color="auto"/>
      </w:divBdr>
      <w:divsChild>
        <w:div w:id="179319241">
          <w:marLeft w:val="0"/>
          <w:marRight w:val="0"/>
          <w:marTop w:val="0"/>
          <w:marBottom w:val="0"/>
          <w:divBdr>
            <w:top w:val="none" w:sz="0" w:space="0" w:color="auto"/>
            <w:left w:val="none" w:sz="0" w:space="0" w:color="auto"/>
            <w:bottom w:val="none" w:sz="0" w:space="0" w:color="auto"/>
            <w:right w:val="none" w:sz="0" w:space="0" w:color="auto"/>
          </w:divBdr>
        </w:div>
      </w:divsChild>
    </w:div>
    <w:div w:id="305210850">
      <w:bodyDiv w:val="1"/>
      <w:marLeft w:val="0"/>
      <w:marRight w:val="0"/>
      <w:marTop w:val="0"/>
      <w:marBottom w:val="0"/>
      <w:divBdr>
        <w:top w:val="none" w:sz="0" w:space="0" w:color="auto"/>
        <w:left w:val="none" w:sz="0" w:space="0" w:color="auto"/>
        <w:bottom w:val="none" w:sz="0" w:space="0" w:color="auto"/>
        <w:right w:val="none" w:sz="0" w:space="0" w:color="auto"/>
      </w:divBdr>
      <w:divsChild>
        <w:div w:id="1957834175">
          <w:marLeft w:val="0"/>
          <w:marRight w:val="0"/>
          <w:marTop w:val="0"/>
          <w:marBottom w:val="0"/>
          <w:divBdr>
            <w:top w:val="none" w:sz="0" w:space="0" w:color="auto"/>
            <w:left w:val="none" w:sz="0" w:space="0" w:color="auto"/>
            <w:bottom w:val="none" w:sz="0" w:space="0" w:color="auto"/>
            <w:right w:val="none" w:sz="0" w:space="0" w:color="auto"/>
          </w:divBdr>
          <w:divsChild>
            <w:div w:id="275253148">
              <w:marLeft w:val="0"/>
              <w:marRight w:val="0"/>
              <w:marTop w:val="0"/>
              <w:marBottom w:val="0"/>
              <w:divBdr>
                <w:top w:val="none" w:sz="0" w:space="0" w:color="auto"/>
                <w:left w:val="none" w:sz="0" w:space="0" w:color="auto"/>
                <w:bottom w:val="none" w:sz="0" w:space="0" w:color="auto"/>
                <w:right w:val="none" w:sz="0" w:space="0" w:color="auto"/>
              </w:divBdr>
              <w:divsChild>
                <w:div w:id="290868813">
                  <w:marLeft w:val="0"/>
                  <w:marRight w:val="0"/>
                  <w:marTop w:val="120"/>
                  <w:marBottom w:val="0"/>
                  <w:divBdr>
                    <w:top w:val="none" w:sz="0" w:space="0" w:color="auto"/>
                    <w:left w:val="none" w:sz="0" w:space="0" w:color="auto"/>
                    <w:bottom w:val="none" w:sz="0" w:space="0" w:color="auto"/>
                    <w:right w:val="none" w:sz="0" w:space="0" w:color="auto"/>
                  </w:divBdr>
                </w:div>
                <w:div w:id="2008241382">
                  <w:marLeft w:val="0"/>
                  <w:marRight w:val="0"/>
                  <w:marTop w:val="0"/>
                  <w:marBottom w:val="0"/>
                  <w:divBdr>
                    <w:top w:val="none" w:sz="0" w:space="0" w:color="auto"/>
                    <w:left w:val="none" w:sz="0" w:space="0" w:color="auto"/>
                    <w:bottom w:val="none" w:sz="0" w:space="0" w:color="auto"/>
                    <w:right w:val="none" w:sz="0" w:space="0" w:color="auto"/>
                  </w:divBdr>
                </w:div>
              </w:divsChild>
            </w:div>
            <w:div w:id="448670766">
              <w:marLeft w:val="0"/>
              <w:marRight w:val="0"/>
              <w:marTop w:val="0"/>
              <w:marBottom w:val="0"/>
              <w:divBdr>
                <w:top w:val="none" w:sz="0" w:space="0" w:color="auto"/>
                <w:left w:val="none" w:sz="0" w:space="0" w:color="auto"/>
                <w:bottom w:val="none" w:sz="0" w:space="0" w:color="auto"/>
                <w:right w:val="none" w:sz="0" w:space="0" w:color="auto"/>
              </w:divBdr>
              <w:divsChild>
                <w:div w:id="1777016381">
                  <w:marLeft w:val="0"/>
                  <w:marRight w:val="0"/>
                  <w:marTop w:val="0"/>
                  <w:marBottom w:val="0"/>
                  <w:divBdr>
                    <w:top w:val="none" w:sz="0" w:space="0" w:color="auto"/>
                    <w:left w:val="none" w:sz="0" w:space="0" w:color="auto"/>
                    <w:bottom w:val="none" w:sz="0" w:space="0" w:color="auto"/>
                    <w:right w:val="none" w:sz="0" w:space="0" w:color="auto"/>
                  </w:divBdr>
                </w:div>
                <w:div w:id="2048337975">
                  <w:marLeft w:val="0"/>
                  <w:marRight w:val="0"/>
                  <w:marTop w:val="120"/>
                  <w:marBottom w:val="0"/>
                  <w:divBdr>
                    <w:top w:val="none" w:sz="0" w:space="0" w:color="auto"/>
                    <w:left w:val="none" w:sz="0" w:space="0" w:color="auto"/>
                    <w:bottom w:val="none" w:sz="0" w:space="0" w:color="auto"/>
                    <w:right w:val="none" w:sz="0" w:space="0" w:color="auto"/>
                  </w:divBdr>
                </w:div>
              </w:divsChild>
            </w:div>
            <w:div w:id="1171143130">
              <w:marLeft w:val="0"/>
              <w:marRight w:val="0"/>
              <w:marTop w:val="0"/>
              <w:marBottom w:val="0"/>
              <w:divBdr>
                <w:top w:val="none" w:sz="0" w:space="0" w:color="auto"/>
                <w:left w:val="none" w:sz="0" w:space="0" w:color="auto"/>
                <w:bottom w:val="none" w:sz="0" w:space="0" w:color="auto"/>
                <w:right w:val="none" w:sz="0" w:space="0" w:color="auto"/>
              </w:divBdr>
              <w:divsChild>
                <w:div w:id="952829183">
                  <w:marLeft w:val="0"/>
                  <w:marRight w:val="0"/>
                  <w:marTop w:val="0"/>
                  <w:marBottom w:val="0"/>
                  <w:divBdr>
                    <w:top w:val="none" w:sz="0" w:space="0" w:color="auto"/>
                    <w:left w:val="none" w:sz="0" w:space="0" w:color="auto"/>
                    <w:bottom w:val="none" w:sz="0" w:space="0" w:color="auto"/>
                    <w:right w:val="none" w:sz="0" w:space="0" w:color="auto"/>
                  </w:divBdr>
                </w:div>
                <w:div w:id="1914316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06281815">
      <w:bodyDiv w:val="1"/>
      <w:marLeft w:val="0"/>
      <w:marRight w:val="0"/>
      <w:marTop w:val="0"/>
      <w:marBottom w:val="0"/>
      <w:divBdr>
        <w:top w:val="none" w:sz="0" w:space="0" w:color="auto"/>
        <w:left w:val="none" w:sz="0" w:space="0" w:color="auto"/>
        <w:bottom w:val="none" w:sz="0" w:space="0" w:color="auto"/>
        <w:right w:val="none" w:sz="0" w:space="0" w:color="auto"/>
      </w:divBdr>
      <w:divsChild>
        <w:div w:id="507255737">
          <w:marLeft w:val="0"/>
          <w:marRight w:val="0"/>
          <w:marTop w:val="0"/>
          <w:marBottom w:val="0"/>
          <w:divBdr>
            <w:top w:val="none" w:sz="0" w:space="0" w:color="auto"/>
            <w:left w:val="none" w:sz="0" w:space="0" w:color="auto"/>
            <w:bottom w:val="none" w:sz="0" w:space="0" w:color="auto"/>
            <w:right w:val="none" w:sz="0" w:space="0" w:color="auto"/>
          </w:divBdr>
          <w:divsChild>
            <w:div w:id="7370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4306">
      <w:bodyDiv w:val="1"/>
      <w:marLeft w:val="0"/>
      <w:marRight w:val="0"/>
      <w:marTop w:val="0"/>
      <w:marBottom w:val="0"/>
      <w:divBdr>
        <w:top w:val="none" w:sz="0" w:space="0" w:color="auto"/>
        <w:left w:val="none" w:sz="0" w:space="0" w:color="auto"/>
        <w:bottom w:val="none" w:sz="0" w:space="0" w:color="auto"/>
        <w:right w:val="none" w:sz="0" w:space="0" w:color="auto"/>
      </w:divBdr>
      <w:divsChild>
        <w:div w:id="105468282">
          <w:marLeft w:val="0"/>
          <w:marRight w:val="0"/>
          <w:marTop w:val="0"/>
          <w:marBottom w:val="0"/>
          <w:divBdr>
            <w:top w:val="none" w:sz="0" w:space="0" w:color="auto"/>
            <w:left w:val="none" w:sz="0" w:space="0" w:color="auto"/>
            <w:bottom w:val="none" w:sz="0" w:space="0" w:color="auto"/>
            <w:right w:val="none" w:sz="0" w:space="0" w:color="auto"/>
          </w:divBdr>
          <w:divsChild>
            <w:div w:id="1419138504">
              <w:marLeft w:val="0"/>
              <w:marRight w:val="0"/>
              <w:marTop w:val="0"/>
              <w:marBottom w:val="0"/>
              <w:divBdr>
                <w:top w:val="none" w:sz="0" w:space="0" w:color="auto"/>
                <w:left w:val="none" w:sz="0" w:space="0" w:color="auto"/>
                <w:bottom w:val="none" w:sz="0" w:space="0" w:color="auto"/>
                <w:right w:val="none" w:sz="0" w:space="0" w:color="auto"/>
              </w:divBdr>
            </w:div>
          </w:divsChild>
        </w:div>
        <w:div w:id="774439933">
          <w:marLeft w:val="0"/>
          <w:marRight w:val="0"/>
          <w:marTop w:val="0"/>
          <w:marBottom w:val="0"/>
          <w:divBdr>
            <w:top w:val="none" w:sz="0" w:space="0" w:color="auto"/>
            <w:left w:val="none" w:sz="0" w:space="0" w:color="auto"/>
            <w:bottom w:val="none" w:sz="0" w:space="0" w:color="auto"/>
            <w:right w:val="none" w:sz="0" w:space="0" w:color="auto"/>
          </w:divBdr>
          <w:divsChild>
            <w:div w:id="977028442">
              <w:marLeft w:val="0"/>
              <w:marRight w:val="0"/>
              <w:marTop w:val="0"/>
              <w:marBottom w:val="0"/>
              <w:divBdr>
                <w:top w:val="none" w:sz="0" w:space="0" w:color="auto"/>
                <w:left w:val="none" w:sz="0" w:space="0" w:color="auto"/>
                <w:bottom w:val="none" w:sz="0" w:space="0" w:color="auto"/>
                <w:right w:val="none" w:sz="0" w:space="0" w:color="auto"/>
              </w:divBdr>
            </w:div>
          </w:divsChild>
        </w:div>
        <w:div w:id="1051659338">
          <w:marLeft w:val="0"/>
          <w:marRight w:val="0"/>
          <w:marTop w:val="0"/>
          <w:marBottom w:val="0"/>
          <w:divBdr>
            <w:top w:val="none" w:sz="0" w:space="0" w:color="auto"/>
            <w:left w:val="none" w:sz="0" w:space="0" w:color="auto"/>
            <w:bottom w:val="none" w:sz="0" w:space="0" w:color="auto"/>
            <w:right w:val="none" w:sz="0" w:space="0" w:color="auto"/>
          </w:divBdr>
          <w:divsChild>
            <w:div w:id="1003895827">
              <w:marLeft w:val="0"/>
              <w:marRight w:val="0"/>
              <w:marTop w:val="0"/>
              <w:marBottom w:val="0"/>
              <w:divBdr>
                <w:top w:val="none" w:sz="0" w:space="0" w:color="auto"/>
                <w:left w:val="none" w:sz="0" w:space="0" w:color="auto"/>
                <w:bottom w:val="none" w:sz="0" w:space="0" w:color="auto"/>
                <w:right w:val="none" w:sz="0" w:space="0" w:color="auto"/>
              </w:divBdr>
              <w:divsChild>
                <w:div w:id="135150100">
                  <w:marLeft w:val="0"/>
                  <w:marRight w:val="0"/>
                  <w:marTop w:val="0"/>
                  <w:marBottom w:val="0"/>
                  <w:divBdr>
                    <w:top w:val="none" w:sz="0" w:space="0" w:color="auto"/>
                    <w:left w:val="none" w:sz="0" w:space="0" w:color="auto"/>
                    <w:bottom w:val="none" w:sz="0" w:space="0" w:color="auto"/>
                    <w:right w:val="none" w:sz="0" w:space="0" w:color="auto"/>
                  </w:divBdr>
                  <w:divsChild>
                    <w:div w:id="1054622128">
                      <w:marLeft w:val="0"/>
                      <w:marRight w:val="0"/>
                      <w:marTop w:val="0"/>
                      <w:marBottom w:val="0"/>
                      <w:divBdr>
                        <w:top w:val="none" w:sz="0" w:space="0" w:color="auto"/>
                        <w:left w:val="none" w:sz="0" w:space="0" w:color="auto"/>
                        <w:bottom w:val="none" w:sz="0" w:space="0" w:color="auto"/>
                        <w:right w:val="none" w:sz="0" w:space="0" w:color="auto"/>
                      </w:divBdr>
                    </w:div>
                    <w:div w:id="1664966110">
                      <w:marLeft w:val="0"/>
                      <w:marRight w:val="0"/>
                      <w:marTop w:val="120"/>
                      <w:marBottom w:val="0"/>
                      <w:divBdr>
                        <w:top w:val="none" w:sz="0" w:space="0" w:color="auto"/>
                        <w:left w:val="none" w:sz="0" w:space="0" w:color="auto"/>
                        <w:bottom w:val="none" w:sz="0" w:space="0" w:color="auto"/>
                        <w:right w:val="none" w:sz="0" w:space="0" w:color="auto"/>
                      </w:divBdr>
                    </w:div>
                  </w:divsChild>
                </w:div>
                <w:div w:id="1733120441">
                  <w:marLeft w:val="0"/>
                  <w:marRight w:val="0"/>
                  <w:marTop w:val="0"/>
                  <w:marBottom w:val="0"/>
                  <w:divBdr>
                    <w:top w:val="none" w:sz="0" w:space="0" w:color="auto"/>
                    <w:left w:val="none" w:sz="0" w:space="0" w:color="auto"/>
                    <w:bottom w:val="none" w:sz="0" w:space="0" w:color="auto"/>
                    <w:right w:val="none" w:sz="0" w:space="0" w:color="auto"/>
                  </w:divBdr>
                  <w:divsChild>
                    <w:div w:id="186258633">
                      <w:marLeft w:val="0"/>
                      <w:marRight w:val="0"/>
                      <w:marTop w:val="0"/>
                      <w:marBottom w:val="0"/>
                      <w:divBdr>
                        <w:top w:val="none" w:sz="0" w:space="0" w:color="auto"/>
                        <w:left w:val="none" w:sz="0" w:space="0" w:color="auto"/>
                        <w:bottom w:val="none" w:sz="0" w:space="0" w:color="auto"/>
                        <w:right w:val="none" w:sz="0" w:space="0" w:color="auto"/>
                      </w:divBdr>
                    </w:div>
                    <w:div w:id="566958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6756731">
          <w:marLeft w:val="0"/>
          <w:marRight w:val="0"/>
          <w:marTop w:val="0"/>
          <w:marBottom w:val="0"/>
          <w:divBdr>
            <w:top w:val="none" w:sz="0" w:space="0" w:color="auto"/>
            <w:left w:val="none" w:sz="0" w:space="0" w:color="auto"/>
            <w:bottom w:val="none" w:sz="0" w:space="0" w:color="auto"/>
            <w:right w:val="none" w:sz="0" w:space="0" w:color="auto"/>
          </w:divBdr>
          <w:divsChild>
            <w:div w:id="2102994188">
              <w:marLeft w:val="0"/>
              <w:marRight w:val="0"/>
              <w:marTop w:val="0"/>
              <w:marBottom w:val="0"/>
              <w:divBdr>
                <w:top w:val="none" w:sz="0" w:space="0" w:color="auto"/>
                <w:left w:val="none" w:sz="0" w:space="0" w:color="auto"/>
                <w:bottom w:val="none" w:sz="0" w:space="0" w:color="auto"/>
                <w:right w:val="none" w:sz="0" w:space="0" w:color="auto"/>
              </w:divBdr>
              <w:divsChild>
                <w:div w:id="134950879">
                  <w:marLeft w:val="0"/>
                  <w:marRight w:val="0"/>
                  <w:marTop w:val="0"/>
                  <w:marBottom w:val="0"/>
                  <w:divBdr>
                    <w:top w:val="none" w:sz="0" w:space="0" w:color="auto"/>
                    <w:left w:val="none" w:sz="0" w:space="0" w:color="auto"/>
                    <w:bottom w:val="none" w:sz="0" w:space="0" w:color="auto"/>
                    <w:right w:val="none" w:sz="0" w:space="0" w:color="auto"/>
                  </w:divBdr>
                  <w:divsChild>
                    <w:div w:id="1681154749">
                      <w:marLeft w:val="0"/>
                      <w:marRight w:val="0"/>
                      <w:marTop w:val="0"/>
                      <w:marBottom w:val="0"/>
                      <w:divBdr>
                        <w:top w:val="none" w:sz="0" w:space="0" w:color="auto"/>
                        <w:left w:val="none" w:sz="0" w:space="0" w:color="auto"/>
                        <w:bottom w:val="none" w:sz="0" w:space="0" w:color="auto"/>
                        <w:right w:val="none" w:sz="0" w:space="0" w:color="auto"/>
                      </w:divBdr>
                    </w:div>
                    <w:div w:id="1867600421">
                      <w:marLeft w:val="0"/>
                      <w:marRight w:val="0"/>
                      <w:marTop w:val="120"/>
                      <w:marBottom w:val="0"/>
                      <w:divBdr>
                        <w:top w:val="none" w:sz="0" w:space="0" w:color="auto"/>
                        <w:left w:val="none" w:sz="0" w:space="0" w:color="auto"/>
                        <w:bottom w:val="none" w:sz="0" w:space="0" w:color="auto"/>
                        <w:right w:val="none" w:sz="0" w:space="0" w:color="auto"/>
                      </w:divBdr>
                    </w:div>
                  </w:divsChild>
                </w:div>
                <w:div w:id="347026892">
                  <w:marLeft w:val="0"/>
                  <w:marRight w:val="0"/>
                  <w:marTop w:val="0"/>
                  <w:marBottom w:val="0"/>
                  <w:divBdr>
                    <w:top w:val="none" w:sz="0" w:space="0" w:color="auto"/>
                    <w:left w:val="none" w:sz="0" w:space="0" w:color="auto"/>
                    <w:bottom w:val="none" w:sz="0" w:space="0" w:color="auto"/>
                    <w:right w:val="none" w:sz="0" w:space="0" w:color="auto"/>
                  </w:divBdr>
                  <w:divsChild>
                    <w:div w:id="160661316">
                      <w:marLeft w:val="0"/>
                      <w:marRight w:val="0"/>
                      <w:marTop w:val="120"/>
                      <w:marBottom w:val="0"/>
                      <w:divBdr>
                        <w:top w:val="none" w:sz="0" w:space="0" w:color="auto"/>
                        <w:left w:val="none" w:sz="0" w:space="0" w:color="auto"/>
                        <w:bottom w:val="none" w:sz="0" w:space="0" w:color="auto"/>
                        <w:right w:val="none" w:sz="0" w:space="0" w:color="auto"/>
                      </w:divBdr>
                    </w:div>
                    <w:div w:id="2659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1062">
          <w:marLeft w:val="0"/>
          <w:marRight w:val="0"/>
          <w:marTop w:val="0"/>
          <w:marBottom w:val="0"/>
          <w:divBdr>
            <w:top w:val="none" w:sz="0" w:space="0" w:color="auto"/>
            <w:left w:val="none" w:sz="0" w:space="0" w:color="auto"/>
            <w:bottom w:val="none" w:sz="0" w:space="0" w:color="auto"/>
            <w:right w:val="none" w:sz="0" w:space="0" w:color="auto"/>
          </w:divBdr>
          <w:divsChild>
            <w:div w:id="1839616288">
              <w:marLeft w:val="0"/>
              <w:marRight w:val="0"/>
              <w:marTop w:val="0"/>
              <w:marBottom w:val="0"/>
              <w:divBdr>
                <w:top w:val="none" w:sz="0" w:space="0" w:color="auto"/>
                <w:left w:val="none" w:sz="0" w:space="0" w:color="auto"/>
                <w:bottom w:val="none" w:sz="0" w:space="0" w:color="auto"/>
                <w:right w:val="none" w:sz="0" w:space="0" w:color="auto"/>
              </w:divBdr>
              <w:divsChild>
                <w:div w:id="863255008">
                  <w:marLeft w:val="0"/>
                  <w:marRight w:val="0"/>
                  <w:marTop w:val="0"/>
                  <w:marBottom w:val="0"/>
                  <w:divBdr>
                    <w:top w:val="none" w:sz="0" w:space="0" w:color="auto"/>
                    <w:left w:val="none" w:sz="0" w:space="0" w:color="auto"/>
                    <w:bottom w:val="none" w:sz="0" w:space="0" w:color="auto"/>
                    <w:right w:val="none" w:sz="0" w:space="0" w:color="auto"/>
                  </w:divBdr>
                  <w:divsChild>
                    <w:div w:id="761604344">
                      <w:marLeft w:val="0"/>
                      <w:marRight w:val="0"/>
                      <w:marTop w:val="0"/>
                      <w:marBottom w:val="0"/>
                      <w:divBdr>
                        <w:top w:val="none" w:sz="0" w:space="0" w:color="auto"/>
                        <w:left w:val="none" w:sz="0" w:space="0" w:color="auto"/>
                        <w:bottom w:val="none" w:sz="0" w:space="0" w:color="auto"/>
                        <w:right w:val="none" w:sz="0" w:space="0" w:color="auto"/>
                      </w:divBdr>
                      <w:divsChild>
                        <w:div w:id="429544151">
                          <w:marLeft w:val="0"/>
                          <w:marRight w:val="0"/>
                          <w:marTop w:val="0"/>
                          <w:marBottom w:val="0"/>
                          <w:divBdr>
                            <w:top w:val="none" w:sz="0" w:space="0" w:color="auto"/>
                            <w:left w:val="none" w:sz="0" w:space="0" w:color="auto"/>
                            <w:bottom w:val="none" w:sz="0" w:space="0" w:color="auto"/>
                            <w:right w:val="none" w:sz="0" w:space="0" w:color="auto"/>
                          </w:divBdr>
                          <w:divsChild>
                            <w:div w:id="233855063">
                              <w:marLeft w:val="0"/>
                              <w:marRight w:val="0"/>
                              <w:marTop w:val="0"/>
                              <w:marBottom w:val="0"/>
                              <w:divBdr>
                                <w:top w:val="none" w:sz="0" w:space="0" w:color="auto"/>
                                <w:left w:val="none" w:sz="0" w:space="0" w:color="auto"/>
                                <w:bottom w:val="none" w:sz="0" w:space="0" w:color="auto"/>
                                <w:right w:val="none" w:sz="0" w:space="0" w:color="auto"/>
                              </w:divBdr>
                            </w:div>
                            <w:div w:id="1236937831">
                              <w:marLeft w:val="0"/>
                              <w:marRight w:val="0"/>
                              <w:marTop w:val="120"/>
                              <w:marBottom w:val="0"/>
                              <w:divBdr>
                                <w:top w:val="none" w:sz="0" w:space="0" w:color="auto"/>
                                <w:left w:val="none" w:sz="0" w:space="0" w:color="auto"/>
                                <w:bottom w:val="none" w:sz="0" w:space="0" w:color="auto"/>
                                <w:right w:val="none" w:sz="0" w:space="0" w:color="auto"/>
                              </w:divBdr>
                            </w:div>
                          </w:divsChild>
                        </w:div>
                        <w:div w:id="1493914385">
                          <w:marLeft w:val="0"/>
                          <w:marRight w:val="0"/>
                          <w:marTop w:val="0"/>
                          <w:marBottom w:val="0"/>
                          <w:divBdr>
                            <w:top w:val="none" w:sz="0" w:space="0" w:color="auto"/>
                            <w:left w:val="none" w:sz="0" w:space="0" w:color="auto"/>
                            <w:bottom w:val="none" w:sz="0" w:space="0" w:color="auto"/>
                            <w:right w:val="none" w:sz="0" w:space="0" w:color="auto"/>
                          </w:divBdr>
                          <w:divsChild>
                            <w:div w:id="1158690853">
                              <w:marLeft w:val="0"/>
                              <w:marRight w:val="0"/>
                              <w:marTop w:val="120"/>
                              <w:marBottom w:val="0"/>
                              <w:divBdr>
                                <w:top w:val="none" w:sz="0" w:space="0" w:color="auto"/>
                                <w:left w:val="none" w:sz="0" w:space="0" w:color="auto"/>
                                <w:bottom w:val="none" w:sz="0" w:space="0" w:color="auto"/>
                                <w:right w:val="none" w:sz="0" w:space="0" w:color="auto"/>
                              </w:divBdr>
                            </w:div>
                            <w:div w:id="20618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004">
                      <w:marLeft w:val="0"/>
                      <w:marRight w:val="0"/>
                      <w:marTop w:val="120"/>
                      <w:marBottom w:val="0"/>
                      <w:divBdr>
                        <w:top w:val="none" w:sz="0" w:space="0" w:color="auto"/>
                        <w:left w:val="none" w:sz="0" w:space="0" w:color="auto"/>
                        <w:bottom w:val="none" w:sz="0" w:space="0" w:color="auto"/>
                        <w:right w:val="none" w:sz="0" w:space="0" w:color="auto"/>
                      </w:divBdr>
                    </w:div>
                  </w:divsChild>
                </w:div>
                <w:div w:id="1088962846">
                  <w:marLeft w:val="0"/>
                  <w:marRight w:val="0"/>
                  <w:marTop w:val="0"/>
                  <w:marBottom w:val="0"/>
                  <w:divBdr>
                    <w:top w:val="none" w:sz="0" w:space="0" w:color="auto"/>
                    <w:left w:val="none" w:sz="0" w:space="0" w:color="auto"/>
                    <w:bottom w:val="none" w:sz="0" w:space="0" w:color="auto"/>
                    <w:right w:val="none" w:sz="0" w:space="0" w:color="auto"/>
                  </w:divBdr>
                  <w:divsChild>
                    <w:div w:id="496455604">
                      <w:marLeft w:val="0"/>
                      <w:marRight w:val="0"/>
                      <w:marTop w:val="0"/>
                      <w:marBottom w:val="0"/>
                      <w:divBdr>
                        <w:top w:val="none" w:sz="0" w:space="0" w:color="auto"/>
                        <w:left w:val="none" w:sz="0" w:space="0" w:color="auto"/>
                        <w:bottom w:val="none" w:sz="0" w:space="0" w:color="auto"/>
                        <w:right w:val="none" w:sz="0" w:space="0" w:color="auto"/>
                      </w:divBdr>
                    </w:div>
                    <w:div w:id="13859130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24819789">
      <w:bodyDiv w:val="1"/>
      <w:marLeft w:val="0"/>
      <w:marRight w:val="0"/>
      <w:marTop w:val="0"/>
      <w:marBottom w:val="0"/>
      <w:divBdr>
        <w:top w:val="none" w:sz="0" w:space="0" w:color="auto"/>
        <w:left w:val="none" w:sz="0" w:space="0" w:color="auto"/>
        <w:bottom w:val="none" w:sz="0" w:space="0" w:color="auto"/>
        <w:right w:val="none" w:sz="0" w:space="0" w:color="auto"/>
      </w:divBdr>
      <w:divsChild>
        <w:div w:id="1614748814">
          <w:marLeft w:val="0"/>
          <w:marRight w:val="0"/>
          <w:marTop w:val="0"/>
          <w:marBottom w:val="0"/>
          <w:divBdr>
            <w:top w:val="none" w:sz="0" w:space="0" w:color="auto"/>
            <w:left w:val="none" w:sz="0" w:space="0" w:color="auto"/>
            <w:bottom w:val="none" w:sz="0" w:space="0" w:color="auto"/>
            <w:right w:val="none" w:sz="0" w:space="0" w:color="auto"/>
          </w:divBdr>
          <w:divsChild>
            <w:div w:id="221604901">
              <w:marLeft w:val="0"/>
              <w:marRight w:val="0"/>
              <w:marTop w:val="0"/>
              <w:marBottom w:val="0"/>
              <w:divBdr>
                <w:top w:val="none" w:sz="0" w:space="0" w:color="auto"/>
                <w:left w:val="none" w:sz="0" w:space="0" w:color="auto"/>
                <w:bottom w:val="none" w:sz="0" w:space="0" w:color="auto"/>
                <w:right w:val="none" w:sz="0" w:space="0" w:color="auto"/>
              </w:divBdr>
              <w:divsChild>
                <w:div w:id="34164319">
                  <w:marLeft w:val="0"/>
                  <w:marRight w:val="0"/>
                  <w:marTop w:val="0"/>
                  <w:marBottom w:val="0"/>
                  <w:divBdr>
                    <w:top w:val="none" w:sz="0" w:space="0" w:color="auto"/>
                    <w:left w:val="none" w:sz="0" w:space="0" w:color="auto"/>
                    <w:bottom w:val="none" w:sz="0" w:space="0" w:color="auto"/>
                    <w:right w:val="none" w:sz="0" w:space="0" w:color="auto"/>
                  </w:divBdr>
                  <w:divsChild>
                    <w:div w:id="482546889">
                      <w:marLeft w:val="0"/>
                      <w:marRight w:val="0"/>
                      <w:marTop w:val="0"/>
                      <w:marBottom w:val="0"/>
                      <w:divBdr>
                        <w:top w:val="none" w:sz="0" w:space="0" w:color="auto"/>
                        <w:left w:val="none" w:sz="0" w:space="0" w:color="auto"/>
                        <w:bottom w:val="none" w:sz="0" w:space="0" w:color="auto"/>
                        <w:right w:val="none" w:sz="0" w:space="0" w:color="auto"/>
                      </w:divBdr>
                    </w:div>
                    <w:div w:id="1536653805">
                      <w:marLeft w:val="0"/>
                      <w:marRight w:val="0"/>
                      <w:marTop w:val="120"/>
                      <w:marBottom w:val="0"/>
                      <w:divBdr>
                        <w:top w:val="none" w:sz="0" w:space="0" w:color="auto"/>
                        <w:left w:val="none" w:sz="0" w:space="0" w:color="auto"/>
                        <w:bottom w:val="none" w:sz="0" w:space="0" w:color="auto"/>
                        <w:right w:val="none" w:sz="0" w:space="0" w:color="auto"/>
                      </w:divBdr>
                    </w:div>
                  </w:divsChild>
                </w:div>
                <w:div w:id="438336617">
                  <w:marLeft w:val="0"/>
                  <w:marRight w:val="0"/>
                  <w:marTop w:val="0"/>
                  <w:marBottom w:val="0"/>
                  <w:divBdr>
                    <w:top w:val="none" w:sz="0" w:space="0" w:color="auto"/>
                    <w:left w:val="none" w:sz="0" w:space="0" w:color="auto"/>
                    <w:bottom w:val="none" w:sz="0" w:space="0" w:color="auto"/>
                    <w:right w:val="none" w:sz="0" w:space="0" w:color="auto"/>
                  </w:divBdr>
                  <w:divsChild>
                    <w:div w:id="324940774">
                      <w:marLeft w:val="0"/>
                      <w:marRight w:val="0"/>
                      <w:marTop w:val="0"/>
                      <w:marBottom w:val="0"/>
                      <w:divBdr>
                        <w:top w:val="none" w:sz="0" w:space="0" w:color="auto"/>
                        <w:left w:val="none" w:sz="0" w:space="0" w:color="auto"/>
                        <w:bottom w:val="none" w:sz="0" w:space="0" w:color="auto"/>
                        <w:right w:val="none" w:sz="0" w:space="0" w:color="auto"/>
                      </w:divBdr>
                    </w:div>
                    <w:div w:id="802038423">
                      <w:marLeft w:val="0"/>
                      <w:marRight w:val="0"/>
                      <w:marTop w:val="120"/>
                      <w:marBottom w:val="0"/>
                      <w:divBdr>
                        <w:top w:val="none" w:sz="0" w:space="0" w:color="auto"/>
                        <w:left w:val="none" w:sz="0" w:space="0" w:color="auto"/>
                        <w:bottom w:val="none" w:sz="0" w:space="0" w:color="auto"/>
                        <w:right w:val="none" w:sz="0" w:space="0" w:color="auto"/>
                      </w:divBdr>
                    </w:div>
                  </w:divsChild>
                </w:div>
                <w:div w:id="1154764513">
                  <w:marLeft w:val="0"/>
                  <w:marRight w:val="0"/>
                  <w:marTop w:val="0"/>
                  <w:marBottom w:val="0"/>
                  <w:divBdr>
                    <w:top w:val="none" w:sz="0" w:space="0" w:color="auto"/>
                    <w:left w:val="none" w:sz="0" w:space="0" w:color="auto"/>
                    <w:bottom w:val="none" w:sz="0" w:space="0" w:color="auto"/>
                    <w:right w:val="none" w:sz="0" w:space="0" w:color="auto"/>
                  </w:divBdr>
                  <w:divsChild>
                    <w:div w:id="1172910642">
                      <w:marLeft w:val="0"/>
                      <w:marRight w:val="0"/>
                      <w:marTop w:val="0"/>
                      <w:marBottom w:val="0"/>
                      <w:divBdr>
                        <w:top w:val="none" w:sz="0" w:space="0" w:color="auto"/>
                        <w:left w:val="none" w:sz="0" w:space="0" w:color="auto"/>
                        <w:bottom w:val="none" w:sz="0" w:space="0" w:color="auto"/>
                        <w:right w:val="none" w:sz="0" w:space="0" w:color="auto"/>
                      </w:divBdr>
                    </w:div>
                    <w:div w:id="2036038443">
                      <w:marLeft w:val="0"/>
                      <w:marRight w:val="0"/>
                      <w:marTop w:val="120"/>
                      <w:marBottom w:val="0"/>
                      <w:divBdr>
                        <w:top w:val="none" w:sz="0" w:space="0" w:color="auto"/>
                        <w:left w:val="none" w:sz="0" w:space="0" w:color="auto"/>
                        <w:bottom w:val="none" w:sz="0" w:space="0" w:color="auto"/>
                        <w:right w:val="none" w:sz="0" w:space="0" w:color="auto"/>
                      </w:divBdr>
                    </w:div>
                  </w:divsChild>
                </w:div>
                <w:div w:id="1227566216">
                  <w:marLeft w:val="0"/>
                  <w:marRight w:val="0"/>
                  <w:marTop w:val="0"/>
                  <w:marBottom w:val="0"/>
                  <w:divBdr>
                    <w:top w:val="none" w:sz="0" w:space="0" w:color="auto"/>
                    <w:left w:val="none" w:sz="0" w:space="0" w:color="auto"/>
                    <w:bottom w:val="none" w:sz="0" w:space="0" w:color="auto"/>
                    <w:right w:val="none" w:sz="0" w:space="0" w:color="auto"/>
                  </w:divBdr>
                  <w:divsChild>
                    <w:div w:id="126630824">
                      <w:marLeft w:val="0"/>
                      <w:marRight w:val="0"/>
                      <w:marTop w:val="120"/>
                      <w:marBottom w:val="0"/>
                      <w:divBdr>
                        <w:top w:val="none" w:sz="0" w:space="0" w:color="auto"/>
                        <w:left w:val="none" w:sz="0" w:space="0" w:color="auto"/>
                        <w:bottom w:val="none" w:sz="0" w:space="0" w:color="auto"/>
                        <w:right w:val="none" w:sz="0" w:space="0" w:color="auto"/>
                      </w:divBdr>
                    </w:div>
                    <w:div w:id="632835840">
                      <w:marLeft w:val="0"/>
                      <w:marRight w:val="0"/>
                      <w:marTop w:val="0"/>
                      <w:marBottom w:val="0"/>
                      <w:divBdr>
                        <w:top w:val="none" w:sz="0" w:space="0" w:color="auto"/>
                        <w:left w:val="none" w:sz="0" w:space="0" w:color="auto"/>
                        <w:bottom w:val="none" w:sz="0" w:space="0" w:color="auto"/>
                        <w:right w:val="none" w:sz="0" w:space="0" w:color="auto"/>
                      </w:divBdr>
                    </w:div>
                  </w:divsChild>
                </w:div>
                <w:div w:id="1728722568">
                  <w:marLeft w:val="0"/>
                  <w:marRight w:val="0"/>
                  <w:marTop w:val="0"/>
                  <w:marBottom w:val="0"/>
                  <w:divBdr>
                    <w:top w:val="none" w:sz="0" w:space="0" w:color="auto"/>
                    <w:left w:val="none" w:sz="0" w:space="0" w:color="auto"/>
                    <w:bottom w:val="none" w:sz="0" w:space="0" w:color="auto"/>
                    <w:right w:val="none" w:sz="0" w:space="0" w:color="auto"/>
                  </w:divBdr>
                  <w:divsChild>
                    <w:div w:id="545993303">
                      <w:marLeft w:val="0"/>
                      <w:marRight w:val="0"/>
                      <w:marTop w:val="120"/>
                      <w:marBottom w:val="0"/>
                      <w:divBdr>
                        <w:top w:val="none" w:sz="0" w:space="0" w:color="auto"/>
                        <w:left w:val="none" w:sz="0" w:space="0" w:color="auto"/>
                        <w:bottom w:val="none" w:sz="0" w:space="0" w:color="auto"/>
                        <w:right w:val="none" w:sz="0" w:space="0" w:color="auto"/>
                      </w:divBdr>
                    </w:div>
                    <w:div w:id="1322658475">
                      <w:marLeft w:val="0"/>
                      <w:marRight w:val="0"/>
                      <w:marTop w:val="0"/>
                      <w:marBottom w:val="0"/>
                      <w:divBdr>
                        <w:top w:val="none" w:sz="0" w:space="0" w:color="auto"/>
                        <w:left w:val="none" w:sz="0" w:space="0" w:color="auto"/>
                        <w:bottom w:val="none" w:sz="0" w:space="0" w:color="auto"/>
                        <w:right w:val="none" w:sz="0" w:space="0" w:color="auto"/>
                      </w:divBdr>
                    </w:div>
                  </w:divsChild>
                </w:div>
                <w:div w:id="2025588822">
                  <w:marLeft w:val="0"/>
                  <w:marRight w:val="0"/>
                  <w:marTop w:val="0"/>
                  <w:marBottom w:val="0"/>
                  <w:divBdr>
                    <w:top w:val="none" w:sz="0" w:space="0" w:color="auto"/>
                    <w:left w:val="none" w:sz="0" w:space="0" w:color="auto"/>
                    <w:bottom w:val="none" w:sz="0" w:space="0" w:color="auto"/>
                    <w:right w:val="none" w:sz="0" w:space="0" w:color="auto"/>
                  </w:divBdr>
                  <w:divsChild>
                    <w:div w:id="527111402">
                      <w:marLeft w:val="0"/>
                      <w:marRight w:val="0"/>
                      <w:marTop w:val="120"/>
                      <w:marBottom w:val="0"/>
                      <w:divBdr>
                        <w:top w:val="none" w:sz="0" w:space="0" w:color="auto"/>
                        <w:left w:val="none" w:sz="0" w:space="0" w:color="auto"/>
                        <w:bottom w:val="none" w:sz="0" w:space="0" w:color="auto"/>
                        <w:right w:val="none" w:sz="0" w:space="0" w:color="auto"/>
                      </w:divBdr>
                    </w:div>
                    <w:div w:id="16106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08156">
      <w:bodyDiv w:val="1"/>
      <w:marLeft w:val="0"/>
      <w:marRight w:val="0"/>
      <w:marTop w:val="0"/>
      <w:marBottom w:val="0"/>
      <w:divBdr>
        <w:top w:val="none" w:sz="0" w:space="0" w:color="auto"/>
        <w:left w:val="none" w:sz="0" w:space="0" w:color="auto"/>
        <w:bottom w:val="none" w:sz="0" w:space="0" w:color="auto"/>
        <w:right w:val="none" w:sz="0" w:space="0" w:color="auto"/>
      </w:divBdr>
      <w:divsChild>
        <w:div w:id="1192493775">
          <w:marLeft w:val="0"/>
          <w:marRight w:val="0"/>
          <w:marTop w:val="0"/>
          <w:marBottom w:val="0"/>
          <w:divBdr>
            <w:top w:val="none" w:sz="0" w:space="0" w:color="auto"/>
            <w:left w:val="none" w:sz="0" w:space="0" w:color="auto"/>
            <w:bottom w:val="none" w:sz="0" w:space="0" w:color="auto"/>
            <w:right w:val="none" w:sz="0" w:space="0" w:color="auto"/>
          </w:divBdr>
          <w:divsChild>
            <w:div w:id="2052873908">
              <w:marLeft w:val="0"/>
              <w:marRight w:val="0"/>
              <w:marTop w:val="0"/>
              <w:marBottom w:val="0"/>
              <w:divBdr>
                <w:top w:val="none" w:sz="0" w:space="0" w:color="auto"/>
                <w:left w:val="none" w:sz="0" w:space="0" w:color="auto"/>
                <w:bottom w:val="none" w:sz="0" w:space="0" w:color="auto"/>
                <w:right w:val="none" w:sz="0" w:space="0" w:color="auto"/>
              </w:divBdr>
            </w:div>
          </w:divsChild>
        </w:div>
        <w:div w:id="2008239583">
          <w:marLeft w:val="0"/>
          <w:marRight w:val="0"/>
          <w:marTop w:val="0"/>
          <w:marBottom w:val="0"/>
          <w:divBdr>
            <w:top w:val="none" w:sz="0" w:space="0" w:color="auto"/>
            <w:left w:val="none" w:sz="0" w:space="0" w:color="auto"/>
            <w:bottom w:val="none" w:sz="0" w:space="0" w:color="auto"/>
            <w:right w:val="none" w:sz="0" w:space="0" w:color="auto"/>
          </w:divBdr>
          <w:divsChild>
            <w:div w:id="14762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4677">
      <w:bodyDiv w:val="1"/>
      <w:marLeft w:val="0"/>
      <w:marRight w:val="0"/>
      <w:marTop w:val="0"/>
      <w:marBottom w:val="0"/>
      <w:divBdr>
        <w:top w:val="none" w:sz="0" w:space="0" w:color="auto"/>
        <w:left w:val="none" w:sz="0" w:space="0" w:color="auto"/>
        <w:bottom w:val="none" w:sz="0" w:space="0" w:color="auto"/>
        <w:right w:val="none" w:sz="0" w:space="0" w:color="auto"/>
      </w:divBdr>
    </w:div>
    <w:div w:id="356082071">
      <w:bodyDiv w:val="1"/>
      <w:marLeft w:val="0"/>
      <w:marRight w:val="0"/>
      <w:marTop w:val="0"/>
      <w:marBottom w:val="0"/>
      <w:divBdr>
        <w:top w:val="none" w:sz="0" w:space="0" w:color="auto"/>
        <w:left w:val="none" w:sz="0" w:space="0" w:color="auto"/>
        <w:bottom w:val="none" w:sz="0" w:space="0" w:color="auto"/>
        <w:right w:val="none" w:sz="0" w:space="0" w:color="auto"/>
      </w:divBdr>
      <w:divsChild>
        <w:div w:id="213975514">
          <w:marLeft w:val="0"/>
          <w:marRight w:val="0"/>
          <w:marTop w:val="0"/>
          <w:marBottom w:val="0"/>
          <w:divBdr>
            <w:top w:val="none" w:sz="0" w:space="0" w:color="auto"/>
            <w:left w:val="none" w:sz="0" w:space="0" w:color="auto"/>
            <w:bottom w:val="none" w:sz="0" w:space="0" w:color="auto"/>
            <w:right w:val="none" w:sz="0" w:space="0" w:color="auto"/>
          </w:divBdr>
          <w:divsChild>
            <w:div w:id="338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4331">
      <w:bodyDiv w:val="1"/>
      <w:marLeft w:val="0"/>
      <w:marRight w:val="0"/>
      <w:marTop w:val="0"/>
      <w:marBottom w:val="0"/>
      <w:divBdr>
        <w:top w:val="none" w:sz="0" w:space="0" w:color="auto"/>
        <w:left w:val="none" w:sz="0" w:space="0" w:color="auto"/>
        <w:bottom w:val="none" w:sz="0" w:space="0" w:color="auto"/>
        <w:right w:val="none" w:sz="0" w:space="0" w:color="auto"/>
      </w:divBdr>
      <w:divsChild>
        <w:div w:id="1010836827">
          <w:marLeft w:val="0"/>
          <w:marRight w:val="0"/>
          <w:marTop w:val="0"/>
          <w:marBottom w:val="0"/>
          <w:divBdr>
            <w:top w:val="none" w:sz="0" w:space="0" w:color="auto"/>
            <w:left w:val="none" w:sz="0" w:space="0" w:color="auto"/>
            <w:bottom w:val="none" w:sz="0" w:space="0" w:color="auto"/>
            <w:right w:val="none" w:sz="0" w:space="0" w:color="auto"/>
          </w:divBdr>
          <w:divsChild>
            <w:div w:id="20995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8201">
      <w:bodyDiv w:val="1"/>
      <w:marLeft w:val="0"/>
      <w:marRight w:val="0"/>
      <w:marTop w:val="0"/>
      <w:marBottom w:val="0"/>
      <w:divBdr>
        <w:top w:val="none" w:sz="0" w:space="0" w:color="auto"/>
        <w:left w:val="none" w:sz="0" w:space="0" w:color="auto"/>
        <w:bottom w:val="none" w:sz="0" w:space="0" w:color="auto"/>
        <w:right w:val="none" w:sz="0" w:space="0" w:color="auto"/>
      </w:divBdr>
      <w:divsChild>
        <w:div w:id="954557297">
          <w:marLeft w:val="0"/>
          <w:marRight w:val="0"/>
          <w:marTop w:val="120"/>
          <w:marBottom w:val="0"/>
          <w:divBdr>
            <w:top w:val="none" w:sz="0" w:space="0" w:color="auto"/>
            <w:left w:val="none" w:sz="0" w:space="0" w:color="auto"/>
            <w:bottom w:val="none" w:sz="0" w:space="0" w:color="auto"/>
            <w:right w:val="none" w:sz="0" w:space="0" w:color="auto"/>
          </w:divBdr>
        </w:div>
        <w:div w:id="2138258163">
          <w:marLeft w:val="0"/>
          <w:marRight w:val="0"/>
          <w:marTop w:val="0"/>
          <w:marBottom w:val="0"/>
          <w:divBdr>
            <w:top w:val="none" w:sz="0" w:space="0" w:color="auto"/>
            <w:left w:val="none" w:sz="0" w:space="0" w:color="auto"/>
            <w:bottom w:val="none" w:sz="0" w:space="0" w:color="auto"/>
            <w:right w:val="none" w:sz="0" w:space="0" w:color="auto"/>
          </w:divBdr>
          <w:divsChild>
            <w:div w:id="36004223">
              <w:marLeft w:val="0"/>
              <w:marRight w:val="0"/>
              <w:marTop w:val="0"/>
              <w:marBottom w:val="0"/>
              <w:divBdr>
                <w:top w:val="none" w:sz="0" w:space="0" w:color="auto"/>
                <w:left w:val="none" w:sz="0" w:space="0" w:color="auto"/>
                <w:bottom w:val="none" w:sz="0" w:space="0" w:color="auto"/>
                <w:right w:val="none" w:sz="0" w:space="0" w:color="auto"/>
              </w:divBdr>
              <w:divsChild>
                <w:div w:id="762454948">
                  <w:marLeft w:val="0"/>
                  <w:marRight w:val="0"/>
                  <w:marTop w:val="120"/>
                  <w:marBottom w:val="0"/>
                  <w:divBdr>
                    <w:top w:val="none" w:sz="0" w:space="0" w:color="auto"/>
                    <w:left w:val="none" w:sz="0" w:space="0" w:color="auto"/>
                    <w:bottom w:val="none" w:sz="0" w:space="0" w:color="auto"/>
                    <w:right w:val="none" w:sz="0" w:space="0" w:color="auto"/>
                  </w:divBdr>
                </w:div>
                <w:div w:id="1796675202">
                  <w:marLeft w:val="0"/>
                  <w:marRight w:val="0"/>
                  <w:marTop w:val="0"/>
                  <w:marBottom w:val="0"/>
                  <w:divBdr>
                    <w:top w:val="none" w:sz="0" w:space="0" w:color="auto"/>
                    <w:left w:val="none" w:sz="0" w:space="0" w:color="auto"/>
                    <w:bottom w:val="none" w:sz="0" w:space="0" w:color="auto"/>
                    <w:right w:val="none" w:sz="0" w:space="0" w:color="auto"/>
                  </w:divBdr>
                </w:div>
              </w:divsChild>
            </w:div>
            <w:div w:id="362901184">
              <w:marLeft w:val="0"/>
              <w:marRight w:val="0"/>
              <w:marTop w:val="0"/>
              <w:marBottom w:val="0"/>
              <w:divBdr>
                <w:top w:val="none" w:sz="0" w:space="0" w:color="auto"/>
                <w:left w:val="none" w:sz="0" w:space="0" w:color="auto"/>
                <w:bottom w:val="none" w:sz="0" w:space="0" w:color="auto"/>
                <w:right w:val="none" w:sz="0" w:space="0" w:color="auto"/>
              </w:divBdr>
              <w:divsChild>
                <w:div w:id="386488715">
                  <w:marLeft w:val="0"/>
                  <w:marRight w:val="0"/>
                  <w:marTop w:val="120"/>
                  <w:marBottom w:val="0"/>
                  <w:divBdr>
                    <w:top w:val="none" w:sz="0" w:space="0" w:color="auto"/>
                    <w:left w:val="none" w:sz="0" w:space="0" w:color="auto"/>
                    <w:bottom w:val="none" w:sz="0" w:space="0" w:color="auto"/>
                    <w:right w:val="none" w:sz="0" w:space="0" w:color="auto"/>
                  </w:divBdr>
                </w:div>
                <w:div w:id="1511916558">
                  <w:marLeft w:val="0"/>
                  <w:marRight w:val="0"/>
                  <w:marTop w:val="0"/>
                  <w:marBottom w:val="0"/>
                  <w:divBdr>
                    <w:top w:val="none" w:sz="0" w:space="0" w:color="auto"/>
                    <w:left w:val="none" w:sz="0" w:space="0" w:color="auto"/>
                    <w:bottom w:val="none" w:sz="0" w:space="0" w:color="auto"/>
                    <w:right w:val="none" w:sz="0" w:space="0" w:color="auto"/>
                  </w:divBdr>
                </w:div>
              </w:divsChild>
            </w:div>
            <w:div w:id="1434279714">
              <w:marLeft w:val="0"/>
              <w:marRight w:val="0"/>
              <w:marTop w:val="0"/>
              <w:marBottom w:val="0"/>
              <w:divBdr>
                <w:top w:val="none" w:sz="0" w:space="0" w:color="auto"/>
                <w:left w:val="none" w:sz="0" w:space="0" w:color="auto"/>
                <w:bottom w:val="none" w:sz="0" w:space="0" w:color="auto"/>
                <w:right w:val="none" w:sz="0" w:space="0" w:color="auto"/>
              </w:divBdr>
              <w:divsChild>
                <w:div w:id="814107225">
                  <w:marLeft w:val="0"/>
                  <w:marRight w:val="0"/>
                  <w:marTop w:val="0"/>
                  <w:marBottom w:val="0"/>
                  <w:divBdr>
                    <w:top w:val="none" w:sz="0" w:space="0" w:color="auto"/>
                    <w:left w:val="none" w:sz="0" w:space="0" w:color="auto"/>
                    <w:bottom w:val="none" w:sz="0" w:space="0" w:color="auto"/>
                    <w:right w:val="none" w:sz="0" w:space="0" w:color="auto"/>
                  </w:divBdr>
                </w:div>
                <w:div w:id="1896619595">
                  <w:marLeft w:val="0"/>
                  <w:marRight w:val="0"/>
                  <w:marTop w:val="120"/>
                  <w:marBottom w:val="0"/>
                  <w:divBdr>
                    <w:top w:val="none" w:sz="0" w:space="0" w:color="auto"/>
                    <w:left w:val="none" w:sz="0" w:space="0" w:color="auto"/>
                    <w:bottom w:val="none" w:sz="0" w:space="0" w:color="auto"/>
                    <w:right w:val="none" w:sz="0" w:space="0" w:color="auto"/>
                  </w:divBdr>
                </w:div>
              </w:divsChild>
            </w:div>
            <w:div w:id="1479884453">
              <w:marLeft w:val="0"/>
              <w:marRight w:val="0"/>
              <w:marTop w:val="0"/>
              <w:marBottom w:val="0"/>
              <w:divBdr>
                <w:top w:val="none" w:sz="0" w:space="0" w:color="auto"/>
                <w:left w:val="none" w:sz="0" w:space="0" w:color="auto"/>
                <w:bottom w:val="none" w:sz="0" w:space="0" w:color="auto"/>
                <w:right w:val="none" w:sz="0" w:space="0" w:color="auto"/>
              </w:divBdr>
              <w:divsChild>
                <w:div w:id="508831155">
                  <w:marLeft w:val="0"/>
                  <w:marRight w:val="0"/>
                  <w:marTop w:val="0"/>
                  <w:marBottom w:val="0"/>
                  <w:divBdr>
                    <w:top w:val="none" w:sz="0" w:space="0" w:color="auto"/>
                    <w:left w:val="none" w:sz="0" w:space="0" w:color="auto"/>
                    <w:bottom w:val="none" w:sz="0" w:space="0" w:color="auto"/>
                    <w:right w:val="none" w:sz="0" w:space="0" w:color="auto"/>
                  </w:divBdr>
                </w:div>
                <w:div w:id="1702508448">
                  <w:marLeft w:val="0"/>
                  <w:marRight w:val="0"/>
                  <w:marTop w:val="120"/>
                  <w:marBottom w:val="0"/>
                  <w:divBdr>
                    <w:top w:val="none" w:sz="0" w:space="0" w:color="auto"/>
                    <w:left w:val="none" w:sz="0" w:space="0" w:color="auto"/>
                    <w:bottom w:val="none" w:sz="0" w:space="0" w:color="auto"/>
                    <w:right w:val="none" w:sz="0" w:space="0" w:color="auto"/>
                  </w:divBdr>
                </w:div>
              </w:divsChild>
            </w:div>
            <w:div w:id="1495220876">
              <w:marLeft w:val="0"/>
              <w:marRight w:val="0"/>
              <w:marTop w:val="0"/>
              <w:marBottom w:val="0"/>
              <w:divBdr>
                <w:top w:val="none" w:sz="0" w:space="0" w:color="auto"/>
                <w:left w:val="none" w:sz="0" w:space="0" w:color="auto"/>
                <w:bottom w:val="none" w:sz="0" w:space="0" w:color="auto"/>
                <w:right w:val="none" w:sz="0" w:space="0" w:color="auto"/>
              </w:divBdr>
              <w:divsChild>
                <w:div w:id="397896711">
                  <w:marLeft w:val="0"/>
                  <w:marRight w:val="0"/>
                  <w:marTop w:val="120"/>
                  <w:marBottom w:val="0"/>
                  <w:divBdr>
                    <w:top w:val="none" w:sz="0" w:space="0" w:color="auto"/>
                    <w:left w:val="none" w:sz="0" w:space="0" w:color="auto"/>
                    <w:bottom w:val="none" w:sz="0" w:space="0" w:color="auto"/>
                    <w:right w:val="none" w:sz="0" w:space="0" w:color="auto"/>
                  </w:divBdr>
                </w:div>
                <w:div w:id="1642615492">
                  <w:marLeft w:val="0"/>
                  <w:marRight w:val="0"/>
                  <w:marTop w:val="0"/>
                  <w:marBottom w:val="0"/>
                  <w:divBdr>
                    <w:top w:val="none" w:sz="0" w:space="0" w:color="auto"/>
                    <w:left w:val="none" w:sz="0" w:space="0" w:color="auto"/>
                    <w:bottom w:val="none" w:sz="0" w:space="0" w:color="auto"/>
                    <w:right w:val="none" w:sz="0" w:space="0" w:color="auto"/>
                  </w:divBdr>
                </w:div>
              </w:divsChild>
            </w:div>
            <w:div w:id="2135052150">
              <w:marLeft w:val="0"/>
              <w:marRight w:val="0"/>
              <w:marTop w:val="0"/>
              <w:marBottom w:val="0"/>
              <w:divBdr>
                <w:top w:val="none" w:sz="0" w:space="0" w:color="auto"/>
                <w:left w:val="none" w:sz="0" w:space="0" w:color="auto"/>
                <w:bottom w:val="none" w:sz="0" w:space="0" w:color="auto"/>
                <w:right w:val="none" w:sz="0" w:space="0" w:color="auto"/>
              </w:divBdr>
              <w:divsChild>
                <w:div w:id="236598169">
                  <w:marLeft w:val="0"/>
                  <w:marRight w:val="0"/>
                  <w:marTop w:val="0"/>
                  <w:marBottom w:val="0"/>
                  <w:divBdr>
                    <w:top w:val="none" w:sz="0" w:space="0" w:color="auto"/>
                    <w:left w:val="none" w:sz="0" w:space="0" w:color="auto"/>
                    <w:bottom w:val="none" w:sz="0" w:space="0" w:color="auto"/>
                    <w:right w:val="none" w:sz="0" w:space="0" w:color="auto"/>
                  </w:divBdr>
                </w:div>
                <w:div w:id="1455055222">
                  <w:marLeft w:val="0"/>
                  <w:marRight w:val="0"/>
                  <w:marTop w:val="120"/>
                  <w:marBottom w:val="0"/>
                  <w:divBdr>
                    <w:top w:val="none" w:sz="0" w:space="0" w:color="auto"/>
                    <w:left w:val="none" w:sz="0" w:space="0" w:color="auto"/>
                    <w:bottom w:val="none" w:sz="0" w:space="0" w:color="auto"/>
                    <w:right w:val="none" w:sz="0" w:space="0" w:color="auto"/>
                  </w:divBdr>
                </w:div>
              </w:divsChild>
            </w:div>
            <w:div w:id="2137675039">
              <w:marLeft w:val="0"/>
              <w:marRight w:val="0"/>
              <w:marTop w:val="0"/>
              <w:marBottom w:val="0"/>
              <w:divBdr>
                <w:top w:val="none" w:sz="0" w:space="0" w:color="auto"/>
                <w:left w:val="none" w:sz="0" w:space="0" w:color="auto"/>
                <w:bottom w:val="none" w:sz="0" w:space="0" w:color="auto"/>
                <w:right w:val="none" w:sz="0" w:space="0" w:color="auto"/>
              </w:divBdr>
              <w:divsChild>
                <w:div w:id="37552962">
                  <w:marLeft w:val="0"/>
                  <w:marRight w:val="0"/>
                  <w:marTop w:val="0"/>
                  <w:marBottom w:val="0"/>
                  <w:divBdr>
                    <w:top w:val="none" w:sz="0" w:space="0" w:color="auto"/>
                    <w:left w:val="none" w:sz="0" w:space="0" w:color="auto"/>
                    <w:bottom w:val="none" w:sz="0" w:space="0" w:color="auto"/>
                    <w:right w:val="none" w:sz="0" w:space="0" w:color="auto"/>
                  </w:divBdr>
                </w:div>
                <w:div w:id="2177417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88236973">
      <w:bodyDiv w:val="1"/>
      <w:marLeft w:val="0"/>
      <w:marRight w:val="0"/>
      <w:marTop w:val="0"/>
      <w:marBottom w:val="0"/>
      <w:divBdr>
        <w:top w:val="none" w:sz="0" w:space="0" w:color="auto"/>
        <w:left w:val="none" w:sz="0" w:space="0" w:color="auto"/>
        <w:bottom w:val="none" w:sz="0" w:space="0" w:color="auto"/>
        <w:right w:val="none" w:sz="0" w:space="0" w:color="auto"/>
      </w:divBdr>
      <w:divsChild>
        <w:div w:id="210579263">
          <w:marLeft w:val="0"/>
          <w:marRight w:val="0"/>
          <w:marTop w:val="0"/>
          <w:marBottom w:val="0"/>
          <w:divBdr>
            <w:top w:val="none" w:sz="0" w:space="0" w:color="auto"/>
            <w:left w:val="none" w:sz="0" w:space="0" w:color="auto"/>
            <w:bottom w:val="none" w:sz="0" w:space="0" w:color="auto"/>
            <w:right w:val="none" w:sz="0" w:space="0" w:color="auto"/>
          </w:divBdr>
        </w:div>
        <w:div w:id="1052189465">
          <w:marLeft w:val="0"/>
          <w:marRight w:val="0"/>
          <w:marTop w:val="120"/>
          <w:marBottom w:val="0"/>
          <w:divBdr>
            <w:top w:val="none" w:sz="0" w:space="0" w:color="auto"/>
            <w:left w:val="none" w:sz="0" w:space="0" w:color="auto"/>
            <w:bottom w:val="none" w:sz="0" w:space="0" w:color="auto"/>
            <w:right w:val="none" w:sz="0" w:space="0" w:color="auto"/>
          </w:divBdr>
        </w:div>
      </w:divsChild>
    </w:div>
    <w:div w:id="399060765">
      <w:bodyDiv w:val="1"/>
      <w:marLeft w:val="0"/>
      <w:marRight w:val="0"/>
      <w:marTop w:val="0"/>
      <w:marBottom w:val="0"/>
      <w:divBdr>
        <w:top w:val="none" w:sz="0" w:space="0" w:color="auto"/>
        <w:left w:val="none" w:sz="0" w:space="0" w:color="auto"/>
        <w:bottom w:val="none" w:sz="0" w:space="0" w:color="auto"/>
        <w:right w:val="none" w:sz="0" w:space="0" w:color="auto"/>
      </w:divBdr>
      <w:divsChild>
        <w:div w:id="640309173">
          <w:marLeft w:val="0"/>
          <w:marRight w:val="0"/>
          <w:marTop w:val="120"/>
          <w:marBottom w:val="0"/>
          <w:divBdr>
            <w:top w:val="none" w:sz="0" w:space="0" w:color="auto"/>
            <w:left w:val="none" w:sz="0" w:space="0" w:color="auto"/>
            <w:bottom w:val="none" w:sz="0" w:space="0" w:color="auto"/>
            <w:right w:val="none" w:sz="0" w:space="0" w:color="auto"/>
          </w:divBdr>
        </w:div>
        <w:div w:id="1238396773">
          <w:marLeft w:val="0"/>
          <w:marRight w:val="0"/>
          <w:marTop w:val="0"/>
          <w:marBottom w:val="0"/>
          <w:divBdr>
            <w:top w:val="none" w:sz="0" w:space="0" w:color="auto"/>
            <w:left w:val="none" w:sz="0" w:space="0" w:color="auto"/>
            <w:bottom w:val="none" w:sz="0" w:space="0" w:color="auto"/>
            <w:right w:val="none" w:sz="0" w:space="0" w:color="auto"/>
          </w:divBdr>
        </w:div>
      </w:divsChild>
    </w:div>
    <w:div w:id="402416248">
      <w:bodyDiv w:val="1"/>
      <w:marLeft w:val="0"/>
      <w:marRight w:val="0"/>
      <w:marTop w:val="0"/>
      <w:marBottom w:val="0"/>
      <w:divBdr>
        <w:top w:val="none" w:sz="0" w:space="0" w:color="auto"/>
        <w:left w:val="none" w:sz="0" w:space="0" w:color="auto"/>
        <w:bottom w:val="none" w:sz="0" w:space="0" w:color="auto"/>
        <w:right w:val="none" w:sz="0" w:space="0" w:color="auto"/>
      </w:divBdr>
      <w:divsChild>
        <w:div w:id="242221497">
          <w:marLeft w:val="0"/>
          <w:marRight w:val="0"/>
          <w:marTop w:val="0"/>
          <w:marBottom w:val="0"/>
          <w:divBdr>
            <w:top w:val="none" w:sz="0" w:space="0" w:color="auto"/>
            <w:left w:val="none" w:sz="0" w:space="0" w:color="auto"/>
            <w:bottom w:val="none" w:sz="0" w:space="0" w:color="auto"/>
            <w:right w:val="none" w:sz="0" w:space="0" w:color="auto"/>
          </w:divBdr>
        </w:div>
      </w:divsChild>
    </w:div>
    <w:div w:id="406801415">
      <w:bodyDiv w:val="1"/>
      <w:marLeft w:val="0"/>
      <w:marRight w:val="0"/>
      <w:marTop w:val="0"/>
      <w:marBottom w:val="0"/>
      <w:divBdr>
        <w:top w:val="none" w:sz="0" w:space="0" w:color="auto"/>
        <w:left w:val="none" w:sz="0" w:space="0" w:color="auto"/>
        <w:bottom w:val="none" w:sz="0" w:space="0" w:color="auto"/>
        <w:right w:val="none" w:sz="0" w:space="0" w:color="auto"/>
      </w:divBdr>
      <w:divsChild>
        <w:div w:id="531921769">
          <w:marLeft w:val="0"/>
          <w:marRight w:val="0"/>
          <w:marTop w:val="0"/>
          <w:marBottom w:val="0"/>
          <w:divBdr>
            <w:top w:val="none" w:sz="0" w:space="0" w:color="auto"/>
            <w:left w:val="none" w:sz="0" w:space="0" w:color="auto"/>
            <w:bottom w:val="none" w:sz="0" w:space="0" w:color="auto"/>
            <w:right w:val="none" w:sz="0" w:space="0" w:color="auto"/>
          </w:divBdr>
          <w:divsChild>
            <w:div w:id="665743399">
              <w:marLeft w:val="0"/>
              <w:marRight w:val="0"/>
              <w:marTop w:val="0"/>
              <w:marBottom w:val="0"/>
              <w:divBdr>
                <w:top w:val="none" w:sz="0" w:space="0" w:color="auto"/>
                <w:left w:val="none" w:sz="0" w:space="0" w:color="auto"/>
                <w:bottom w:val="none" w:sz="0" w:space="0" w:color="auto"/>
                <w:right w:val="none" w:sz="0" w:space="0" w:color="auto"/>
              </w:divBdr>
              <w:divsChild>
                <w:div w:id="552623280">
                  <w:marLeft w:val="0"/>
                  <w:marRight w:val="0"/>
                  <w:marTop w:val="120"/>
                  <w:marBottom w:val="0"/>
                  <w:divBdr>
                    <w:top w:val="none" w:sz="0" w:space="0" w:color="auto"/>
                    <w:left w:val="none" w:sz="0" w:space="0" w:color="auto"/>
                    <w:bottom w:val="none" w:sz="0" w:space="0" w:color="auto"/>
                    <w:right w:val="none" w:sz="0" w:space="0" w:color="auto"/>
                  </w:divBdr>
                </w:div>
                <w:div w:id="2052269116">
                  <w:marLeft w:val="0"/>
                  <w:marRight w:val="0"/>
                  <w:marTop w:val="0"/>
                  <w:marBottom w:val="0"/>
                  <w:divBdr>
                    <w:top w:val="none" w:sz="0" w:space="0" w:color="auto"/>
                    <w:left w:val="none" w:sz="0" w:space="0" w:color="auto"/>
                    <w:bottom w:val="none" w:sz="0" w:space="0" w:color="auto"/>
                    <w:right w:val="none" w:sz="0" w:space="0" w:color="auto"/>
                  </w:divBdr>
                </w:div>
              </w:divsChild>
            </w:div>
            <w:div w:id="2140300933">
              <w:marLeft w:val="0"/>
              <w:marRight w:val="0"/>
              <w:marTop w:val="0"/>
              <w:marBottom w:val="0"/>
              <w:divBdr>
                <w:top w:val="none" w:sz="0" w:space="0" w:color="auto"/>
                <w:left w:val="none" w:sz="0" w:space="0" w:color="auto"/>
                <w:bottom w:val="none" w:sz="0" w:space="0" w:color="auto"/>
                <w:right w:val="none" w:sz="0" w:space="0" w:color="auto"/>
              </w:divBdr>
              <w:divsChild>
                <w:div w:id="1121611650">
                  <w:marLeft w:val="0"/>
                  <w:marRight w:val="0"/>
                  <w:marTop w:val="120"/>
                  <w:marBottom w:val="0"/>
                  <w:divBdr>
                    <w:top w:val="none" w:sz="0" w:space="0" w:color="auto"/>
                    <w:left w:val="none" w:sz="0" w:space="0" w:color="auto"/>
                    <w:bottom w:val="none" w:sz="0" w:space="0" w:color="auto"/>
                    <w:right w:val="none" w:sz="0" w:space="0" w:color="auto"/>
                  </w:divBdr>
                </w:div>
                <w:div w:id="1686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3604">
      <w:bodyDiv w:val="1"/>
      <w:marLeft w:val="0"/>
      <w:marRight w:val="0"/>
      <w:marTop w:val="0"/>
      <w:marBottom w:val="0"/>
      <w:divBdr>
        <w:top w:val="none" w:sz="0" w:space="0" w:color="auto"/>
        <w:left w:val="none" w:sz="0" w:space="0" w:color="auto"/>
        <w:bottom w:val="none" w:sz="0" w:space="0" w:color="auto"/>
        <w:right w:val="none" w:sz="0" w:space="0" w:color="auto"/>
      </w:divBdr>
      <w:divsChild>
        <w:div w:id="479617882">
          <w:marLeft w:val="0"/>
          <w:marRight w:val="0"/>
          <w:marTop w:val="0"/>
          <w:marBottom w:val="0"/>
          <w:divBdr>
            <w:top w:val="none" w:sz="0" w:space="0" w:color="auto"/>
            <w:left w:val="none" w:sz="0" w:space="0" w:color="auto"/>
            <w:bottom w:val="none" w:sz="0" w:space="0" w:color="auto"/>
            <w:right w:val="none" w:sz="0" w:space="0" w:color="auto"/>
          </w:divBdr>
        </w:div>
      </w:divsChild>
    </w:div>
    <w:div w:id="431240434">
      <w:bodyDiv w:val="1"/>
      <w:marLeft w:val="0"/>
      <w:marRight w:val="0"/>
      <w:marTop w:val="0"/>
      <w:marBottom w:val="0"/>
      <w:divBdr>
        <w:top w:val="none" w:sz="0" w:space="0" w:color="auto"/>
        <w:left w:val="none" w:sz="0" w:space="0" w:color="auto"/>
        <w:bottom w:val="none" w:sz="0" w:space="0" w:color="auto"/>
        <w:right w:val="none" w:sz="0" w:space="0" w:color="auto"/>
      </w:divBdr>
      <w:divsChild>
        <w:div w:id="675116354">
          <w:marLeft w:val="0"/>
          <w:marRight w:val="0"/>
          <w:marTop w:val="0"/>
          <w:marBottom w:val="0"/>
          <w:divBdr>
            <w:top w:val="none" w:sz="0" w:space="0" w:color="auto"/>
            <w:left w:val="none" w:sz="0" w:space="0" w:color="auto"/>
            <w:bottom w:val="none" w:sz="0" w:space="0" w:color="auto"/>
            <w:right w:val="none" w:sz="0" w:space="0" w:color="auto"/>
          </w:divBdr>
          <w:divsChild>
            <w:div w:id="17977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29425">
      <w:bodyDiv w:val="1"/>
      <w:marLeft w:val="0"/>
      <w:marRight w:val="0"/>
      <w:marTop w:val="0"/>
      <w:marBottom w:val="0"/>
      <w:divBdr>
        <w:top w:val="none" w:sz="0" w:space="0" w:color="auto"/>
        <w:left w:val="none" w:sz="0" w:space="0" w:color="auto"/>
        <w:bottom w:val="none" w:sz="0" w:space="0" w:color="auto"/>
        <w:right w:val="none" w:sz="0" w:space="0" w:color="auto"/>
      </w:divBdr>
    </w:div>
    <w:div w:id="439494703">
      <w:bodyDiv w:val="1"/>
      <w:marLeft w:val="0"/>
      <w:marRight w:val="0"/>
      <w:marTop w:val="0"/>
      <w:marBottom w:val="0"/>
      <w:divBdr>
        <w:top w:val="none" w:sz="0" w:space="0" w:color="auto"/>
        <w:left w:val="none" w:sz="0" w:space="0" w:color="auto"/>
        <w:bottom w:val="none" w:sz="0" w:space="0" w:color="auto"/>
        <w:right w:val="none" w:sz="0" w:space="0" w:color="auto"/>
      </w:divBdr>
      <w:divsChild>
        <w:div w:id="122235774">
          <w:marLeft w:val="0"/>
          <w:marRight w:val="0"/>
          <w:marTop w:val="0"/>
          <w:marBottom w:val="0"/>
          <w:divBdr>
            <w:top w:val="none" w:sz="0" w:space="0" w:color="auto"/>
            <w:left w:val="none" w:sz="0" w:space="0" w:color="auto"/>
            <w:bottom w:val="none" w:sz="0" w:space="0" w:color="auto"/>
            <w:right w:val="none" w:sz="0" w:space="0" w:color="auto"/>
          </w:divBdr>
          <w:divsChild>
            <w:div w:id="14771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1">
      <w:bodyDiv w:val="1"/>
      <w:marLeft w:val="0"/>
      <w:marRight w:val="0"/>
      <w:marTop w:val="0"/>
      <w:marBottom w:val="0"/>
      <w:divBdr>
        <w:top w:val="none" w:sz="0" w:space="0" w:color="auto"/>
        <w:left w:val="none" w:sz="0" w:space="0" w:color="auto"/>
        <w:bottom w:val="none" w:sz="0" w:space="0" w:color="auto"/>
        <w:right w:val="none" w:sz="0" w:space="0" w:color="auto"/>
      </w:divBdr>
      <w:divsChild>
        <w:div w:id="746072975">
          <w:marLeft w:val="0"/>
          <w:marRight w:val="0"/>
          <w:marTop w:val="0"/>
          <w:marBottom w:val="0"/>
          <w:divBdr>
            <w:top w:val="none" w:sz="0" w:space="0" w:color="auto"/>
            <w:left w:val="none" w:sz="0" w:space="0" w:color="auto"/>
            <w:bottom w:val="none" w:sz="0" w:space="0" w:color="auto"/>
            <w:right w:val="none" w:sz="0" w:space="0" w:color="auto"/>
          </w:divBdr>
          <w:divsChild>
            <w:div w:id="117917752">
              <w:marLeft w:val="0"/>
              <w:marRight w:val="0"/>
              <w:marTop w:val="0"/>
              <w:marBottom w:val="0"/>
              <w:divBdr>
                <w:top w:val="none" w:sz="0" w:space="0" w:color="auto"/>
                <w:left w:val="none" w:sz="0" w:space="0" w:color="auto"/>
                <w:bottom w:val="none" w:sz="0" w:space="0" w:color="auto"/>
                <w:right w:val="none" w:sz="0" w:space="0" w:color="auto"/>
              </w:divBdr>
              <w:divsChild>
                <w:div w:id="3334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247">
      <w:bodyDiv w:val="1"/>
      <w:marLeft w:val="0"/>
      <w:marRight w:val="0"/>
      <w:marTop w:val="0"/>
      <w:marBottom w:val="0"/>
      <w:divBdr>
        <w:top w:val="none" w:sz="0" w:space="0" w:color="auto"/>
        <w:left w:val="none" w:sz="0" w:space="0" w:color="auto"/>
        <w:bottom w:val="none" w:sz="0" w:space="0" w:color="auto"/>
        <w:right w:val="none" w:sz="0" w:space="0" w:color="auto"/>
      </w:divBdr>
      <w:divsChild>
        <w:div w:id="123081584">
          <w:marLeft w:val="0"/>
          <w:marRight w:val="0"/>
          <w:marTop w:val="0"/>
          <w:marBottom w:val="0"/>
          <w:divBdr>
            <w:top w:val="none" w:sz="0" w:space="0" w:color="auto"/>
            <w:left w:val="none" w:sz="0" w:space="0" w:color="auto"/>
            <w:bottom w:val="none" w:sz="0" w:space="0" w:color="auto"/>
            <w:right w:val="none" w:sz="0" w:space="0" w:color="auto"/>
          </w:divBdr>
          <w:divsChild>
            <w:div w:id="1057974750">
              <w:marLeft w:val="0"/>
              <w:marRight w:val="0"/>
              <w:marTop w:val="0"/>
              <w:marBottom w:val="0"/>
              <w:divBdr>
                <w:top w:val="none" w:sz="0" w:space="0" w:color="auto"/>
                <w:left w:val="none" w:sz="0" w:space="0" w:color="auto"/>
                <w:bottom w:val="none" w:sz="0" w:space="0" w:color="auto"/>
                <w:right w:val="none" w:sz="0" w:space="0" w:color="auto"/>
              </w:divBdr>
            </w:div>
            <w:div w:id="1812600922">
              <w:marLeft w:val="0"/>
              <w:marRight w:val="0"/>
              <w:marTop w:val="120"/>
              <w:marBottom w:val="0"/>
              <w:divBdr>
                <w:top w:val="none" w:sz="0" w:space="0" w:color="auto"/>
                <w:left w:val="none" w:sz="0" w:space="0" w:color="auto"/>
                <w:bottom w:val="none" w:sz="0" w:space="0" w:color="auto"/>
                <w:right w:val="none" w:sz="0" w:space="0" w:color="auto"/>
              </w:divBdr>
            </w:div>
          </w:divsChild>
        </w:div>
        <w:div w:id="668099012">
          <w:marLeft w:val="0"/>
          <w:marRight w:val="0"/>
          <w:marTop w:val="0"/>
          <w:marBottom w:val="0"/>
          <w:divBdr>
            <w:top w:val="none" w:sz="0" w:space="0" w:color="auto"/>
            <w:left w:val="none" w:sz="0" w:space="0" w:color="auto"/>
            <w:bottom w:val="none" w:sz="0" w:space="0" w:color="auto"/>
            <w:right w:val="none" w:sz="0" w:space="0" w:color="auto"/>
          </w:divBdr>
          <w:divsChild>
            <w:div w:id="533033146">
              <w:marLeft w:val="0"/>
              <w:marRight w:val="0"/>
              <w:marTop w:val="0"/>
              <w:marBottom w:val="0"/>
              <w:divBdr>
                <w:top w:val="none" w:sz="0" w:space="0" w:color="auto"/>
                <w:left w:val="none" w:sz="0" w:space="0" w:color="auto"/>
                <w:bottom w:val="none" w:sz="0" w:space="0" w:color="auto"/>
                <w:right w:val="none" w:sz="0" w:space="0" w:color="auto"/>
              </w:divBdr>
            </w:div>
            <w:div w:id="2000116092">
              <w:marLeft w:val="0"/>
              <w:marRight w:val="0"/>
              <w:marTop w:val="120"/>
              <w:marBottom w:val="0"/>
              <w:divBdr>
                <w:top w:val="none" w:sz="0" w:space="0" w:color="auto"/>
                <w:left w:val="none" w:sz="0" w:space="0" w:color="auto"/>
                <w:bottom w:val="none" w:sz="0" w:space="0" w:color="auto"/>
                <w:right w:val="none" w:sz="0" w:space="0" w:color="auto"/>
              </w:divBdr>
            </w:div>
          </w:divsChild>
        </w:div>
        <w:div w:id="817846873">
          <w:marLeft w:val="0"/>
          <w:marRight w:val="0"/>
          <w:marTop w:val="0"/>
          <w:marBottom w:val="0"/>
          <w:divBdr>
            <w:top w:val="none" w:sz="0" w:space="0" w:color="auto"/>
            <w:left w:val="none" w:sz="0" w:space="0" w:color="auto"/>
            <w:bottom w:val="none" w:sz="0" w:space="0" w:color="auto"/>
            <w:right w:val="none" w:sz="0" w:space="0" w:color="auto"/>
          </w:divBdr>
          <w:divsChild>
            <w:div w:id="684285479">
              <w:marLeft w:val="0"/>
              <w:marRight w:val="0"/>
              <w:marTop w:val="0"/>
              <w:marBottom w:val="0"/>
              <w:divBdr>
                <w:top w:val="none" w:sz="0" w:space="0" w:color="auto"/>
                <w:left w:val="none" w:sz="0" w:space="0" w:color="auto"/>
                <w:bottom w:val="none" w:sz="0" w:space="0" w:color="auto"/>
                <w:right w:val="none" w:sz="0" w:space="0" w:color="auto"/>
              </w:divBdr>
            </w:div>
            <w:div w:id="1322081347">
              <w:marLeft w:val="0"/>
              <w:marRight w:val="0"/>
              <w:marTop w:val="120"/>
              <w:marBottom w:val="0"/>
              <w:divBdr>
                <w:top w:val="none" w:sz="0" w:space="0" w:color="auto"/>
                <w:left w:val="none" w:sz="0" w:space="0" w:color="auto"/>
                <w:bottom w:val="none" w:sz="0" w:space="0" w:color="auto"/>
                <w:right w:val="none" w:sz="0" w:space="0" w:color="auto"/>
              </w:divBdr>
            </w:div>
          </w:divsChild>
        </w:div>
        <w:div w:id="1624338723">
          <w:marLeft w:val="0"/>
          <w:marRight w:val="0"/>
          <w:marTop w:val="0"/>
          <w:marBottom w:val="0"/>
          <w:divBdr>
            <w:top w:val="none" w:sz="0" w:space="0" w:color="auto"/>
            <w:left w:val="none" w:sz="0" w:space="0" w:color="auto"/>
            <w:bottom w:val="none" w:sz="0" w:space="0" w:color="auto"/>
            <w:right w:val="none" w:sz="0" w:space="0" w:color="auto"/>
          </w:divBdr>
          <w:divsChild>
            <w:div w:id="1125124343">
              <w:marLeft w:val="0"/>
              <w:marRight w:val="0"/>
              <w:marTop w:val="120"/>
              <w:marBottom w:val="0"/>
              <w:divBdr>
                <w:top w:val="none" w:sz="0" w:space="0" w:color="auto"/>
                <w:left w:val="none" w:sz="0" w:space="0" w:color="auto"/>
                <w:bottom w:val="none" w:sz="0" w:space="0" w:color="auto"/>
                <w:right w:val="none" w:sz="0" w:space="0" w:color="auto"/>
              </w:divBdr>
            </w:div>
            <w:div w:id="2000500148">
              <w:marLeft w:val="0"/>
              <w:marRight w:val="0"/>
              <w:marTop w:val="0"/>
              <w:marBottom w:val="0"/>
              <w:divBdr>
                <w:top w:val="none" w:sz="0" w:space="0" w:color="auto"/>
                <w:left w:val="none" w:sz="0" w:space="0" w:color="auto"/>
                <w:bottom w:val="none" w:sz="0" w:space="0" w:color="auto"/>
                <w:right w:val="none" w:sz="0" w:space="0" w:color="auto"/>
              </w:divBdr>
            </w:div>
          </w:divsChild>
        </w:div>
        <w:div w:id="1907110707">
          <w:marLeft w:val="0"/>
          <w:marRight w:val="0"/>
          <w:marTop w:val="0"/>
          <w:marBottom w:val="0"/>
          <w:divBdr>
            <w:top w:val="none" w:sz="0" w:space="0" w:color="auto"/>
            <w:left w:val="none" w:sz="0" w:space="0" w:color="auto"/>
            <w:bottom w:val="none" w:sz="0" w:space="0" w:color="auto"/>
            <w:right w:val="none" w:sz="0" w:space="0" w:color="auto"/>
          </w:divBdr>
          <w:divsChild>
            <w:div w:id="1163544631">
              <w:marLeft w:val="0"/>
              <w:marRight w:val="0"/>
              <w:marTop w:val="120"/>
              <w:marBottom w:val="0"/>
              <w:divBdr>
                <w:top w:val="none" w:sz="0" w:space="0" w:color="auto"/>
                <w:left w:val="none" w:sz="0" w:space="0" w:color="auto"/>
                <w:bottom w:val="none" w:sz="0" w:space="0" w:color="auto"/>
                <w:right w:val="none" w:sz="0" w:space="0" w:color="auto"/>
              </w:divBdr>
            </w:div>
            <w:div w:id="20647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2671">
      <w:bodyDiv w:val="1"/>
      <w:marLeft w:val="0"/>
      <w:marRight w:val="0"/>
      <w:marTop w:val="0"/>
      <w:marBottom w:val="0"/>
      <w:divBdr>
        <w:top w:val="none" w:sz="0" w:space="0" w:color="auto"/>
        <w:left w:val="none" w:sz="0" w:space="0" w:color="auto"/>
        <w:bottom w:val="none" w:sz="0" w:space="0" w:color="auto"/>
        <w:right w:val="none" w:sz="0" w:space="0" w:color="auto"/>
      </w:divBdr>
      <w:divsChild>
        <w:div w:id="339047077">
          <w:marLeft w:val="0"/>
          <w:marRight w:val="0"/>
          <w:marTop w:val="0"/>
          <w:marBottom w:val="0"/>
          <w:divBdr>
            <w:top w:val="none" w:sz="0" w:space="0" w:color="auto"/>
            <w:left w:val="none" w:sz="0" w:space="0" w:color="auto"/>
            <w:bottom w:val="none" w:sz="0" w:space="0" w:color="auto"/>
            <w:right w:val="none" w:sz="0" w:space="0" w:color="auto"/>
          </w:divBdr>
          <w:divsChild>
            <w:div w:id="561792639">
              <w:marLeft w:val="0"/>
              <w:marRight w:val="0"/>
              <w:marTop w:val="0"/>
              <w:marBottom w:val="0"/>
              <w:divBdr>
                <w:top w:val="none" w:sz="0" w:space="0" w:color="auto"/>
                <w:left w:val="none" w:sz="0" w:space="0" w:color="auto"/>
                <w:bottom w:val="none" w:sz="0" w:space="0" w:color="auto"/>
                <w:right w:val="none" w:sz="0" w:space="0" w:color="auto"/>
              </w:divBdr>
            </w:div>
          </w:divsChild>
        </w:div>
        <w:div w:id="564996683">
          <w:marLeft w:val="0"/>
          <w:marRight w:val="0"/>
          <w:marTop w:val="0"/>
          <w:marBottom w:val="0"/>
          <w:divBdr>
            <w:top w:val="none" w:sz="0" w:space="0" w:color="auto"/>
            <w:left w:val="none" w:sz="0" w:space="0" w:color="auto"/>
            <w:bottom w:val="none" w:sz="0" w:space="0" w:color="auto"/>
            <w:right w:val="none" w:sz="0" w:space="0" w:color="auto"/>
          </w:divBdr>
          <w:divsChild>
            <w:div w:id="12733056">
              <w:marLeft w:val="0"/>
              <w:marRight w:val="0"/>
              <w:marTop w:val="0"/>
              <w:marBottom w:val="0"/>
              <w:divBdr>
                <w:top w:val="none" w:sz="0" w:space="0" w:color="auto"/>
                <w:left w:val="none" w:sz="0" w:space="0" w:color="auto"/>
                <w:bottom w:val="none" w:sz="0" w:space="0" w:color="auto"/>
                <w:right w:val="none" w:sz="0" w:space="0" w:color="auto"/>
              </w:divBdr>
              <w:divsChild>
                <w:div w:id="550505634">
                  <w:marLeft w:val="0"/>
                  <w:marRight w:val="0"/>
                  <w:marTop w:val="0"/>
                  <w:marBottom w:val="0"/>
                  <w:divBdr>
                    <w:top w:val="none" w:sz="0" w:space="0" w:color="auto"/>
                    <w:left w:val="none" w:sz="0" w:space="0" w:color="auto"/>
                    <w:bottom w:val="none" w:sz="0" w:space="0" w:color="auto"/>
                    <w:right w:val="none" w:sz="0" w:space="0" w:color="auto"/>
                  </w:divBdr>
                  <w:divsChild>
                    <w:div w:id="643046228">
                      <w:marLeft w:val="0"/>
                      <w:marRight w:val="0"/>
                      <w:marTop w:val="120"/>
                      <w:marBottom w:val="0"/>
                      <w:divBdr>
                        <w:top w:val="none" w:sz="0" w:space="0" w:color="auto"/>
                        <w:left w:val="none" w:sz="0" w:space="0" w:color="auto"/>
                        <w:bottom w:val="none" w:sz="0" w:space="0" w:color="auto"/>
                        <w:right w:val="none" w:sz="0" w:space="0" w:color="auto"/>
                      </w:divBdr>
                    </w:div>
                    <w:div w:id="2119984753">
                      <w:marLeft w:val="0"/>
                      <w:marRight w:val="0"/>
                      <w:marTop w:val="0"/>
                      <w:marBottom w:val="0"/>
                      <w:divBdr>
                        <w:top w:val="none" w:sz="0" w:space="0" w:color="auto"/>
                        <w:left w:val="none" w:sz="0" w:space="0" w:color="auto"/>
                        <w:bottom w:val="none" w:sz="0" w:space="0" w:color="auto"/>
                        <w:right w:val="none" w:sz="0" w:space="0" w:color="auto"/>
                      </w:divBdr>
                    </w:div>
                  </w:divsChild>
                </w:div>
                <w:div w:id="552275891">
                  <w:marLeft w:val="0"/>
                  <w:marRight w:val="0"/>
                  <w:marTop w:val="0"/>
                  <w:marBottom w:val="0"/>
                  <w:divBdr>
                    <w:top w:val="none" w:sz="0" w:space="0" w:color="auto"/>
                    <w:left w:val="none" w:sz="0" w:space="0" w:color="auto"/>
                    <w:bottom w:val="none" w:sz="0" w:space="0" w:color="auto"/>
                    <w:right w:val="none" w:sz="0" w:space="0" w:color="auto"/>
                  </w:divBdr>
                  <w:divsChild>
                    <w:div w:id="178785669">
                      <w:marLeft w:val="0"/>
                      <w:marRight w:val="0"/>
                      <w:marTop w:val="0"/>
                      <w:marBottom w:val="0"/>
                      <w:divBdr>
                        <w:top w:val="none" w:sz="0" w:space="0" w:color="auto"/>
                        <w:left w:val="none" w:sz="0" w:space="0" w:color="auto"/>
                        <w:bottom w:val="none" w:sz="0" w:space="0" w:color="auto"/>
                        <w:right w:val="none" w:sz="0" w:space="0" w:color="auto"/>
                      </w:divBdr>
                    </w:div>
                    <w:div w:id="834413714">
                      <w:marLeft w:val="0"/>
                      <w:marRight w:val="0"/>
                      <w:marTop w:val="120"/>
                      <w:marBottom w:val="0"/>
                      <w:divBdr>
                        <w:top w:val="none" w:sz="0" w:space="0" w:color="auto"/>
                        <w:left w:val="none" w:sz="0" w:space="0" w:color="auto"/>
                        <w:bottom w:val="none" w:sz="0" w:space="0" w:color="auto"/>
                        <w:right w:val="none" w:sz="0" w:space="0" w:color="auto"/>
                      </w:divBdr>
                    </w:div>
                  </w:divsChild>
                </w:div>
                <w:div w:id="740835406">
                  <w:marLeft w:val="0"/>
                  <w:marRight w:val="0"/>
                  <w:marTop w:val="0"/>
                  <w:marBottom w:val="0"/>
                  <w:divBdr>
                    <w:top w:val="none" w:sz="0" w:space="0" w:color="auto"/>
                    <w:left w:val="none" w:sz="0" w:space="0" w:color="auto"/>
                    <w:bottom w:val="none" w:sz="0" w:space="0" w:color="auto"/>
                    <w:right w:val="none" w:sz="0" w:space="0" w:color="auto"/>
                  </w:divBdr>
                  <w:divsChild>
                    <w:div w:id="871503815">
                      <w:marLeft w:val="0"/>
                      <w:marRight w:val="0"/>
                      <w:marTop w:val="0"/>
                      <w:marBottom w:val="0"/>
                      <w:divBdr>
                        <w:top w:val="none" w:sz="0" w:space="0" w:color="auto"/>
                        <w:left w:val="none" w:sz="0" w:space="0" w:color="auto"/>
                        <w:bottom w:val="none" w:sz="0" w:space="0" w:color="auto"/>
                        <w:right w:val="none" w:sz="0" w:space="0" w:color="auto"/>
                      </w:divBdr>
                    </w:div>
                    <w:div w:id="1624531746">
                      <w:marLeft w:val="0"/>
                      <w:marRight w:val="0"/>
                      <w:marTop w:val="120"/>
                      <w:marBottom w:val="0"/>
                      <w:divBdr>
                        <w:top w:val="none" w:sz="0" w:space="0" w:color="auto"/>
                        <w:left w:val="none" w:sz="0" w:space="0" w:color="auto"/>
                        <w:bottom w:val="none" w:sz="0" w:space="0" w:color="auto"/>
                        <w:right w:val="none" w:sz="0" w:space="0" w:color="auto"/>
                      </w:divBdr>
                    </w:div>
                  </w:divsChild>
                </w:div>
                <w:div w:id="1106386760">
                  <w:marLeft w:val="0"/>
                  <w:marRight w:val="0"/>
                  <w:marTop w:val="0"/>
                  <w:marBottom w:val="0"/>
                  <w:divBdr>
                    <w:top w:val="none" w:sz="0" w:space="0" w:color="auto"/>
                    <w:left w:val="none" w:sz="0" w:space="0" w:color="auto"/>
                    <w:bottom w:val="none" w:sz="0" w:space="0" w:color="auto"/>
                    <w:right w:val="none" w:sz="0" w:space="0" w:color="auto"/>
                  </w:divBdr>
                  <w:divsChild>
                    <w:div w:id="88889282">
                      <w:marLeft w:val="0"/>
                      <w:marRight w:val="0"/>
                      <w:marTop w:val="0"/>
                      <w:marBottom w:val="0"/>
                      <w:divBdr>
                        <w:top w:val="none" w:sz="0" w:space="0" w:color="auto"/>
                        <w:left w:val="none" w:sz="0" w:space="0" w:color="auto"/>
                        <w:bottom w:val="none" w:sz="0" w:space="0" w:color="auto"/>
                        <w:right w:val="none" w:sz="0" w:space="0" w:color="auto"/>
                      </w:divBdr>
                    </w:div>
                    <w:div w:id="1618876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0270993">
      <w:bodyDiv w:val="1"/>
      <w:marLeft w:val="0"/>
      <w:marRight w:val="0"/>
      <w:marTop w:val="0"/>
      <w:marBottom w:val="0"/>
      <w:divBdr>
        <w:top w:val="none" w:sz="0" w:space="0" w:color="auto"/>
        <w:left w:val="none" w:sz="0" w:space="0" w:color="auto"/>
        <w:bottom w:val="none" w:sz="0" w:space="0" w:color="auto"/>
        <w:right w:val="none" w:sz="0" w:space="0" w:color="auto"/>
      </w:divBdr>
      <w:divsChild>
        <w:div w:id="586495854">
          <w:marLeft w:val="0"/>
          <w:marRight w:val="0"/>
          <w:marTop w:val="0"/>
          <w:marBottom w:val="0"/>
          <w:divBdr>
            <w:top w:val="none" w:sz="0" w:space="0" w:color="auto"/>
            <w:left w:val="none" w:sz="0" w:space="0" w:color="auto"/>
            <w:bottom w:val="none" w:sz="0" w:space="0" w:color="auto"/>
            <w:right w:val="none" w:sz="0" w:space="0" w:color="auto"/>
          </w:divBdr>
          <w:divsChild>
            <w:div w:id="1952467173">
              <w:marLeft w:val="0"/>
              <w:marRight w:val="0"/>
              <w:marTop w:val="0"/>
              <w:marBottom w:val="0"/>
              <w:divBdr>
                <w:top w:val="none" w:sz="0" w:space="0" w:color="auto"/>
                <w:left w:val="none" w:sz="0" w:space="0" w:color="auto"/>
                <w:bottom w:val="none" w:sz="0" w:space="0" w:color="auto"/>
                <w:right w:val="none" w:sz="0" w:space="0" w:color="auto"/>
              </w:divBdr>
            </w:div>
          </w:divsChild>
        </w:div>
        <w:div w:id="1765876123">
          <w:marLeft w:val="0"/>
          <w:marRight w:val="0"/>
          <w:marTop w:val="0"/>
          <w:marBottom w:val="0"/>
          <w:divBdr>
            <w:top w:val="none" w:sz="0" w:space="0" w:color="auto"/>
            <w:left w:val="none" w:sz="0" w:space="0" w:color="auto"/>
            <w:bottom w:val="none" w:sz="0" w:space="0" w:color="auto"/>
            <w:right w:val="none" w:sz="0" w:space="0" w:color="auto"/>
          </w:divBdr>
          <w:divsChild>
            <w:div w:id="1684478981">
              <w:marLeft w:val="0"/>
              <w:marRight w:val="0"/>
              <w:marTop w:val="0"/>
              <w:marBottom w:val="0"/>
              <w:divBdr>
                <w:top w:val="none" w:sz="0" w:space="0" w:color="auto"/>
                <w:left w:val="none" w:sz="0" w:space="0" w:color="auto"/>
                <w:bottom w:val="none" w:sz="0" w:space="0" w:color="auto"/>
                <w:right w:val="none" w:sz="0" w:space="0" w:color="auto"/>
              </w:divBdr>
            </w:div>
          </w:divsChild>
        </w:div>
        <w:div w:id="1804232414">
          <w:marLeft w:val="0"/>
          <w:marRight w:val="0"/>
          <w:marTop w:val="0"/>
          <w:marBottom w:val="0"/>
          <w:divBdr>
            <w:top w:val="none" w:sz="0" w:space="0" w:color="auto"/>
            <w:left w:val="none" w:sz="0" w:space="0" w:color="auto"/>
            <w:bottom w:val="none" w:sz="0" w:space="0" w:color="auto"/>
            <w:right w:val="none" w:sz="0" w:space="0" w:color="auto"/>
          </w:divBdr>
          <w:divsChild>
            <w:div w:id="13117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663">
      <w:bodyDiv w:val="1"/>
      <w:marLeft w:val="0"/>
      <w:marRight w:val="0"/>
      <w:marTop w:val="0"/>
      <w:marBottom w:val="0"/>
      <w:divBdr>
        <w:top w:val="none" w:sz="0" w:space="0" w:color="auto"/>
        <w:left w:val="none" w:sz="0" w:space="0" w:color="auto"/>
        <w:bottom w:val="none" w:sz="0" w:space="0" w:color="auto"/>
        <w:right w:val="none" w:sz="0" w:space="0" w:color="auto"/>
      </w:divBdr>
      <w:divsChild>
        <w:div w:id="2046564071">
          <w:marLeft w:val="0"/>
          <w:marRight w:val="0"/>
          <w:marTop w:val="0"/>
          <w:marBottom w:val="0"/>
          <w:divBdr>
            <w:top w:val="none" w:sz="0" w:space="0" w:color="auto"/>
            <w:left w:val="none" w:sz="0" w:space="0" w:color="auto"/>
            <w:bottom w:val="none" w:sz="0" w:space="0" w:color="auto"/>
            <w:right w:val="none" w:sz="0" w:space="0" w:color="auto"/>
          </w:divBdr>
          <w:divsChild>
            <w:div w:id="15172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9732">
      <w:bodyDiv w:val="1"/>
      <w:marLeft w:val="0"/>
      <w:marRight w:val="0"/>
      <w:marTop w:val="0"/>
      <w:marBottom w:val="0"/>
      <w:divBdr>
        <w:top w:val="none" w:sz="0" w:space="0" w:color="auto"/>
        <w:left w:val="none" w:sz="0" w:space="0" w:color="auto"/>
        <w:bottom w:val="none" w:sz="0" w:space="0" w:color="auto"/>
        <w:right w:val="none" w:sz="0" w:space="0" w:color="auto"/>
      </w:divBdr>
      <w:divsChild>
        <w:div w:id="1438256583">
          <w:marLeft w:val="0"/>
          <w:marRight w:val="0"/>
          <w:marTop w:val="0"/>
          <w:marBottom w:val="0"/>
          <w:divBdr>
            <w:top w:val="none" w:sz="0" w:space="0" w:color="auto"/>
            <w:left w:val="none" w:sz="0" w:space="0" w:color="auto"/>
            <w:bottom w:val="none" w:sz="0" w:space="0" w:color="auto"/>
            <w:right w:val="none" w:sz="0" w:space="0" w:color="auto"/>
          </w:divBdr>
          <w:divsChild>
            <w:div w:id="242684277">
              <w:marLeft w:val="0"/>
              <w:marRight w:val="0"/>
              <w:marTop w:val="0"/>
              <w:marBottom w:val="0"/>
              <w:divBdr>
                <w:top w:val="none" w:sz="0" w:space="0" w:color="auto"/>
                <w:left w:val="none" w:sz="0" w:space="0" w:color="auto"/>
                <w:bottom w:val="none" w:sz="0" w:space="0" w:color="auto"/>
                <w:right w:val="none" w:sz="0" w:space="0" w:color="auto"/>
              </w:divBdr>
              <w:divsChild>
                <w:div w:id="671907650">
                  <w:marLeft w:val="0"/>
                  <w:marRight w:val="0"/>
                  <w:marTop w:val="0"/>
                  <w:marBottom w:val="0"/>
                  <w:divBdr>
                    <w:top w:val="none" w:sz="0" w:space="0" w:color="auto"/>
                    <w:left w:val="none" w:sz="0" w:space="0" w:color="auto"/>
                    <w:bottom w:val="none" w:sz="0" w:space="0" w:color="auto"/>
                    <w:right w:val="none" w:sz="0" w:space="0" w:color="auto"/>
                  </w:divBdr>
                  <w:divsChild>
                    <w:div w:id="1115364148">
                      <w:marLeft w:val="0"/>
                      <w:marRight w:val="0"/>
                      <w:marTop w:val="0"/>
                      <w:marBottom w:val="0"/>
                      <w:divBdr>
                        <w:top w:val="none" w:sz="0" w:space="0" w:color="auto"/>
                        <w:left w:val="none" w:sz="0" w:space="0" w:color="auto"/>
                        <w:bottom w:val="none" w:sz="0" w:space="0" w:color="auto"/>
                        <w:right w:val="none" w:sz="0" w:space="0" w:color="auto"/>
                      </w:divBdr>
                    </w:div>
                    <w:div w:id="1688167876">
                      <w:marLeft w:val="0"/>
                      <w:marRight w:val="0"/>
                      <w:marTop w:val="120"/>
                      <w:marBottom w:val="0"/>
                      <w:divBdr>
                        <w:top w:val="none" w:sz="0" w:space="0" w:color="auto"/>
                        <w:left w:val="none" w:sz="0" w:space="0" w:color="auto"/>
                        <w:bottom w:val="none" w:sz="0" w:space="0" w:color="auto"/>
                        <w:right w:val="none" w:sz="0" w:space="0" w:color="auto"/>
                      </w:divBdr>
                    </w:div>
                  </w:divsChild>
                </w:div>
                <w:div w:id="1817800579">
                  <w:marLeft w:val="0"/>
                  <w:marRight w:val="0"/>
                  <w:marTop w:val="0"/>
                  <w:marBottom w:val="0"/>
                  <w:divBdr>
                    <w:top w:val="none" w:sz="0" w:space="0" w:color="auto"/>
                    <w:left w:val="none" w:sz="0" w:space="0" w:color="auto"/>
                    <w:bottom w:val="none" w:sz="0" w:space="0" w:color="auto"/>
                    <w:right w:val="none" w:sz="0" w:space="0" w:color="auto"/>
                  </w:divBdr>
                  <w:divsChild>
                    <w:div w:id="385297344">
                      <w:marLeft w:val="0"/>
                      <w:marRight w:val="0"/>
                      <w:marTop w:val="0"/>
                      <w:marBottom w:val="0"/>
                      <w:divBdr>
                        <w:top w:val="none" w:sz="0" w:space="0" w:color="auto"/>
                        <w:left w:val="none" w:sz="0" w:space="0" w:color="auto"/>
                        <w:bottom w:val="none" w:sz="0" w:space="0" w:color="auto"/>
                        <w:right w:val="none" w:sz="0" w:space="0" w:color="auto"/>
                      </w:divBdr>
                    </w:div>
                    <w:div w:id="593634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4102886">
      <w:bodyDiv w:val="1"/>
      <w:marLeft w:val="0"/>
      <w:marRight w:val="0"/>
      <w:marTop w:val="0"/>
      <w:marBottom w:val="0"/>
      <w:divBdr>
        <w:top w:val="none" w:sz="0" w:space="0" w:color="auto"/>
        <w:left w:val="none" w:sz="0" w:space="0" w:color="auto"/>
        <w:bottom w:val="none" w:sz="0" w:space="0" w:color="auto"/>
        <w:right w:val="none" w:sz="0" w:space="0" w:color="auto"/>
      </w:divBdr>
      <w:divsChild>
        <w:div w:id="2059474533">
          <w:marLeft w:val="0"/>
          <w:marRight w:val="0"/>
          <w:marTop w:val="0"/>
          <w:marBottom w:val="0"/>
          <w:divBdr>
            <w:top w:val="none" w:sz="0" w:space="0" w:color="auto"/>
            <w:left w:val="none" w:sz="0" w:space="0" w:color="auto"/>
            <w:bottom w:val="none" w:sz="0" w:space="0" w:color="auto"/>
            <w:right w:val="none" w:sz="0" w:space="0" w:color="auto"/>
          </w:divBdr>
        </w:div>
      </w:divsChild>
    </w:div>
    <w:div w:id="495649900">
      <w:bodyDiv w:val="1"/>
      <w:marLeft w:val="0"/>
      <w:marRight w:val="0"/>
      <w:marTop w:val="0"/>
      <w:marBottom w:val="0"/>
      <w:divBdr>
        <w:top w:val="none" w:sz="0" w:space="0" w:color="auto"/>
        <w:left w:val="none" w:sz="0" w:space="0" w:color="auto"/>
        <w:bottom w:val="none" w:sz="0" w:space="0" w:color="auto"/>
        <w:right w:val="none" w:sz="0" w:space="0" w:color="auto"/>
      </w:divBdr>
      <w:divsChild>
        <w:div w:id="1436707344">
          <w:marLeft w:val="0"/>
          <w:marRight w:val="0"/>
          <w:marTop w:val="0"/>
          <w:marBottom w:val="0"/>
          <w:divBdr>
            <w:top w:val="none" w:sz="0" w:space="0" w:color="auto"/>
            <w:left w:val="none" w:sz="0" w:space="0" w:color="auto"/>
            <w:bottom w:val="none" w:sz="0" w:space="0" w:color="auto"/>
            <w:right w:val="none" w:sz="0" w:space="0" w:color="auto"/>
          </w:divBdr>
          <w:divsChild>
            <w:div w:id="881788003">
              <w:marLeft w:val="0"/>
              <w:marRight w:val="0"/>
              <w:marTop w:val="0"/>
              <w:marBottom w:val="0"/>
              <w:divBdr>
                <w:top w:val="none" w:sz="0" w:space="0" w:color="auto"/>
                <w:left w:val="none" w:sz="0" w:space="0" w:color="auto"/>
                <w:bottom w:val="none" w:sz="0" w:space="0" w:color="auto"/>
                <w:right w:val="none" w:sz="0" w:space="0" w:color="auto"/>
              </w:divBdr>
              <w:divsChild>
                <w:div w:id="85731889">
                  <w:marLeft w:val="0"/>
                  <w:marRight w:val="0"/>
                  <w:marTop w:val="120"/>
                  <w:marBottom w:val="0"/>
                  <w:divBdr>
                    <w:top w:val="none" w:sz="0" w:space="0" w:color="auto"/>
                    <w:left w:val="none" w:sz="0" w:space="0" w:color="auto"/>
                    <w:bottom w:val="none" w:sz="0" w:space="0" w:color="auto"/>
                    <w:right w:val="none" w:sz="0" w:space="0" w:color="auto"/>
                  </w:divBdr>
                </w:div>
                <w:div w:id="607157942">
                  <w:marLeft w:val="0"/>
                  <w:marRight w:val="0"/>
                  <w:marTop w:val="0"/>
                  <w:marBottom w:val="0"/>
                  <w:divBdr>
                    <w:top w:val="none" w:sz="0" w:space="0" w:color="auto"/>
                    <w:left w:val="none" w:sz="0" w:space="0" w:color="auto"/>
                    <w:bottom w:val="none" w:sz="0" w:space="0" w:color="auto"/>
                    <w:right w:val="none" w:sz="0" w:space="0" w:color="auto"/>
                  </w:divBdr>
                </w:div>
              </w:divsChild>
            </w:div>
            <w:div w:id="1294289231">
              <w:marLeft w:val="0"/>
              <w:marRight w:val="0"/>
              <w:marTop w:val="0"/>
              <w:marBottom w:val="0"/>
              <w:divBdr>
                <w:top w:val="none" w:sz="0" w:space="0" w:color="auto"/>
                <w:left w:val="none" w:sz="0" w:space="0" w:color="auto"/>
                <w:bottom w:val="none" w:sz="0" w:space="0" w:color="auto"/>
                <w:right w:val="none" w:sz="0" w:space="0" w:color="auto"/>
              </w:divBdr>
              <w:divsChild>
                <w:div w:id="964963163">
                  <w:marLeft w:val="0"/>
                  <w:marRight w:val="0"/>
                  <w:marTop w:val="0"/>
                  <w:marBottom w:val="0"/>
                  <w:divBdr>
                    <w:top w:val="none" w:sz="0" w:space="0" w:color="auto"/>
                    <w:left w:val="none" w:sz="0" w:space="0" w:color="auto"/>
                    <w:bottom w:val="none" w:sz="0" w:space="0" w:color="auto"/>
                    <w:right w:val="none" w:sz="0" w:space="0" w:color="auto"/>
                  </w:divBdr>
                </w:div>
                <w:div w:id="1491141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9714590">
          <w:marLeft w:val="0"/>
          <w:marRight w:val="0"/>
          <w:marTop w:val="120"/>
          <w:marBottom w:val="0"/>
          <w:divBdr>
            <w:top w:val="none" w:sz="0" w:space="0" w:color="auto"/>
            <w:left w:val="none" w:sz="0" w:space="0" w:color="auto"/>
            <w:bottom w:val="none" w:sz="0" w:space="0" w:color="auto"/>
            <w:right w:val="none" w:sz="0" w:space="0" w:color="auto"/>
          </w:divBdr>
        </w:div>
      </w:divsChild>
    </w:div>
    <w:div w:id="496382313">
      <w:bodyDiv w:val="1"/>
      <w:marLeft w:val="0"/>
      <w:marRight w:val="0"/>
      <w:marTop w:val="0"/>
      <w:marBottom w:val="0"/>
      <w:divBdr>
        <w:top w:val="none" w:sz="0" w:space="0" w:color="auto"/>
        <w:left w:val="none" w:sz="0" w:space="0" w:color="auto"/>
        <w:bottom w:val="none" w:sz="0" w:space="0" w:color="auto"/>
        <w:right w:val="none" w:sz="0" w:space="0" w:color="auto"/>
      </w:divBdr>
      <w:divsChild>
        <w:div w:id="1576427237">
          <w:marLeft w:val="0"/>
          <w:marRight w:val="0"/>
          <w:marTop w:val="0"/>
          <w:marBottom w:val="0"/>
          <w:divBdr>
            <w:top w:val="none" w:sz="0" w:space="0" w:color="auto"/>
            <w:left w:val="none" w:sz="0" w:space="0" w:color="auto"/>
            <w:bottom w:val="none" w:sz="0" w:space="0" w:color="auto"/>
            <w:right w:val="none" w:sz="0" w:space="0" w:color="auto"/>
          </w:divBdr>
          <w:divsChild>
            <w:div w:id="853610870">
              <w:marLeft w:val="0"/>
              <w:marRight w:val="0"/>
              <w:marTop w:val="0"/>
              <w:marBottom w:val="0"/>
              <w:divBdr>
                <w:top w:val="none" w:sz="0" w:space="0" w:color="auto"/>
                <w:left w:val="none" w:sz="0" w:space="0" w:color="auto"/>
                <w:bottom w:val="none" w:sz="0" w:space="0" w:color="auto"/>
                <w:right w:val="none" w:sz="0" w:space="0" w:color="auto"/>
              </w:divBdr>
            </w:div>
          </w:divsChild>
        </w:div>
        <w:div w:id="1646086150">
          <w:marLeft w:val="0"/>
          <w:marRight w:val="0"/>
          <w:marTop w:val="0"/>
          <w:marBottom w:val="0"/>
          <w:divBdr>
            <w:top w:val="none" w:sz="0" w:space="0" w:color="auto"/>
            <w:left w:val="none" w:sz="0" w:space="0" w:color="auto"/>
            <w:bottom w:val="none" w:sz="0" w:space="0" w:color="auto"/>
            <w:right w:val="none" w:sz="0" w:space="0" w:color="auto"/>
          </w:divBdr>
          <w:divsChild>
            <w:div w:id="5159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5627">
      <w:bodyDiv w:val="1"/>
      <w:marLeft w:val="0"/>
      <w:marRight w:val="0"/>
      <w:marTop w:val="0"/>
      <w:marBottom w:val="0"/>
      <w:divBdr>
        <w:top w:val="none" w:sz="0" w:space="0" w:color="auto"/>
        <w:left w:val="none" w:sz="0" w:space="0" w:color="auto"/>
        <w:bottom w:val="none" w:sz="0" w:space="0" w:color="auto"/>
        <w:right w:val="none" w:sz="0" w:space="0" w:color="auto"/>
      </w:divBdr>
      <w:divsChild>
        <w:div w:id="1101946731">
          <w:marLeft w:val="0"/>
          <w:marRight w:val="0"/>
          <w:marTop w:val="0"/>
          <w:marBottom w:val="0"/>
          <w:divBdr>
            <w:top w:val="none" w:sz="0" w:space="0" w:color="auto"/>
            <w:left w:val="none" w:sz="0" w:space="0" w:color="auto"/>
            <w:bottom w:val="none" w:sz="0" w:space="0" w:color="auto"/>
            <w:right w:val="none" w:sz="0" w:space="0" w:color="auto"/>
          </w:divBdr>
          <w:divsChild>
            <w:div w:id="590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107">
      <w:bodyDiv w:val="1"/>
      <w:marLeft w:val="0"/>
      <w:marRight w:val="0"/>
      <w:marTop w:val="0"/>
      <w:marBottom w:val="0"/>
      <w:divBdr>
        <w:top w:val="none" w:sz="0" w:space="0" w:color="auto"/>
        <w:left w:val="none" w:sz="0" w:space="0" w:color="auto"/>
        <w:bottom w:val="none" w:sz="0" w:space="0" w:color="auto"/>
        <w:right w:val="none" w:sz="0" w:space="0" w:color="auto"/>
      </w:divBdr>
      <w:divsChild>
        <w:div w:id="647514338">
          <w:marLeft w:val="0"/>
          <w:marRight w:val="0"/>
          <w:marTop w:val="0"/>
          <w:marBottom w:val="0"/>
          <w:divBdr>
            <w:top w:val="none" w:sz="0" w:space="0" w:color="auto"/>
            <w:left w:val="none" w:sz="0" w:space="0" w:color="auto"/>
            <w:bottom w:val="none" w:sz="0" w:space="0" w:color="auto"/>
            <w:right w:val="none" w:sz="0" w:space="0" w:color="auto"/>
          </w:divBdr>
          <w:divsChild>
            <w:div w:id="12887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7367">
      <w:bodyDiv w:val="1"/>
      <w:marLeft w:val="0"/>
      <w:marRight w:val="0"/>
      <w:marTop w:val="0"/>
      <w:marBottom w:val="0"/>
      <w:divBdr>
        <w:top w:val="none" w:sz="0" w:space="0" w:color="auto"/>
        <w:left w:val="none" w:sz="0" w:space="0" w:color="auto"/>
        <w:bottom w:val="none" w:sz="0" w:space="0" w:color="auto"/>
        <w:right w:val="none" w:sz="0" w:space="0" w:color="auto"/>
      </w:divBdr>
      <w:divsChild>
        <w:div w:id="174350502">
          <w:marLeft w:val="0"/>
          <w:marRight w:val="0"/>
          <w:marTop w:val="120"/>
          <w:marBottom w:val="0"/>
          <w:divBdr>
            <w:top w:val="none" w:sz="0" w:space="0" w:color="auto"/>
            <w:left w:val="none" w:sz="0" w:space="0" w:color="auto"/>
            <w:bottom w:val="none" w:sz="0" w:space="0" w:color="auto"/>
            <w:right w:val="none" w:sz="0" w:space="0" w:color="auto"/>
          </w:divBdr>
        </w:div>
        <w:div w:id="1562253014">
          <w:marLeft w:val="0"/>
          <w:marRight w:val="0"/>
          <w:marTop w:val="0"/>
          <w:marBottom w:val="0"/>
          <w:divBdr>
            <w:top w:val="none" w:sz="0" w:space="0" w:color="auto"/>
            <w:left w:val="none" w:sz="0" w:space="0" w:color="auto"/>
            <w:bottom w:val="none" w:sz="0" w:space="0" w:color="auto"/>
            <w:right w:val="none" w:sz="0" w:space="0" w:color="auto"/>
          </w:divBdr>
        </w:div>
      </w:divsChild>
    </w:div>
    <w:div w:id="544484842">
      <w:bodyDiv w:val="1"/>
      <w:marLeft w:val="0"/>
      <w:marRight w:val="0"/>
      <w:marTop w:val="0"/>
      <w:marBottom w:val="0"/>
      <w:divBdr>
        <w:top w:val="none" w:sz="0" w:space="0" w:color="auto"/>
        <w:left w:val="none" w:sz="0" w:space="0" w:color="auto"/>
        <w:bottom w:val="none" w:sz="0" w:space="0" w:color="auto"/>
        <w:right w:val="none" w:sz="0" w:space="0" w:color="auto"/>
      </w:divBdr>
      <w:divsChild>
        <w:div w:id="80224401">
          <w:marLeft w:val="0"/>
          <w:marRight w:val="0"/>
          <w:marTop w:val="0"/>
          <w:marBottom w:val="0"/>
          <w:divBdr>
            <w:top w:val="none" w:sz="0" w:space="0" w:color="auto"/>
            <w:left w:val="none" w:sz="0" w:space="0" w:color="auto"/>
            <w:bottom w:val="none" w:sz="0" w:space="0" w:color="auto"/>
            <w:right w:val="none" w:sz="0" w:space="0" w:color="auto"/>
          </w:divBdr>
          <w:divsChild>
            <w:div w:id="2119792405">
              <w:marLeft w:val="0"/>
              <w:marRight w:val="0"/>
              <w:marTop w:val="0"/>
              <w:marBottom w:val="0"/>
              <w:divBdr>
                <w:top w:val="none" w:sz="0" w:space="0" w:color="auto"/>
                <w:left w:val="none" w:sz="0" w:space="0" w:color="auto"/>
                <w:bottom w:val="none" w:sz="0" w:space="0" w:color="auto"/>
                <w:right w:val="none" w:sz="0" w:space="0" w:color="auto"/>
              </w:divBdr>
            </w:div>
          </w:divsChild>
        </w:div>
        <w:div w:id="535896293">
          <w:marLeft w:val="0"/>
          <w:marRight w:val="0"/>
          <w:marTop w:val="0"/>
          <w:marBottom w:val="0"/>
          <w:divBdr>
            <w:top w:val="none" w:sz="0" w:space="0" w:color="auto"/>
            <w:left w:val="none" w:sz="0" w:space="0" w:color="auto"/>
            <w:bottom w:val="none" w:sz="0" w:space="0" w:color="auto"/>
            <w:right w:val="none" w:sz="0" w:space="0" w:color="auto"/>
          </w:divBdr>
          <w:divsChild>
            <w:div w:id="151024122">
              <w:marLeft w:val="0"/>
              <w:marRight w:val="0"/>
              <w:marTop w:val="0"/>
              <w:marBottom w:val="0"/>
              <w:divBdr>
                <w:top w:val="none" w:sz="0" w:space="0" w:color="auto"/>
                <w:left w:val="none" w:sz="0" w:space="0" w:color="auto"/>
                <w:bottom w:val="none" w:sz="0" w:space="0" w:color="auto"/>
                <w:right w:val="none" w:sz="0" w:space="0" w:color="auto"/>
              </w:divBdr>
              <w:divsChild>
                <w:div w:id="119303853">
                  <w:marLeft w:val="0"/>
                  <w:marRight w:val="0"/>
                  <w:marTop w:val="0"/>
                  <w:marBottom w:val="0"/>
                  <w:divBdr>
                    <w:top w:val="none" w:sz="0" w:space="0" w:color="auto"/>
                    <w:left w:val="none" w:sz="0" w:space="0" w:color="auto"/>
                    <w:bottom w:val="none" w:sz="0" w:space="0" w:color="auto"/>
                    <w:right w:val="none" w:sz="0" w:space="0" w:color="auto"/>
                  </w:divBdr>
                  <w:divsChild>
                    <w:div w:id="1372923607">
                      <w:marLeft w:val="0"/>
                      <w:marRight w:val="0"/>
                      <w:marTop w:val="0"/>
                      <w:marBottom w:val="0"/>
                      <w:divBdr>
                        <w:top w:val="none" w:sz="0" w:space="0" w:color="auto"/>
                        <w:left w:val="none" w:sz="0" w:space="0" w:color="auto"/>
                        <w:bottom w:val="none" w:sz="0" w:space="0" w:color="auto"/>
                        <w:right w:val="none" w:sz="0" w:space="0" w:color="auto"/>
                      </w:divBdr>
                    </w:div>
                    <w:div w:id="1681736077">
                      <w:marLeft w:val="0"/>
                      <w:marRight w:val="0"/>
                      <w:marTop w:val="120"/>
                      <w:marBottom w:val="0"/>
                      <w:divBdr>
                        <w:top w:val="none" w:sz="0" w:space="0" w:color="auto"/>
                        <w:left w:val="none" w:sz="0" w:space="0" w:color="auto"/>
                        <w:bottom w:val="none" w:sz="0" w:space="0" w:color="auto"/>
                        <w:right w:val="none" w:sz="0" w:space="0" w:color="auto"/>
                      </w:divBdr>
                    </w:div>
                  </w:divsChild>
                </w:div>
                <w:div w:id="550577396">
                  <w:marLeft w:val="0"/>
                  <w:marRight w:val="0"/>
                  <w:marTop w:val="0"/>
                  <w:marBottom w:val="0"/>
                  <w:divBdr>
                    <w:top w:val="none" w:sz="0" w:space="0" w:color="auto"/>
                    <w:left w:val="none" w:sz="0" w:space="0" w:color="auto"/>
                    <w:bottom w:val="none" w:sz="0" w:space="0" w:color="auto"/>
                    <w:right w:val="none" w:sz="0" w:space="0" w:color="auto"/>
                  </w:divBdr>
                  <w:divsChild>
                    <w:div w:id="873493783">
                      <w:marLeft w:val="0"/>
                      <w:marRight w:val="0"/>
                      <w:marTop w:val="0"/>
                      <w:marBottom w:val="0"/>
                      <w:divBdr>
                        <w:top w:val="none" w:sz="0" w:space="0" w:color="auto"/>
                        <w:left w:val="none" w:sz="0" w:space="0" w:color="auto"/>
                        <w:bottom w:val="none" w:sz="0" w:space="0" w:color="auto"/>
                        <w:right w:val="none" w:sz="0" w:space="0" w:color="auto"/>
                      </w:divBdr>
                    </w:div>
                    <w:div w:id="1961181864">
                      <w:marLeft w:val="0"/>
                      <w:marRight w:val="0"/>
                      <w:marTop w:val="120"/>
                      <w:marBottom w:val="0"/>
                      <w:divBdr>
                        <w:top w:val="none" w:sz="0" w:space="0" w:color="auto"/>
                        <w:left w:val="none" w:sz="0" w:space="0" w:color="auto"/>
                        <w:bottom w:val="none" w:sz="0" w:space="0" w:color="auto"/>
                        <w:right w:val="none" w:sz="0" w:space="0" w:color="auto"/>
                      </w:divBdr>
                    </w:div>
                  </w:divsChild>
                </w:div>
                <w:div w:id="795022440">
                  <w:marLeft w:val="0"/>
                  <w:marRight w:val="0"/>
                  <w:marTop w:val="0"/>
                  <w:marBottom w:val="0"/>
                  <w:divBdr>
                    <w:top w:val="none" w:sz="0" w:space="0" w:color="auto"/>
                    <w:left w:val="none" w:sz="0" w:space="0" w:color="auto"/>
                    <w:bottom w:val="none" w:sz="0" w:space="0" w:color="auto"/>
                    <w:right w:val="none" w:sz="0" w:space="0" w:color="auto"/>
                  </w:divBdr>
                  <w:divsChild>
                    <w:div w:id="675380736">
                      <w:marLeft w:val="0"/>
                      <w:marRight w:val="0"/>
                      <w:marTop w:val="12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sChild>
                </w:div>
                <w:div w:id="845631548">
                  <w:marLeft w:val="0"/>
                  <w:marRight w:val="0"/>
                  <w:marTop w:val="0"/>
                  <w:marBottom w:val="0"/>
                  <w:divBdr>
                    <w:top w:val="none" w:sz="0" w:space="0" w:color="auto"/>
                    <w:left w:val="none" w:sz="0" w:space="0" w:color="auto"/>
                    <w:bottom w:val="none" w:sz="0" w:space="0" w:color="auto"/>
                    <w:right w:val="none" w:sz="0" w:space="0" w:color="auto"/>
                  </w:divBdr>
                  <w:divsChild>
                    <w:div w:id="592712630">
                      <w:marLeft w:val="0"/>
                      <w:marRight w:val="0"/>
                      <w:marTop w:val="0"/>
                      <w:marBottom w:val="0"/>
                      <w:divBdr>
                        <w:top w:val="none" w:sz="0" w:space="0" w:color="auto"/>
                        <w:left w:val="none" w:sz="0" w:space="0" w:color="auto"/>
                        <w:bottom w:val="none" w:sz="0" w:space="0" w:color="auto"/>
                        <w:right w:val="none" w:sz="0" w:space="0" w:color="auto"/>
                      </w:divBdr>
                    </w:div>
                    <w:div w:id="855197298">
                      <w:marLeft w:val="0"/>
                      <w:marRight w:val="0"/>
                      <w:marTop w:val="120"/>
                      <w:marBottom w:val="0"/>
                      <w:divBdr>
                        <w:top w:val="none" w:sz="0" w:space="0" w:color="auto"/>
                        <w:left w:val="none" w:sz="0" w:space="0" w:color="auto"/>
                        <w:bottom w:val="none" w:sz="0" w:space="0" w:color="auto"/>
                        <w:right w:val="none" w:sz="0" w:space="0" w:color="auto"/>
                      </w:divBdr>
                    </w:div>
                  </w:divsChild>
                </w:div>
                <w:div w:id="881871093">
                  <w:marLeft w:val="0"/>
                  <w:marRight w:val="0"/>
                  <w:marTop w:val="0"/>
                  <w:marBottom w:val="0"/>
                  <w:divBdr>
                    <w:top w:val="none" w:sz="0" w:space="0" w:color="auto"/>
                    <w:left w:val="none" w:sz="0" w:space="0" w:color="auto"/>
                    <w:bottom w:val="none" w:sz="0" w:space="0" w:color="auto"/>
                    <w:right w:val="none" w:sz="0" w:space="0" w:color="auto"/>
                  </w:divBdr>
                  <w:divsChild>
                    <w:div w:id="914320334">
                      <w:marLeft w:val="0"/>
                      <w:marRight w:val="0"/>
                      <w:marTop w:val="120"/>
                      <w:marBottom w:val="0"/>
                      <w:divBdr>
                        <w:top w:val="none" w:sz="0" w:space="0" w:color="auto"/>
                        <w:left w:val="none" w:sz="0" w:space="0" w:color="auto"/>
                        <w:bottom w:val="none" w:sz="0" w:space="0" w:color="auto"/>
                        <w:right w:val="none" w:sz="0" w:space="0" w:color="auto"/>
                      </w:divBdr>
                    </w:div>
                    <w:div w:id="2008635099">
                      <w:marLeft w:val="0"/>
                      <w:marRight w:val="0"/>
                      <w:marTop w:val="0"/>
                      <w:marBottom w:val="0"/>
                      <w:divBdr>
                        <w:top w:val="none" w:sz="0" w:space="0" w:color="auto"/>
                        <w:left w:val="none" w:sz="0" w:space="0" w:color="auto"/>
                        <w:bottom w:val="none" w:sz="0" w:space="0" w:color="auto"/>
                        <w:right w:val="none" w:sz="0" w:space="0" w:color="auto"/>
                      </w:divBdr>
                    </w:div>
                  </w:divsChild>
                </w:div>
                <w:div w:id="1040861911">
                  <w:marLeft w:val="0"/>
                  <w:marRight w:val="0"/>
                  <w:marTop w:val="0"/>
                  <w:marBottom w:val="0"/>
                  <w:divBdr>
                    <w:top w:val="none" w:sz="0" w:space="0" w:color="auto"/>
                    <w:left w:val="none" w:sz="0" w:space="0" w:color="auto"/>
                    <w:bottom w:val="none" w:sz="0" w:space="0" w:color="auto"/>
                    <w:right w:val="none" w:sz="0" w:space="0" w:color="auto"/>
                  </w:divBdr>
                  <w:divsChild>
                    <w:div w:id="432554724">
                      <w:marLeft w:val="0"/>
                      <w:marRight w:val="0"/>
                      <w:marTop w:val="0"/>
                      <w:marBottom w:val="0"/>
                      <w:divBdr>
                        <w:top w:val="none" w:sz="0" w:space="0" w:color="auto"/>
                        <w:left w:val="none" w:sz="0" w:space="0" w:color="auto"/>
                        <w:bottom w:val="none" w:sz="0" w:space="0" w:color="auto"/>
                        <w:right w:val="none" w:sz="0" w:space="0" w:color="auto"/>
                      </w:divBdr>
                    </w:div>
                    <w:div w:id="1177383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48762343">
          <w:marLeft w:val="0"/>
          <w:marRight w:val="0"/>
          <w:marTop w:val="0"/>
          <w:marBottom w:val="0"/>
          <w:divBdr>
            <w:top w:val="none" w:sz="0" w:space="0" w:color="auto"/>
            <w:left w:val="none" w:sz="0" w:space="0" w:color="auto"/>
            <w:bottom w:val="none" w:sz="0" w:space="0" w:color="auto"/>
            <w:right w:val="none" w:sz="0" w:space="0" w:color="auto"/>
          </w:divBdr>
          <w:divsChild>
            <w:div w:id="1547789196">
              <w:marLeft w:val="0"/>
              <w:marRight w:val="0"/>
              <w:marTop w:val="0"/>
              <w:marBottom w:val="0"/>
              <w:divBdr>
                <w:top w:val="none" w:sz="0" w:space="0" w:color="auto"/>
                <w:left w:val="none" w:sz="0" w:space="0" w:color="auto"/>
                <w:bottom w:val="none" w:sz="0" w:space="0" w:color="auto"/>
                <w:right w:val="none" w:sz="0" w:space="0" w:color="auto"/>
              </w:divBdr>
            </w:div>
          </w:divsChild>
        </w:div>
        <w:div w:id="852644340">
          <w:marLeft w:val="0"/>
          <w:marRight w:val="0"/>
          <w:marTop w:val="0"/>
          <w:marBottom w:val="0"/>
          <w:divBdr>
            <w:top w:val="none" w:sz="0" w:space="0" w:color="auto"/>
            <w:left w:val="none" w:sz="0" w:space="0" w:color="auto"/>
            <w:bottom w:val="none" w:sz="0" w:space="0" w:color="auto"/>
            <w:right w:val="none" w:sz="0" w:space="0" w:color="auto"/>
          </w:divBdr>
          <w:divsChild>
            <w:div w:id="1349284967">
              <w:marLeft w:val="0"/>
              <w:marRight w:val="0"/>
              <w:marTop w:val="0"/>
              <w:marBottom w:val="0"/>
              <w:divBdr>
                <w:top w:val="none" w:sz="0" w:space="0" w:color="auto"/>
                <w:left w:val="none" w:sz="0" w:space="0" w:color="auto"/>
                <w:bottom w:val="none" w:sz="0" w:space="0" w:color="auto"/>
                <w:right w:val="none" w:sz="0" w:space="0" w:color="auto"/>
              </w:divBdr>
              <w:divsChild>
                <w:div w:id="163130061">
                  <w:marLeft w:val="0"/>
                  <w:marRight w:val="0"/>
                  <w:marTop w:val="0"/>
                  <w:marBottom w:val="0"/>
                  <w:divBdr>
                    <w:top w:val="none" w:sz="0" w:space="0" w:color="auto"/>
                    <w:left w:val="none" w:sz="0" w:space="0" w:color="auto"/>
                    <w:bottom w:val="none" w:sz="0" w:space="0" w:color="auto"/>
                    <w:right w:val="none" w:sz="0" w:space="0" w:color="auto"/>
                  </w:divBdr>
                  <w:divsChild>
                    <w:div w:id="968392436">
                      <w:marLeft w:val="0"/>
                      <w:marRight w:val="0"/>
                      <w:marTop w:val="0"/>
                      <w:marBottom w:val="0"/>
                      <w:divBdr>
                        <w:top w:val="none" w:sz="0" w:space="0" w:color="auto"/>
                        <w:left w:val="none" w:sz="0" w:space="0" w:color="auto"/>
                        <w:bottom w:val="none" w:sz="0" w:space="0" w:color="auto"/>
                        <w:right w:val="none" w:sz="0" w:space="0" w:color="auto"/>
                      </w:divBdr>
                    </w:div>
                    <w:div w:id="1766340557">
                      <w:marLeft w:val="0"/>
                      <w:marRight w:val="0"/>
                      <w:marTop w:val="120"/>
                      <w:marBottom w:val="0"/>
                      <w:divBdr>
                        <w:top w:val="none" w:sz="0" w:space="0" w:color="auto"/>
                        <w:left w:val="none" w:sz="0" w:space="0" w:color="auto"/>
                        <w:bottom w:val="none" w:sz="0" w:space="0" w:color="auto"/>
                        <w:right w:val="none" w:sz="0" w:space="0" w:color="auto"/>
                      </w:divBdr>
                    </w:div>
                  </w:divsChild>
                </w:div>
                <w:div w:id="1972638186">
                  <w:marLeft w:val="0"/>
                  <w:marRight w:val="0"/>
                  <w:marTop w:val="0"/>
                  <w:marBottom w:val="0"/>
                  <w:divBdr>
                    <w:top w:val="none" w:sz="0" w:space="0" w:color="auto"/>
                    <w:left w:val="none" w:sz="0" w:space="0" w:color="auto"/>
                    <w:bottom w:val="none" w:sz="0" w:space="0" w:color="auto"/>
                    <w:right w:val="none" w:sz="0" w:space="0" w:color="auto"/>
                  </w:divBdr>
                  <w:divsChild>
                    <w:div w:id="1147553496">
                      <w:marLeft w:val="0"/>
                      <w:marRight w:val="0"/>
                      <w:marTop w:val="120"/>
                      <w:marBottom w:val="0"/>
                      <w:divBdr>
                        <w:top w:val="none" w:sz="0" w:space="0" w:color="auto"/>
                        <w:left w:val="none" w:sz="0" w:space="0" w:color="auto"/>
                        <w:bottom w:val="none" w:sz="0" w:space="0" w:color="auto"/>
                        <w:right w:val="none" w:sz="0" w:space="0" w:color="auto"/>
                      </w:divBdr>
                    </w:div>
                    <w:div w:id="1556700463">
                      <w:marLeft w:val="0"/>
                      <w:marRight w:val="0"/>
                      <w:marTop w:val="0"/>
                      <w:marBottom w:val="0"/>
                      <w:divBdr>
                        <w:top w:val="none" w:sz="0" w:space="0" w:color="auto"/>
                        <w:left w:val="none" w:sz="0" w:space="0" w:color="auto"/>
                        <w:bottom w:val="none" w:sz="0" w:space="0" w:color="auto"/>
                        <w:right w:val="none" w:sz="0" w:space="0" w:color="auto"/>
                      </w:divBdr>
                    </w:div>
                  </w:divsChild>
                </w:div>
                <w:div w:id="2058047272">
                  <w:marLeft w:val="0"/>
                  <w:marRight w:val="0"/>
                  <w:marTop w:val="0"/>
                  <w:marBottom w:val="0"/>
                  <w:divBdr>
                    <w:top w:val="none" w:sz="0" w:space="0" w:color="auto"/>
                    <w:left w:val="none" w:sz="0" w:space="0" w:color="auto"/>
                    <w:bottom w:val="none" w:sz="0" w:space="0" w:color="auto"/>
                    <w:right w:val="none" w:sz="0" w:space="0" w:color="auto"/>
                  </w:divBdr>
                  <w:divsChild>
                    <w:div w:id="280888818">
                      <w:marLeft w:val="0"/>
                      <w:marRight w:val="0"/>
                      <w:marTop w:val="120"/>
                      <w:marBottom w:val="0"/>
                      <w:divBdr>
                        <w:top w:val="none" w:sz="0" w:space="0" w:color="auto"/>
                        <w:left w:val="none" w:sz="0" w:space="0" w:color="auto"/>
                        <w:bottom w:val="none" w:sz="0" w:space="0" w:color="auto"/>
                        <w:right w:val="none" w:sz="0" w:space="0" w:color="auto"/>
                      </w:divBdr>
                    </w:div>
                    <w:div w:id="6967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3254">
          <w:marLeft w:val="0"/>
          <w:marRight w:val="0"/>
          <w:marTop w:val="0"/>
          <w:marBottom w:val="0"/>
          <w:divBdr>
            <w:top w:val="none" w:sz="0" w:space="0" w:color="auto"/>
            <w:left w:val="none" w:sz="0" w:space="0" w:color="auto"/>
            <w:bottom w:val="none" w:sz="0" w:space="0" w:color="auto"/>
            <w:right w:val="none" w:sz="0" w:space="0" w:color="auto"/>
          </w:divBdr>
          <w:divsChild>
            <w:div w:id="1558324736">
              <w:marLeft w:val="0"/>
              <w:marRight w:val="0"/>
              <w:marTop w:val="0"/>
              <w:marBottom w:val="0"/>
              <w:divBdr>
                <w:top w:val="none" w:sz="0" w:space="0" w:color="auto"/>
                <w:left w:val="none" w:sz="0" w:space="0" w:color="auto"/>
                <w:bottom w:val="none" w:sz="0" w:space="0" w:color="auto"/>
                <w:right w:val="none" w:sz="0" w:space="0" w:color="auto"/>
              </w:divBdr>
              <w:divsChild>
                <w:div w:id="66805390">
                  <w:marLeft w:val="0"/>
                  <w:marRight w:val="0"/>
                  <w:marTop w:val="0"/>
                  <w:marBottom w:val="0"/>
                  <w:divBdr>
                    <w:top w:val="none" w:sz="0" w:space="0" w:color="auto"/>
                    <w:left w:val="none" w:sz="0" w:space="0" w:color="auto"/>
                    <w:bottom w:val="none" w:sz="0" w:space="0" w:color="auto"/>
                    <w:right w:val="none" w:sz="0" w:space="0" w:color="auto"/>
                  </w:divBdr>
                  <w:divsChild>
                    <w:div w:id="45028574">
                      <w:marLeft w:val="0"/>
                      <w:marRight w:val="0"/>
                      <w:marTop w:val="0"/>
                      <w:marBottom w:val="0"/>
                      <w:divBdr>
                        <w:top w:val="none" w:sz="0" w:space="0" w:color="auto"/>
                        <w:left w:val="none" w:sz="0" w:space="0" w:color="auto"/>
                        <w:bottom w:val="none" w:sz="0" w:space="0" w:color="auto"/>
                        <w:right w:val="none" w:sz="0" w:space="0" w:color="auto"/>
                      </w:divBdr>
                    </w:div>
                    <w:div w:id="1652103433">
                      <w:marLeft w:val="0"/>
                      <w:marRight w:val="0"/>
                      <w:marTop w:val="120"/>
                      <w:marBottom w:val="0"/>
                      <w:divBdr>
                        <w:top w:val="none" w:sz="0" w:space="0" w:color="auto"/>
                        <w:left w:val="none" w:sz="0" w:space="0" w:color="auto"/>
                        <w:bottom w:val="none" w:sz="0" w:space="0" w:color="auto"/>
                        <w:right w:val="none" w:sz="0" w:space="0" w:color="auto"/>
                      </w:divBdr>
                    </w:div>
                  </w:divsChild>
                </w:div>
                <w:div w:id="344795267">
                  <w:marLeft w:val="0"/>
                  <w:marRight w:val="0"/>
                  <w:marTop w:val="0"/>
                  <w:marBottom w:val="0"/>
                  <w:divBdr>
                    <w:top w:val="none" w:sz="0" w:space="0" w:color="auto"/>
                    <w:left w:val="none" w:sz="0" w:space="0" w:color="auto"/>
                    <w:bottom w:val="none" w:sz="0" w:space="0" w:color="auto"/>
                    <w:right w:val="none" w:sz="0" w:space="0" w:color="auto"/>
                  </w:divBdr>
                  <w:divsChild>
                    <w:div w:id="286742355">
                      <w:marLeft w:val="0"/>
                      <w:marRight w:val="0"/>
                      <w:marTop w:val="120"/>
                      <w:marBottom w:val="0"/>
                      <w:divBdr>
                        <w:top w:val="none" w:sz="0" w:space="0" w:color="auto"/>
                        <w:left w:val="none" w:sz="0" w:space="0" w:color="auto"/>
                        <w:bottom w:val="none" w:sz="0" w:space="0" w:color="auto"/>
                        <w:right w:val="none" w:sz="0" w:space="0" w:color="auto"/>
                      </w:divBdr>
                    </w:div>
                    <w:div w:id="806900659">
                      <w:marLeft w:val="0"/>
                      <w:marRight w:val="0"/>
                      <w:marTop w:val="0"/>
                      <w:marBottom w:val="0"/>
                      <w:divBdr>
                        <w:top w:val="none" w:sz="0" w:space="0" w:color="auto"/>
                        <w:left w:val="none" w:sz="0" w:space="0" w:color="auto"/>
                        <w:bottom w:val="none" w:sz="0" w:space="0" w:color="auto"/>
                        <w:right w:val="none" w:sz="0" w:space="0" w:color="auto"/>
                      </w:divBdr>
                    </w:div>
                  </w:divsChild>
                </w:div>
                <w:div w:id="777600300">
                  <w:marLeft w:val="0"/>
                  <w:marRight w:val="0"/>
                  <w:marTop w:val="0"/>
                  <w:marBottom w:val="0"/>
                  <w:divBdr>
                    <w:top w:val="none" w:sz="0" w:space="0" w:color="auto"/>
                    <w:left w:val="none" w:sz="0" w:space="0" w:color="auto"/>
                    <w:bottom w:val="none" w:sz="0" w:space="0" w:color="auto"/>
                    <w:right w:val="none" w:sz="0" w:space="0" w:color="auto"/>
                  </w:divBdr>
                  <w:divsChild>
                    <w:div w:id="528108537">
                      <w:marLeft w:val="0"/>
                      <w:marRight w:val="0"/>
                      <w:marTop w:val="120"/>
                      <w:marBottom w:val="0"/>
                      <w:divBdr>
                        <w:top w:val="none" w:sz="0" w:space="0" w:color="auto"/>
                        <w:left w:val="none" w:sz="0" w:space="0" w:color="auto"/>
                        <w:bottom w:val="none" w:sz="0" w:space="0" w:color="auto"/>
                        <w:right w:val="none" w:sz="0" w:space="0" w:color="auto"/>
                      </w:divBdr>
                    </w:div>
                    <w:div w:id="869033125">
                      <w:marLeft w:val="0"/>
                      <w:marRight w:val="0"/>
                      <w:marTop w:val="0"/>
                      <w:marBottom w:val="0"/>
                      <w:divBdr>
                        <w:top w:val="none" w:sz="0" w:space="0" w:color="auto"/>
                        <w:left w:val="none" w:sz="0" w:space="0" w:color="auto"/>
                        <w:bottom w:val="none" w:sz="0" w:space="0" w:color="auto"/>
                        <w:right w:val="none" w:sz="0" w:space="0" w:color="auto"/>
                      </w:divBdr>
                    </w:div>
                  </w:divsChild>
                </w:div>
                <w:div w:id="1231233804">
                  <w:marLeft w:val="0"/>
                  <w:marRight w:val="0"/>
                  <w:marTop w:val="0"/>
                  <w:marBottom w:val="0"/>
                  <w:divBdr>
                    <w:top w:val="none" w:sz="0" w:space="0" w:color="auto"/>
                    <w:left w:val="none" w:sz="0" w:space="0" w:color="auto"/>
                    <w:bottom w:val="none" w:sz="0" w:space="0" w:color="auto"/>
                    <w:right w:val="none" w:sz="0" w:space="0" w:color="auto"/>
                  </w:divBdr>
                  <w:divsChild>
                    <w:div w:id="1153329211">
                      <w:marLeft w:val="0"/>
                      <w:marRight w:val="0"/>
                      <w:marTop w:val="0"/>
                      <w:marBottom w:val="0"/>
                      <w:divBdr>
                        <w:top w:val="none" w:sz="0" w:space="0" w:color="auto"/>
                        <w:left w:val="none" w:sz="0" w:space="0" w:color="auto"/>
                        <w:bottom w:val="none" w:sz="0" w:space="0" w:color="auto"/>
                        <w:right w:val="none" w:sz="0" w:space="0" w:color="auto"/>
                      </w:divBdr>
                    </w:div>
                    <w:div w:id="1352293040">
                      <w:marLeft w:val="0"/>
                      <w:marRight w:val="0"/>
                      <w:marTop w:val="120"/>
                      <w:marBottom w:val="0"/>
                      <w:divBdr>
                        <w:top w:val="none" w:sz="0" w:space="0" w:color="auto"/>
                        <w:left w:val="none" w:sz="0" w:space="0" w:color="auto"/>
                        <w:bottom w:val="none" w:sz="0" w:space="0" w:color="auto"/>
                        <w:right w:val="none" w:sz="0" w:space="0" w:color="auto"/>
                      </w:divBdr>
                    </w:div>
                  </w:divsChild>
                </w:div>
                <w:div w:id="1384912533">
                  <w:marLeft w:val="0"/>
                  <w:marRight w:val="0"/>
                  <w:marTop w:val="0"/>
                  <w:marBottom w:val="0"/>
                  <w:divBdr>
                    <w:top w:val="none" w:sz="0" w:space="0" w:color="auto"/>
                    <w:left w:val="none" w:sz="0" w:space="0" w:color="auto"/>
                    <w:bottom w:val="none" w:sz="0" w:space="0" w:color="auto"/>
                    <w:right w:val="none" w:sz="0" w:space="0" w:color="auto"/>
                  </w:divBdr>
                  <w:divsChild>
                    <w:div w:id="1382363546">
                      <w:marLeft w:val="0"/>
                      <w:marRight w:val="0"/>
                      <w:marTop w:val="120"/>
                      <w:marBottom w:val="0"/>
                      <w:divBdr>
                        <w:top w:val="none" w:sz="0" w:space="0" w:color="auto"/>
                        <w:left w:val="none" w:sz="0" w:space="0" w:color="auto"/>
                        <w:bottom w:val="none" w:sz="0" w:space="0" w:color="auto"/>
                        <w:right w:val="none" w:sz="0" w:space="0" w:color="auto"/>
                      </w:divBdr>
                    </w:div>
                    <w:div w:id="1918443444">
                      <w:marLeft w:val="0"/>
                      <w:marRight w:val="0"/>
                      <w:marTop w:val="0"/>
                      <w:marBottom w:val="0"/>
                      <w:divBdr>
                        <w:top w:val="none" w:sz="0" w:space="0" w:color="auto"/>
                        <w:left w:val="none" w:sz="0" w:space="0" w:color="auto"/>
                        <w:bottom w:val="none" w:sz="0" w:space="0" w:color="auto"/>
                        <w:right w:val="none" w:sz="0" w:space="0" w:color="auto"/>
                      </w:divBdr>
                    </w:div>
                  </w:divsChild>
                </w:div>
                <w:div w:id="1950579836">
                  <w:marLeft w:val="0"/>
                  <w:marRight w:val="0"/>
                  <w:marTop w:val="0"/>
                  <w:marBottom w:val="0"/>
                  <w:divBdr>
                    <w:top w:val="none" w:sz="0" w:space="0" w:color="auto"/>
                    <w:left w:val="none" w:sz="0" w:space="0" w:color="auto"/>
                    <w:bottom w:val="none" w:sz="0" w:space="0" w:color="auto"/>
                    <w:right w:val="none" w:sz="0" w:space="0" w:color="auto"/>
                  </w:divBdr>
                  <w:divsChild>
                    <w:div w:id="283462511">
                      <w:marLeft w:val="0"/>
                      <w:marRight w:val="0"/>
                      <w:marTop w:val="0"/>
                      <w:marBottom w:val="0"/>
                      <w:divBdr>
                        <w:top w:val="none" w:sz="0" w:space="0" w:color="auto"/>
                        <w:left w:val="none" w:sz="0" w:space="0" w:color="auto"/>
                        <w:bottom w:val="none" w:sz="0" w:space="0" w:color="auto"/>
                        <w:right w:val="none" w:sz="0" w:space="0" w:color="auto"/>
                      </w:divBdr>
                    </w:div>
                    <w:div w:id="294483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50390143">
      <w:bodyDiv w:val="1"/>
      <w:marLeft w:val="0"/>
      <w:marRight w:val="0"/>
      <w:marTop w:val="0"/>
      <w:marBottom w:val="0"/>
      <w:divBdr>
        <w:top w:val="none" w:sz="0" w:space="0" w:color="auto"/>
        <w:left w:val="none" w:sz="0" w:space="0" w:color="auto"/>
        <w:bottom w:val="none" w:sz="0" w:space="0" w:color="auto"/>
        <w:right w:val="none" w:sz="0" w:space="0" w:color="auto"/>
      </w:divBdr>
      <w:divsChild>
        <w:div w:id="265892908">
          <w:marLeft w:val="0"/>
          <w:marRight w:val="0"/>
          <w:marTop w:val="0"/>
          <w:marBottom w:val="0"/>
          <w:divBdr>
            <w:top w:val="none" w:sz="0" w:space="0" w:color="auto"/>
            <w:left w:val="none" w:sz="0" w:space="0" w:color="auto"/>
            <w:bottom w:val="none" w:sz="0" w:space="0" w:color="auto"/>
            <w:right w:val="none" w:sz="0" w:space="0" w:color="auto"/>
          </w:divBdr>
          <w:divsChild>
            <w:div w:id="175341029">
              <w:marLeft w:val="0"/>
              <w:marRight w:val="0"/>
              <w:marTop w:val="0"/>
              <w:marBottom w:val="0"/>
              <w:divBdr>
                <w:top w:val="none" w:sz="0" w:space="0" w:color="auto"/>
                <w:left w:val="none" w:sz="0" w:space="0" w:color="auto"/>
                <w:bottom w:val="none" w:sz="0" w:space="0" w:color="auto"/>
                <w:right w:val="none" w:sz="0" w:space="0" w:color="auto"/>
              </w:divBdr>
              <w:divsChild>
                <w:div w:id="480390483">
                  <w:marLeft w:val="0"/>
                  <w:marRight w:val="0"/>
                  <w:marTop w:val="120"/>
                  <w:marBottom w:val="0"/>
                  <w:divBdr>
                    <w:top w:val="none" w:sz="0" w:space="0" w:color="auto"/>
                    <w:left w:val="none" w:sz="0" w:space="0" w:color="auto"/>
                    <w:bottom w:val="none" w:sz="0" w:space="0" w:color="auto"/>
                    <w:right w:val="none" w:sz="0" w:space="0" w:color="auto"/>
                  </w:divBdr>
                </w:div>
                <w:div w:id="1596748234">
                  <w:marLeft w:val="0"/>
                  <w:marRight w:val="0"/>
                  <w:marTop w:val="0"/>
                  <w:marBottom w:val="0"/>
                  <w:divBdr>
                    <w:top w:val="none" w:sz="0" w:space="0" w:color="auto"/>
                    <w:left w:val="none" w:sz="0" w:space="0" w:color="auto"/>
                    <w:bottom w:val="none" w:sz="0" w:space="0" w:color="auto"/>
                    <w:right w:val="none" w:sz="0" w:space="0" w:color="auto"/>
                  </w:divBdr>
                </w:div>
              </w:divsChild>
            </w:div>
            <w:div w:id="199130668">
              <w:marLeft w:val="0"/>
              <w:marRight w:val="0"/>
              <w:marTop w:val="0"/>
              <w:marBottom w:val="0"/>
              <w:divBdr>
                <w:top w:val="none" w:sz="0" w:space="0" w:color="auto"/>
                <w:left w:val="none" w:sz="0" w:space="0" w:color="auto"/>
                <w:bottom w:val="none" w:sz="0" w:space="0" w:color="auto"/>
                <w:right w:val="none" w:sz="0" w:space="0" w:color="auto"/>
              </w:divBdr>
              <w:divsChild>
                <w:div w:id="1437942111">
                  <w:marLeft w:val="0"/>
                  <w:marRight w:val="0"/>
                  <w:marTop w:val="120"/>
                  <w:marBottom w:val="0"/>
                  <w:divBdr>
                    <w:top w:val="none" w:sz="0" w:space="0" w:color="auto"/>
                    <w:left w:val="none" w:sz="0" w:space="0" w:color="auto"/>
                    <w:bottom w:val="none" w:sz="0" w:space="0" w:color="auto"/>
                    <w:right w:val="none" w:sz="0" w:space="0" w:color="auto"/>
                  </w:divBdr>
                </w:div>
                <w:div w:id="1914117102">
                  <w:marLeft w:val="0"/>
                  <w:marRight w:val="0"/>
                  <w:marTop w:val="0"/>
                  <w:marBottom w:val="0"/>
                  <w:divBdr>
                    <w:top w:val="none" w:sz="0" w:space="0" w:color="auto"/>
                    <w:left w:val="none" w:sz="0" w:space="0" w:color="auto"/>
                    <w:bottom w:val="none" w:sz="0" w:space="0" w:color="auto"/>
                    <w:right w:val="none" w:sz="0" w:space="0" w:color="auto"/>
                  </w:divBdr>
                </w:div>
              </w:divsChild>
            </w:div>
            <w:div w:id="1084297517">
              <w:marLeft w:val="0"/>
              <w:marRight w:val="0"/>
              <w:marTop w:val="0"/>
              <w:marBottom w:val="0"/>
              <w:divBdr>
                <w:top w:val="none" w:sz="0" w:space="0" w:color="auto"/>
                <w:left w:val="none" w:sz="0" w:space="0" w:color="auto"/>
                <w:bottom w:val="none" w:sz="0" w:space="0" w:color="auto"/>
                <w:right w:val="none" w:sz="0" w:space="0" w:color="auto"/>
              </w:divBdr>
              <w:divsChild>
                <w:div w:id="318340224">
                  <w:marLeft w:val="0"/>
                  <w:marRight w:val="0"/>
                  <w:marTop w:val="120"/>
                  <w:marBottom w:val="0"/>
                  <w:divBdr>
                    <w:top w:val="none" w:sz="0" w:space="0" w:color="auto"/>
                    <w:left w:val="none" w:sz="0" w:space="0" w:color="auto"/>
                    <w:bottom w:val="none" w:sz="0" w:space="0" w:color="auto"/>
                    <w:right w:val="none" w:sz="0" w:space="0" w:color="auto"/>
                  </w:divBdr>
                </w:div>
                <w:div w:id="1961953649">
                  <w:marLeft w:val="0"/>
                  <w:marRight w:val="0"/>
                  <w:marTop w:val="0"/>
                  <w:marBottom w:val="0"/>
                  <w:divBdr>
                    <w:top w:val="none" w:sz="0" w:space="0" w:color="auto"/>
                    <w:left w:val="none" w:sz="0" w:space="0" w:color="auto"/>
                    <w:bottom w:val="none" w:sz="0" w:space="0" w:color="auto"/>
                    <w:right w:val="none" w:sz="0" w:space="0" w:color="auto"/>
                  </w:divBdr>
                </w:div>
              </w:divsChild>
            </w:div>
            <w:div w:id="1622567794">
              <w:marLeft w:val="0"/>
              <w:marRight w:val="0"/>
              <w:marTop w:val="0"/>
              <w:marBottom w:val="0"/>
              <w:divBdr>
                <w:top w:val="none" w:sz="0" w:space="0" w:color="auto"/>
                <w:left w:val="none" w:sz="0" w:space="0" w:color="auto"/>
                <w:bottom w:val="none" w:sz="0" w:space="0" w:color="auto"/>
                <w:right w:val="none" w:sz="0" w:space="0" w:color="auto"/>
              </w:divBdr>
              <w:divsChild>
                <w:div w:id="807354578">
                  <w:marLeft w:val="0"/>
                  <w:marRight w:val="0"/>
                  <w:marTop w:val="120"/>
                  <w:marBottom w:val="0"/>
                  <w:divBdr>
                    <w:top w:val="none" w:sz="0" w:space="0" w:color="auto"/>
                    <w:left w:val="none" w:sz="0" w:space="0" w:color="auto"/>
                    <w:bottom w:val="none" w:sz="0" w:space="0" w:color="auto"/>
                    <w:right w:val="none" w:sz="0" w:space="0" w:color="auto"/>
                  </w:divBdr>
                </w:div>
                <w:div w:id="1182937030">
                  <w:marLeft w:val="0"/>
                  <w:marRight w:val="0"/>
                  <w:marTop w:val="0"/>
                  <w:marBottom w:val="0"/>
                  <w:divBdr>
                    <w:top w:val="none" w:sz="0" w:space="0" w:color="auto"/>
                    <w:left w:val="none" w:sz="0" w:space="0" w:color="auto"/>
                    <w:bottom w:val="none" w:sz="0" w:space="0" w:color="auto"/>
                    <w:right w:val="none" w:sz="0" w:space="0" w:color="auto"/>
                  </w:divBdr>
                </w:div>
              </w:divsChild>
            </w:div>
            <w:div w:id="1627352189">
              <w:marLeft w:val="0"/>
              <w:marRight w:val="0"/>
              <w:marTop w:val="0"/>
              <w:marBottom w:val="0"/>
              <w:divBdr>
                <w:top w:val="none" w:sz="0" w:space="0" w:color="auto"/>
                <w:left w:val="none" w:sz="0" w:space="0" w:color="auto"/>
                <w:bottom w:val="none" w:sz="0" w:space="0" w:color="auto"/>
                <w:right w:val="none" w:sz="0" w:space="0" w:color="auto"/>
              </w:divBdr>
              <w:divsChild>
                <w:div w:id="242497853">
                  <w:marLeft w:val="0"/>
                  <w:marRight w:val="0"/>
                  <w:marTop w:val="0"/>
                  <w:marBottom w:val="0"/>
                  <w:divBdr>
                    <w:top w:val="none" w:sz="0" w:space="0" w:color="auto"/>
                    <w:left w:val="none" w:sz="0" w:space="0" w:color="auto"/>
                    <w:bottom w:val="none" w:sz="0" w:space="0" w:color="auto"/>
                    <w:right w:val="none" w:sz="0" w:space="0" w:color="auto"/>
                  </w:divBdr>
                </w:div>
                <w:div w:id="1553619684">
                  <w:marLeft w:val="0"/>
                  <w:marRight w:val="0"/>
                  <w:marTop w:val="120"/>
                  <w:marBottom w:val="0"/>
                  <w:divBdr>
                    <w:top w:val="none" w:sz="0" w:space="0" w:color="auto"/>
                    <w:left w:val="none" w:sz="0" w:space="0" w:color="auto"/>
                    <w:bottom w:val="none" w:sz="0" w:space="0" w:color="auto"/>
                    <w:right w:val="none" w:sz="0" w:space="0" w:color="auto"/>
                  </w:divBdr>
                </w:div>
              </w:divsChild>
            </w:div>
            <w:div w:id="1659727863">
              <w:marLeft w:val="0"/>
              <w:marRight w:val="0"/>
              <w:marTop w:val="0"/>
              <w:marBottom w:val="0"/>
              <w:divBdr>
                <w:top w:val="none" w:sz="0" w:space="0" w:color="auto"/>
                <w:left w:val="none" w:sz="0" w:space="0" w:color="auto"/>
                <w:bottom w:val="none" w:sz="0" w:space="0" w:color="auto"/>
                <w:right w:val="none" w:sz="0" w:space="0" w:color="auto"/>
              </w:divBdr>
              <w:divsChild>
                <w:div w:id="413743233">
                  <w:marLeft w:val="0"/>
                  <w:marRight w:val="0"/>
                  <w:marTop w:val="120"/>
                  <w:marBottom w:val="0"/>
                  <w:divBdr>
                    <w:top w:val="none" w:sz="0" w:space="0" w:color="auto"/>
                    <w:left w:val="none" w:sz="0" w:space="0" w:color="auto"/>
                    <w:bottom w:val="none" w:sz="0" w:space="0" w:color="auto"/>
                    <w:right w:val="none" w:sz="0" w:space="0" w:color="auto"/>
                  </w:divBdr>
                </w:div>
                <w:div w:id="1137408872">
                  <w:marLeft w:val="0"/>
                  <w:marRight w:val="0"/>
                  <w:marTop w:val="0"/>
                  <w:marBottom w:val="0"/>
                  <w:divBdr>
                    <w:top w:val="none" w:sz="0" w:space="0" w:color="auto"/>
                    <w:left w:val="none" w:sz="0" w:space="0" w:color="auto"/>
                    <w:bottom w:val="none" w:sz="0" w:space="0" w:color="auto"/>
                    <w:right w:val="none" w:sz="0" w:space="0" w:color="auto"/>
                  </w:divBdr>
                </w:div>
              </w:divsChild>
            </w:div>
            <w:div w:id="1939017481">
              <w:marLeft w:val="0"/>
              <w:marRight w:val="0"/>
              <w:marTop w:val="0"/>
              <w:marBottom w:val="0"/>
              <w:divBdr>
                <w:top w:val="none" w:sz="0" w:space="0" w:color="auto"/>
                <w:left w:val="none" w:sz="0" w:space="0" w:color="auto"/>
                <w:bottom w:val="none" w:sz="0" w:space="0" w:color="auto"/>
                <w:right w:val="none" w:sz="0" w:space="0" w:color="auto"/>
              </w:divBdr>
              <w:divsChild>
                <w:div w:id="76484974">
                  <w:marLeft w:val="0"/>
                  <w:marRight w:val="0"/>
                  <w:marTop w:val="120"/>
                  <w:marBottom w:val="0"/>
                  <w:divBdr>
                    <w:top w:val="none" w:sz="0" w:space="0" w:color="auto"/>
                    <w:left w:val="none" w:sz="0" w:space="0" w:color="auto"/>
                    <w:bottom w:val="none" w:sz="0" w:space="0" w:color="auto"/>
                    <w:right w:val="none" w:sz="0" w:space="0" w:color="auto"/>
                  </w:divBdr>
                </w:div>
                <w:div w:id="1068648086">
                  <w:marLeft w:val="0"/>
                  <w:marRight w:val="0"/>
                  <w:marTop w:val="0"/>
                  <w:marBottom w:val="0"/>
                  <w:divBdr>
                    <w:top w:val="none" w:sz="0" w:space="0" w:color="auto"/>
                    <w:left w:val="none" w:sz="0" w:space="0" w:color="auto"/>
                    <w:bottom w:val="none" w:sz="0" w:space="0" w:color="auto"/>
                    <w:right w:val="none" w:sz="0" w:space="0" w:color="auto"/>
                  </w:divBdr>
                </w:div>
              </w:divsChild>
            </w:div>
            <w:div w:id="2112165880">
              <w:marLeft w:val="0"/>
              <w:marRight w:val="0"/>
              <w:marTop w:val="0"/>
              <w:marBottom w:val="0"/>
              <w:divBdr>
                <w:top w:val="none" w:sz="0" w:space="0" w:color="auto"/>
                <w:left w:val="none" w:sz="0" w:space="0" w:color="auto"/>
                <w:bottom w:val="none" w:sz="0" w:space="0" w:color="auto"/>
                <w:right w:val="none" w:sz="0" w:space="0" w:color="auto"/>
              </w:divBdr>
              <w:divsChild>
                <w:div w:id="318121603">
                  <w:marLeft w:val="0"/>
                  <w:marRight w:val="0"/>
                  <w:marTop w:val="0"/>
                  <w:marBottom w:val="0"/>
                  <w:divBdr>
                    <w:top w:val="none" w:sz="0" w:space="0" w:color="auto"/>
                    <w:left w:val="none" w:sz="0" w:space="0" w:color="auto"/>
                    <w:bottom w:val="none" w:sz="0" w:space="0" w:color="auto"/>
                    <w:right w:val="none" w:sz="0" w:space="0" w:color="auto"/>
                  </w:divBdr>
                </w:div>
                <w:div w:id="385490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0456034">
      <w:bodyDiv w:val="1"/>
      <w:marLeft w:val="0"/>
      <w:marRight w:val="0"/>
      <w:marTop w:val="0"/>
      <w:marBottom w:val="0"/>
      <w:divBdr>
        <w:top w:val="none" w:sz="0" w:space="0" w:color="auto"/>
        <w:left w:val="none" w:sz="0" w:space="0" w:color="auto"/>
        <w:bottom w:val="none" w:sz="0" w:space="0" w:color="auto"/>
        <w:right w:val="none" w:sz="0" w:space="0" w:color="auto"/>
      </w:divBdr>
      <w:divsChild>
        <w:div w:id="340472827">
          <w:marLeft w:val="0"/>
          <w:marRight w:val="0"/>
          <w:marTop w:val="0"/>
          <w:marBottom w:val="0"/>
          <w:divBdr>
            <w:top w:val="none" w:sz="0" w:space="0" w:color="auto"/>
            <w:left w:val="none" w:sz="0" w:space="0" w:color="auto"/>
            <w:bottom w:val="none" w:sz="0" w:space="0" w:color="auto"/>
            <w:right w:val="none" w:sz="0" w:space="0" w:color="auto"/>
          </w:divBdr>
          <w:divsChild>
            <w:div w:id="7607728">
              <w:marLeft w:val="0"/>
              <w:marRight w:val="0"/>
              <w:marTop w:val="0"/>
              <w:marBottom w:val="0"/>
              <w:divBdr>
                <w:top w:val="none" w:sz="0" w:space="0" w:color="auto"/>
                <w:left w:val="none" w:sz="0" w:space="0" w:color="auto"/>
                <w:bottom w:val="none" w:sz="0" w:space="0" w:color="auto"/>
                <w:right w:val="none" w:sz="0" w:space="0" w:color="auto"/>
              </w:divBdr>
            </w:div>
            <w:div w:id="1598366549">
              <w:marLeft w:val="0"/>
              <w:marRight w:val="0"/>
              <w:marTop w:val="120"/>
              <w:marBottom w:val="0"/>
              <w:divBdr>
                <w:top w:val="none" w:sz="0" w:space="0" w:color="auto"/>
                <w:left w:val="none" w:sz="0" w:space="0" w:color="auto"/>
                <w:bottom w:val="none" w:sz="0" w:space="0" w:color="auto"/>
                <w:right w:val="none" w:sz="0" w:space="0" w:color="auto"/>
              </w:divBdr>
            </w:div>
          </w:divsChild>
        </w:div>
        <w:div w:id="503319131">
          <w:marLeft w:val="0"/>
          <w:marRight w:val="0"/>
          <w:marTop w:val="0"/>
          <w:marBottom w:val="0"/>
          <w:divBdr>
            <w:top w:val="none" w:sz="0" w:space="0" w:color="auto"/>
            <w:left w:val="none" w:sz="0" w:space="0" w:color="auto"/>
            <w:bottom w:val="none" w:sz="0" w:space="0" w:color="auto"/>
            <w:right w:val="none" w:sz="0" w:space="0" w:color="auto"/>
          </w:divBdr>
          <w:divsChild>
            <w:div w:id="297076881">
              <w:marLeft w:val="0"/>
              <w:marRight w:val="0"/>
              <w:marTop w:val="0"/>
              <w:marBottom w:val="0"/>
              <w:divBdr>
                <w:top w:val="none" w:sz="0" w:space="0" w:color="auto"/>
                <w:left w:val="none" w:sz="0" w:space="0" w:color="auto"/>
                <w:bottom w:val="none" w:sz="0" w:space="0" w:color="auto"/>
                <w:right w:val="none" w:sz="0" w:space="0" w:color="auto"/>
              </w:divBdr>
            </w:div>
            <w:div w:id="692077313">
              <w:marLeft w:val="0"/>
              <w:marRight w:val="0"/>
              <w:marTop w:val="120"/>
              <w:marBottom w:val="0"/>
              <w:divBdr>
                <w:top w:val="none" w:sz="0" w:space="0" w:color="auto"/>
                <w:left w:val="none" w:sz="0" w:space="0" w:color="auto"/>
                <w:bottom w:val="none" w:sz="0" w:space="0" w:color="auto"/>
                <w:right w:val="none" w:sz="0" w:space="0" w:color="auto"/>
              </w:divBdr>
            </w:div>
          </w:divsChild>
        </w:div>
        <w:div w:id="1280722523">
          <w:marLeft w:val="0"/>
          <w:marRight w:val="0"/>
          <w:marTop w:val="0"/>
          <w:marBottom w:val="0"/>
          <w:divBdr>
            <w:top w:val="none" w:sz="0" w:space="0" w:color="auto"/>
            <w:left w:val="none" w:sz="0" w:space="0" w:color="auto"/>
            <w:bottom w:val="none" w:sz="0" w:space="0" w:color="auto"/>
            <w:right w:val="none" w:sz="0" w:space="0" w:color="auto"/>
          </w:divBdr>
          <w:divsChild>
            <w:div w:id="17122515">
              <w:marLeft w:val="0"/>
              <w:marRight w:val="0"/>
              <w:marTop w:val="120"/>
              <w:marBottom w:val="0"/>
              <w:divBdr>
                <w:top w:val="none" w:sz="0" w:space="0" w:color="auto"/>
                <w:left w:val="none" w:sz="0" w:space="0" w:color="auto"/>
                <w:bottom w:val="none" w:sz="0" w:space="0" w:color="auto"/>
                <w:right w:val="none" w:sz="0" w:space="0" w:color="auto"/>
              </w:divBdr>
            </w:div>
            <w:div w:id="2042626974">
              <w:marLeft w:val="0"/>
              <w:marRight w:val="0"/>
              <w:marTop w:val="0"/>
              <w:marBottom w:val="0"/>
              <w:divBdr>
                <w:top w:val="none" w:sz="0" w:space="0" w:color="auto"/>
                <w:left w:val="none" w:sz="0" w:space="0" w:color="auto"/>
                <w:bottom w:val="none" w:sz="0" w:space="0" w:color="auto"/>
                <w:right w:val="none" w:sz="0" w:space="0" w:color="auto"/>
              </w:divBdr>
            </w:div>
          </w:divsChild>
        </w:div>
        <w:div w:id="1445535519">
          <w:marLeft w:val="0"/>
          <w:marRight w:val="0"/>
          <w:marTop w:val="0"/>
          <w:marBottom w:val="0"/>
          <w:divBdr>
            <w:top w:val="none" w:sz="0" w:space="0" w:color="auto"/>
            <w:left w:val="none" w:sz="0" w:space="0" w:color="auto"/>
            <w:bottom w:val="none" w:sz="0" w:space="0" w:color="auto"/>
            <w:right w:val="none" w:sz="0" w:space="0" w:color="auto"/>
          </w:divBdr>
          <w:divsChild>
            <w:div w:id="442072502">
              <w:marLeft w:val="0"/>
              <w:marRight w:val="0"/>
              <w:marTop w:val="0"/>
              <w:marBottom w:val="0"/>
              <w:divBdr>
                <w:top w:val="none" w:sz="0" w:space="0" w:color="auto"/>
                <w:left w:val="none" w:sz="0" w:space="0" w:color="auto"/>
                <w:bottom w:val="none" w:sz="0" w:space="0" w:color="auto"/>
                <w:right w:val="none" w:sz="0" w:space="0" w:color="auto"/>
              </w:divBdr>
            </w:div>
          </w:divsChild>
        </w:div>
        <w:div w:id="1446776160">
          <w:marLeft w:val="0"/>
          <w:marRight w:val="0"/>
          <w:marTop w:val="0"/>
          <w:marBottom w:val="0"/>
          <w:divBdr>
            <w:top w:val="none" w:sz="0" w:space="0" w:color="auto"/>
            <w:left w:val="none" w:sz="0" w:space="0" w:color="auto"/>
            <w:bottom w:val="none" w:sz="0" w:space="0" w:color="auto"/>
            <w:right w:val="none" w:sz="0" w:space="0" w:color="auto"/>
          </w:divBdr>
          <w:divsChild>
            <w:div w:id="1551574628">
              <w:marLeft w:val="0"/>
              <w:marRight w:val="0"/>
              <w:marTop w:val="0"/>
              <w:marBottom w:val="0"/>
              <w:divBdr>
                <w:top w:val="none" w:sz="0" w:space="0" w:color="auto"/>
                <w:left w:val="none" w:sz="0" w:space="0" w:color="auto"/>
                <w:bottom w:val="none" w:sz="0" w:space="0" w:color="auto"/>
                <w:right w:val="none" w:sz="0" w:space="0" w:color="auto"/>
              </w:divBdr>
            </w:div>
          </w:divsChild>
        </w:div>
        <w:div w:id="1799033151">
          <w:marLeft w:val="0"/>
          <w:marRight w:val="0"/>
          <w:marTop w:val="0"/>
          <w:marBottom w:val="0"/>
          <w:divBdr>
            <w:top w:val="none" w:sz="0" w:space="0" w:color="auto"/>
            <w:left w:val="none" w:sz="0" w:space="0" w:color="auto"/>
            <w:bottom w:val="none" w:sz="0" w:space="0" w:color="auto"/>
            <w:right w:val="none" w:sz="0" w:space="0" w:color="auto"/>
          </w:divBdr>
          <w:divsChild>
            <w:div w:id="1255894523">
              <w:marLeft w:val="0"/>
              <w:marRight w:val="0"/>
              <w:marTop w:val="0"/>
              <w:marBottom w:val="0"/>
              <w:divBdr>
                <w:top w:val="none" w:sz="0" w:space="0" w:color="auto"/>
                <w:left w:val="none" w:sz="0" w:space="0" w:color="auto"/>
                <w:bottom w:val="none" w:sz="0" w:space="0" w:color="auto"/>
                <w:right w:val="none" w:sz="0" w:space="0" w:color="auto"/>
              </w:divBdr>
            </w:div>
          </w:divsChild>
        </w:div>
        <w:div w:id="1834448024">
          <w:marLeft w:val="0"/>
          <w:marRight w:val="0"/>
          <w:marTop w:val="0"/>
          <w:marBottom w:val="0"/>
          <w:divBdr>
            <w:top w:val="none" w:sz="0" w:space="0" w:color="auto"/>
            <w:left w:val="none" w:sz="0" w:space="0" w:color="auto"/>
            <w:bottom w:val="none" w:sz="0" w:space="0" w:color="auto"/>
            <w:right w:val="none" w:sz="0" w:space="0" w:color="auto"/>
          </w:divBdr>
          <w:divsChild>
            <w:div w:id="9816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7403">
      <w:bodyDiv w:val="1"/>
      <w:marLeft w:val="0"/>
      <w:marRight w:val="0"/>
      <w:marTop w:val="0"/>
      <w:marBottom w:val="0"/>
      <w:divBdr>
        <w:top w:val="none" w:sz="0" w:space="0" w:color="auto"/>
        <w:left w:val="none" w:sz="0" w:space="0" w:color="auto"/>
        <w:bottom w:val="none" w:sz="0" w:space="0" w:color="auto"/>
        <w:right w:val="none" w:sz="0" w:space="0" w:color="auto"/>
      </w:divBdr>
      <w:divsChild>
        <w:div w:id="1209491036">
          <w:marLeft w:val="0"/>
          <w:marRight w:val="0"/>
          <w:marTop w:val="0"/>
          <w:marBottom w:val="0"/>
          <w:divBdr>
            <w:top w:val="none" w:sz="0" w:space="0" w:color="auto"/>
            <w:left w:val="none" w:sz="0" w:space="0" w:color="auto"/>
            <w:bottom w:val="none" w:sz="0" w:space="0" w:color="auto"/>
            <w:right w:val="none" w:sz="0" w:space="0" w:color="auto"/>
          </w:divBdr>
          <w:divsChild>
            <w:div w:id="152912896">
              <w:marLeft w:val="0"/>
              <w:marRight w:val="0"/>
              <w:marTop w:val="0"/>
              <w:marBottom w:val="0"/>
              <w:divBdr>
                <w:top w:val="none" w:sz="0" w:space="0" w:color="auto"/>
                <w:left w:val="none" w:sz="0" w:space="0" w:color="auto"/>
                <w:bottom w:val="none" w:sz="0" w:space="0" w:color="auto"/>
                <w:right w:val="none" w:sz="0" w:space="0" w:color="auto"/>
              </w:divBdr>
              <w:divsChild>
                <w:div w:id="1578398608">
                  <w:marLeft w:val="0"/>
                  <w:marRight w:val="0"/>
                  <w:marTop w:val="0"/>
                  <w:marBottom w:val="0"/>
                  <w:divBdr>
                    <w:top w:val="none" w:sz="0" w:space="0" w:color="auto"/>
                    <w:left w:val="none" w:sz="0" w:space="0" w:color="auto"/>
                    <w:bottom w:val="none" w:sz="0" w:space="0" w:color="auto"/>
                    <w:right w:val="none" w:sz="0" w:space="0" w:color="auto"/>
                  </w:divBdr>
                  <w:divsChild>
                    <w:div w:id="1094595282">
                      <w:marLeft w:val="0"/>
                      <w:marRight w:val="0"/>
                      <w:marTop w:val="120"/>
                      <w:marBottom w:val="0"/>
                      <w:divBdr>
                        <w:top w:val="none" w:sz="0" w:space="0" w:color="auto"/>
                        <w:left w:val="none" w:sz="0" w:space="0" w:color="auto"/>
                        <w:bottom w:val="none" w:sz="0" w:space="0" w:color="auto"/>
                        <w:right w:val="none" w:sz="0" w:space="0" w:color="auto"/>
                      </w:divBdr>
                    </w:div>
                    <w:div w:id="1595437713">
                      <w:marLeft w:val="0"/>
                      <w:marRight w:val="0"/>
                      <w:marTop w:val="0"/>
                      <w:marBottom w:val="0"/>
                      <w:divBdr>
                        <w:top w:val="none" w:sz="0" w:space="0" w:color="auto"/>
                        <w:left w:val="none" w:sz="0" w:space="0" w:color="auto"/>
                        <w:bottom w:val="none" w:sz="0" w:space="0" w:color="auto"/>
                        <w:right w:val="none" w:sz="0" w:space="0" w:color="auto"/>
                      </w:divBdr>
                      <w:divsChild>
                        <w:div w:id="1535192425">
                          <w:marLeft w:val="0"/>
                          <w:marRight w:val="0"/>
                          <w:marTop w:val="0"/>
                          <w:marBottom w:val="0"/>
                          <w:divBdr>
                            <w:top w:val="none" w:sz="0" w:space="0" w:color="auto"/>
                            <w:left w:val="none" w:sz="0" w:space="0" w:color="auto"/>
                            <w:bottom w:val="none" w:sz="0" w:space="0" w:color="auto"/>
                            <w:right w:val="none" w:sz="0" w:space="0" w:color="auto"/>
                          </w:divBdr>
                          <w:divsChild>
                            <w:div w:id="54088425">
                              <w:marLeft w:val="0"/>
                              <w:marRight w:val="0"/>
                              <w:marTop w:val="0"/>
                              <w:marBottom w:val="0"/>
                              <w:divBdr>
                                <w:top w:val="none" w:sz="0" w:space="0" w:color="auto"/>
                                <w:left w:val="none" w:sz="0" w:space="0" w:color="auto"/>
                                <w:bottom w:val="none" w:sz="0" w:space="0" w:color="auto"/>
                                <w:right w:val="none" w:sz="0" w:space="0" w:color="auto"/>
                              </w:divBdr>
                            </w:div>
                            <w:div w:id="623148691">
                              <w:marLeft w:val="0"/>
                              <w:marRight w:val="0"/>
                              <w:marTop w:val="120"/>
                              <w:marBottom w:val="0"/>
                              <w:divBdr>
                                <w:top w:val="none" w:sz="0" w:space="0" w:color="auto"/>
                                <w:left w:val="none" w:sz="0" w:space="0" w:color="auto"/>
                                <w:bottom w:val="none" w:sz="0" w:space="0" w:color="auto"/>
                                <w:right w:val="none" w:sz="0" w:space="0" w:color="auto"/>
                              </w:divBdr>
                            </w:div>
                          </w:divsChild>
                        </w:div>
                        <w:div w:id="1785004386">
                          <w:marLeft w:val="0"/>
                          <w:marRight w:val="0"/>
                          <w:marTop w:val="0"/>
                          <w:marBottom w:val="0"/>
                          <w:divBdr>
                            <w:top w:val="none" w:sz="0" w:space="0" w:color="auto"/>
                            <w:left w:val="none" w:sz="0" w:space="0" w:color="auto"/>
                            <w:bottom w:val="none" w:sz="0" w:space="0" w:color="auto"/>
                            <w:right w:val="none" w:sz="0" w:space="0" w:color="auto"/>
                          </w:divBdr>
                          <w:divsChild>
                            <w:div w:id="1018851755">
                              <w:marLeft w:val="0"/>
                              <w:marRight w:val="0"/>
                              <w:marTop w:val="120"/>
                              <w:marBottom w:val="0"/>
                              <w:divBdr>
                                <w:top w:val="none" w:sz="0" w:space="0" w:color="auto"/>
                                <w:left w:val="none" w:sz="0" w:space="0" w:color="auto"/>
                                <w:bottom w:val="none" w:sz="0" w:space="0" w:color="auto"/>
                                <w:right w:val="none" w:sz="0" w:space="0" w:color="auto"/>
                              </w:divBdr>
                            </w:div>
                            <w:div w:id="1553422061">
                              <w:marLeft w:val="0"/>
                              <w:marRight w:val="0"/>
                              <w:marTop w:val="0"/>
                              <w:marBottom w:val="0"/>
                              <w:divBdr>
                                <w:top w:val="none" w:sz="0" w:space="0" w:color="auto"/>
                                <w:left w:val="none" w:sz="0" w:space="0" w:color="auto"/>
                                <w:bottom w:val="none" w:sz="0" w:space="0" w:color="auto"/>
                                <w:right w:val="none" w:sz="0" w:space="0" w:color="auto"/>
                              </w:divBdr>
                            </w:div>
                          </w:divsChild>
                        </w:div>
                        <w:div w:id="2023819520">
                          <w:marLeft w:val="0"/>
                          <w:marRight w:val="0"/>
                          <w:marTop w:val="0"/>
                          <w:marBottom w:val="0"/>
                          <w:divBdr>
                            <w:top w:val="none" w:sz="0" w:space="0" w:color="auto"/>
                            <w:left w:val="none" w:sz="0" w:space="0" w:color="auto"/>
                            <w:bottom w:val="none" w:sz="0" w:space="0" w:color="auto"/>
                            <w:right w:val="none" w:sz="0" w:space="0" w:color="auto"/>
                          </w:divBdr>
                          <w:divsChild>
                            <w:div w:id="681130290">
                              <w:marLeft w:val="0"/>
                              <w:marRight w:val="0"/>
                              <w:marTop w:val="120"/>
                              <w:marBottom w:val="0"/>
                              <w:divBdr>
                                <w:top w:val="none" w:sz="0" w:space="0" w:color="auto"/>
                                <w:left w:val="none" w:sz="0" w:space="0" w:color="auto"/>
                                <w:bottom w:val="none" w:sz="0" w:space="0" w:color="auto"/>
                                <w:right w:val="none" w:sz="0" w:space="0" w:color="auto"/>
                              </w:divBdr>
                            </w:div>
                            <w:div w:id="10540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1694">
                  <w:marLeft w:val="0"/>
                  <w:marRight w:val="0"/>
                  <w:marTop w:val="0"/>
                  <w:marBottom w:val="0"/>
                  <w:divBdr>
                    <w:top w:val="none" w:sz="0" w:space="0" w:color="auto"/>
                    <w:left w:val="none" w:sz="0" w:space="0" w:color="auto"/>
                    <w:bottom w:val="none" w:sz="0" w:space="0" w:color="auto"/>
                    <w:right w:val="none" w:sz="0" w:space="0" w:color="auto"/>
                  </w:divBdr>
                  <w:divsChild>
                    <w:div w:id="1356611858">
                      <w:marLeft w:val="0"/>
                      <w:marRight w:val="0"/>
                      <w:marTop w:val="0"/>
                      <w:marBottom w:val="0"/>
                      <w:divBdr>
                        <w:top w:val="none" w:sz="0" w:space="0" w:color="auto"/>
                        <w:left w:val="none" w:sz="0" w:space="0" w:color="auto"/>
                        <w:bottom w:val="none" w:sz="0" w:space="0" w:color="auto"/>
                        <w:right w:val="none" w:sz="0" w:space="0" w:color="auto"/>
                      </w:divBdr>
                    </w:div>
                    <w:div w:id="2033337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79950520">
      <w:bodyDiv w:val="1"/>
      <w:marLeft w:val="0"/>
      <w:marRight w:val="0"/>
      <w:marTop w:val="0"/>
      <w:marBottom w:val="0"/>
      <w:divBdr>
        <w:top w:val="none" w:sz="0" w:space="0" w:color="auto"/>
        <w:left w:val="none" w:sz="0" w:space="0" w:color="auto"/>
        <w:bottom w:val="none" w:sz="0" w:space="0" w:color="auto"/>
        <w:right w:val="none" w:sz="0" w:space="0" w:color="auto"/>
      </w:divBdr>
      <w:divsChild>
        <w:div w:id="1486161624">
          <w:marLeft w:val="0"/>
          <w:marRight w:val="0"/>
          <w:marTop w:val="0"/>
          <w:marBottom w:val="0"/>
          <w:divBdr>
            <w:top w:val="none" w:sz="0" w:space="0" w:color="auto"/>
            <w:left w:val="none" w:sz="0" w:space="0" w:color="auto"/>
            <w:bottom w:val="none" w:sz="0" w:space="0" w:color="auto"/>
            <w:right w:val="none" w:sz="0" w:space="0" w:color="auto"/>
          </w:divBdr>
          <w:divsChild>
            <w:div w:id="271788546">
              <w:marLeft w:val="0"/>
              <w:marRight w:val="0"/>
              <w:marTop w:val="0"/>
              <w:marBottom w:val="0"/>
              <w:divBdr>
                <w:top w:val="none" w:sz="0" w:space="0" w:color="auto"/>
                <w:left w:val="none" w:sz="0" w:space="0" w:color="auto"/>
                <w:bottom w:val="none" w:sz="0" w:space="0" w:color="auto"/>
                <w:right w:val="none" w:sz="0" w:space="0" w:color="auto"/>
              </w:divBdr>
              <w:divsChild>
                <w:div w:id="676273849">
                  <w:marLeft w:val="0"/>
                  <w:marRight w:val="0"/>
                  <w:marTop w:val="120"/>
                  <w:marBottom w:val="0"/>
                  <w:divBdr>
                    <w:top w:val="none" w:sz="0" w:space="0" w:color="auto"/>
                    <w:left w:val="none" w:sz="0" w:space="0" w:color="auto"/>
                    <w:bottom w:val="none" w:sz="0" w:space="0" w:color="auto"/>
                    <w:right w:val="none" w:sz="0" w:space="0" w:color="auto"/>
                  </w:divBdr>
                </w:div>
                <w:div w:id="879826812">
                  <w:marLeft w:val="0"/>
                  <w:marRight w:val="0"/>
                  <w:marTop w:val="0"/>
                  <w:marBottom w:val="0"/>
                  <w:divBdr>
                    <w:top w:val="none" w:sz="0" w:space="0" w:color="auto"/>
                    <w:left w:val="none" w:sz="0" w:space="0" w:color="auto"/>
                    <w:bottom w:val="none" w:sz="0" w:space="0" w:color="auto"/>
                    <w:right w:val="none" w:sz="0" w:space="0" w:color="auto"/>
                  </w:divBdr>
                </w:div>
              </w:divsChild>
            </w:div>
            <w:div w:id="1124467876">
              <w:marLeft w:val="0"/>
              <w:marRight w:val="0"/>
              <w:marTop w:val="0"/>
              <w:marBottom w:val="0"/>
              <w:divBdr>
                <w:top w:val="none" w:sz="0" w:space="0" w:color="auto"/>
                <w:left w:val="none" w:sz="0" w:space="0" w:color="auto"/>
                <w:bottom w:val="none" w:sz="0" w:space="0" w:color="auto"/>
                <w:right w:val="none" w:sz="0" w:space="0" w:color="auto"/>
              </w:divBdr>
              <w:divsChild>
                <w:div w:id="314070833">
                  <w:marLeft w:val="0"/>
                  <w:marRight w:val="0"/>
                  <w:marTop w:val="120"/>
                  <w:marBottom w:val="0"/>
                  <w:divBdr>
                    <w:top w:val="none" w:sz="0" w:space="0" w:color="auto"/>
                    <w:left w:val="none" w:sz="0" w:space="0" w:color="auto"/>
                    <w:bottom w:val="none" w:sz="0" w:space="0" w:color="auto"/>
                    <w:right w:val="none" w:sz="0" w:space="0" w:color="auto"/>
                  </w:divBdr>
                </w:div>
                <w:div w:id="637880707">
                  <w:marLeft w:val="0"/>
                  <w:marRight w:val="0"/>
                  <w:marTop w:val="0"/>
                  <w:marBottom w:val="0"/>
                  <w:divBdr>
                    <w:top w:val="none" w:sz="0" w:space="0" w:color="auto"/>
                    <w:left w:val="none" w:sz="0" w:space="0" w:color="auto"/>
                    <w:bottom w:val="none" w:sz="0" w:space="0" w:color="auto"/>
                    <w:right w:val="none" w:sz="0" w:space="0" w:color="auto"/>
                  </w:divBdr>
                </w:div>
              </w:divsChild>
            </w:div>
            <w:div w:id="1274825362">
              <w:marLeft w:val="0"/>
              <w:marRight w:val="0"/>
              <w:marTop w:val="0"/>
              <w:marBottom w:val="0"/>
              <w:divBdr>
                <w:top w:val="none" w:sz="0" w:space="0" w:color="auto"/>
                <w:left w:val="none" w:sz="0" w:space="0" w:color="auto"/>
                <w:bottom w:val="none" w:sz="0" w:space="0" w:color="auto"/>
                <w:right w:val="none" w:sz="0" w:space="0" w:color="auto"/>
              </w:divBdr>
              <w:divsChild>
                <w:div w:id="572928544">
                  <w:marLeft w:val="0"/>
                  <w:marRight w:val="0"/>
                  <w:marTop w:val="120"/>
                  <w:marBottom w:val="0"/>
                  <w:divBdr>
                    <w:top w:val="none" w:sz="0" w:space="0" w:color="auto"/>
                    <w:left w:val="none" w:sz="0" w:space="0" w:color="auto"/>
                    <w:bottom w:val="none" w:sz="0" w:space="0" w:color="auto"/>
                    <w:right w:val="none" w:sz="0" w:space="0" w:color="auto"/>
                  </w:divBdr>
                </w:div>
                <w:div w:id="2123643930">
                  <w:marLeft w:val="0"/>
                  <w:marRight w:val="0"/>
                  <w:marTop w:val="0"/>
                  <w:marBottom w:val="0"/>
                  <w:divBdr>
                    <w:top w:val="none" w:sz="0" w:space="0" w:color="auto"/>
                    <w:left w:val="none" w:sz="0" w:space="0" w:color="auto"/>
                    <w:bottom w:val="none" w:sz="0" w:space="0" w:color="auto"/>
                    <w:right w:val="none" w:sz="0" w:space="0" w:color="auto"/>
                  </w:divBdr>
                </w:div>
              </w:divsChild>
            </w:div>
            <w:div w:id="1696613420">
              <w:marLeft w:val="0"/>
              <w:marRight w:val="0"/>
              <w:marTop w:val="0"/>
              <w:marBottom w:val="0"/>
              <w:divBdr>
                <w:top w:val="none" w:sz="0" w:space="0" w:color="auto"/>
                <w:left w:val="none" w:sz="0" w:space="0" w:color="auto"/>
                <w:bottom w:val="none" w:sz="0" w:space="0" w:color="auto"/>
                <w:right w:val="none" w:sz="0" w:space="0" w:color="auto"/>
              </w:divBdr>
              <w:divsChild>
                <w:div w:id="511840273">
                  <w:marLeft w:val="0"/>
                  <w:marRight w:val="0"/>
                  <w:marTop w:val="0"/>
                  <w:marBottom w:val="0"/>
                  <w:divBdr>
                    <w:top w:val="none" w:sz="0" w:space="0" w:color="auto"/>
                    <w:left w:val="none" w:sz="0" w:space="0" w:color="auto"/>
                    <w:bottom w:val="none" w:sz="0" w:space="0" w:color="auto"/>
                    <w:right w:val="none" w:sz="0" w:space="0" w:color="auto"/>
                  </w:divBdr>
                </w:div>
                <w:div w:id="1813865353">
                  <w:marLeft w:val="0"/>
                  <w:marRight w:val="0"/>
                  <w:marTop w:val="120"/>
                  <w:marBottom w:val="0"/>
                  <w:divBdr>
                    <w:top w:val="none" w:sz="0" w:space="0" w:color="auto"/>
                    <w:left w:val="none" w:sz="0" w:space="0" w:color="auto"/>
                    <w:bottom w:val="none" w:sz="0" w:space="0" w:color="auto"/>
                    <w:right w:val="none" w:sz="0" w:space="0" w:color="auto"/>
                  </w:divBdr>
                </w:div>
              </w:divsChild>
            </w:div>
            <w:div w:id="1891920503">
              <w:marLeft w:val="0"/>
              <w:marRight w:val="0"/>
              <w:marTop w:val="0"/>
              <w:marBottom w:val="0"/>
              <w:divBdr>
                <w:top w:val="none" w:sz="0" w:space="0" w:color="auto"/>
                <w:left w:val="none" w:sz="0" w:space="0" w:color="auto"/>
                <w:bottom w:val="none" w:sz="0" w:space="0" w:color="auto"/>
                <w:right w:val="none" w:sz="0" w:space="0" w:color="auto"/>
              </w:divBdr>
              <w:divsChild>
                <w:div w:id="1399129565">
                  <w:marLeft w:val="0"/>
                  <w:marRight w:val="0"/>
                  <w:marTop w:val="0"/>
                  <w:marBottom w:val="0"/>
                  <w:divBdr>
                    <w:top w:val="none" w:sz="0" w:space="0" w:color="auto"/>
                    <w:left w:val="none" w:sz="0" w:space="0" w:color="auto"/>
                    <w:bottom w:val="none" w:sz="0" w:space="0" w:color="auto"/>
                    <w:right w:val="none" w:sz="0" w:space="0" w:color="auto"/>
                  </w:divBdr>
                </w:div>
                <w:div w:id="17039378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6354640">
      <w:bodyDiv w:val="1"/>
      <w:marLeft w:val="0"/>
      <w:marRight w:val="0"/>
      <w:marTop w:val="0"/>
      <w:marBottom w:val="0"/>
      <w:divBdr>
        <w:top w:val="none" w:sz="0" w:space="0" w:color="auto"/>
        <w:left w:val="none" w:sz="0" w:space="0" w:color="auto"/>
        <w:bottom w:val="none" w:sz="0" w:space="0" w:color="auto"/>
        <w:right w:val="none" w:sz="0" w:space="0" w:color="auto"/>
      </w:divBdr>
      <w:divsChild>
        <w:div w:id="85349319">
          <w:marLeft w:val="0"/>
          <w:marRight w:val="0"/>
          <w:marTop w:val="0"/>
          <w:marBottom w:val="0"/>
          <w:divBdr>
            <w:top w:val="none" w:sz="0" w:space="0" w:color="auto"/>
            <w:left w:val="none" w:sz="0" w:space="0" w:color="auto"/>
            <w:bottom w:val="none" w:sz="0" w:space="0" w:color="auto"/>
            <w:right w:val="none" w:sz="0" w:space="0" w:color="auto"/>
          </w:divBdr>
        </w:div>
      </w:divsChild>
    </w:div>
    <w:div w:id="588078712">
      <w:bodyDiv w:val="1"/>
      <w:marLeft w:val="0"/>
      <w:marRight w:val="0"/>
      <w:marTop w:val="0"/>
      <w:marBottom w:val="0"/>
      <w:divBdr>
        <w:top w:val="none" w:sz="0" w:space="0" w:color="auto"/>
        <w:left w:val="none" w:sz="0" w:space="0" w:color="auto"/>
        <w:bottom w:val="none" w:sz="0" w:space="0" w:color="auto"/>
        <w:right w:val="none" w:sz="0" w:space="0" w:color="auto"/>
      </w:divBdr>
      <w:divsChild>
        <w:div w:id="44571668">
          <w:marLeft w:val="0"/>
          <w:marRight w:val="0"/>
          <w:marTop w:val="120"/>
          <w:marBottom w:val="0"/>
          <w:divBdr>
            <w:top w:val="none" w:sz="0" w:space="0" w:color="auto"/>
            <w:left w:val="none" w:sz="0" w:space="0" w:color="auto"/>
            <w:bottom w:val="none" w:sz="0" w:space="0" w:color="auto"/>
            <w:right w:val="none" w:sz="0" w:space="0" w:color="auto"/>
          </w:divBdr>
        </w:div>
        <w:div w:id="907149930">
          <w:marLeft w:val="0"/>
          <w:marRight w:val="0"/>
          <w:marTop w:val="0"/>
          <w:marBottom w:val="0"/>
          <w:divBdr>
            <w:top w:val="none" w:sz="0" w:space="0" w:color="auto"/>
            <w:left w:val="none" w:sz="0" w:space="0" w:color="auto"/>
            <w:bottom w:val="none" w:sz="0" w:space="0" w:color="auto"/>
            <w:right w:val="none" w:sz="0" w:space="0" w:color="auto"/>
          </w:divBdr>
        </w:div>
      </w:divsChild>
    </w:div>
    <w:div w:id="591738418">
      <w:bodyDiv w:val="1"/>
      <w:marLeft w:val="0"/>
      <w:marRight w:val="0"/>
      <w:marTop w:val="0"/>
      <w:marBottom w:val="0"/>
      <w:divBdr>
        <w:top w:val="none" w:sz="0" w:space="0" w:color="auto"/>
        <w:left w:val="none" w:sz="0" w:space="0" w:color="auto"/>
        <w:bottom w:val="none" w:sz="0" w:space="0" w:color="auto"/>
        <w:right w:val="none" w:sz="0" w:space="0" w:color="auto"/>
      </w:divBdr>
      <w:divsChild>
        <w:div w:id="798108486">
          <w:marLeft w:val="0"/>
          <w:marRight w:val="0"/>
          <w:marTop w:val="0"/>
          <w:marBottom w:val="0"/>
          <w:divBdr>
            <w:top w:val="none" w:sz="0" w:space="0" w:color="auto"/>
            <w:left w:val="none" w:sz="0" w:space="0" w:color="auto"/>
            <w:bottom w:val="none" w:sz="0" w:space="0" w:color="auto"/>
            <w:right w:val="none" w:sz="0" w:space="0" w:color="auto"/>
          </w:divBdr>
          <w:divsChild>
            <w:div w:id="19179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5569">
      <w:bodyDiv w:val="1"/>
      <w:marLeft w:val="0"/>
      <w:marRight w:val="0"/>
      <w:marTop w:val="0"/>
      <w:marBottom w:val="0"/>
      <w:divBdr>
        <w:top w:val="none" w:sz="0" w:space="0" w:color="auto"/>
        <w:left w:val="none" w:sz="0" w:space="0" w:color="auto"/>
        <w:bottom w:val="none" w:sz="0" w:space="0" w:color="auto"/>
        <w:right w:val="none" w:sz="0" w:space="0" w:color="auto"/>
      </w:divBdr>
      <w:divsChild>
        <w:div w:id="1560090420">
          <w:marLeft w:val="0"/>
          <w:marRight w:val="0"/>
          <w:marTop w:val="0"/>
          <w:marBottom w:val="0"/>
          <w:divBdr>
            <w:top w:val="none" w:sz="0" w:space="0" w:color="auto"/>
            <w:left w:val="none" w:sz="0" w:space="0" w:color="auto"/>
            <w:bottom w:val="none" w:sz="0" w:space="0" w:color="auto"/>
            <w:right w:val="none" w:sz="0" w:space="0" w:color="auto"/>
          </w:divBdr>
        </w:div>
      </w:divsChild>
    </w:div>
    <w:div w:id="602539156">
      <w:bodyDiv w:val="1"/>
      <w:marLeft w:val="0"/>
      <w:marRight w:val="0"/>
      <w:marTop w:val="0"/>
      <w:marBottom w:val="0"/>
      <w:divBdr>
        <w:top w:val="none" w:sz="0" w:space="0" w:color="auto"/>
        <w:left w:val="none" w:sz="0" w:space="0" w:color="auto"/>
        <w:bottom w:val="none" w:sz="0" w:space="0" w:color="auto"/>
        <w:right w:val="none" w:sz="0" w:space="0" w:color="auto"/>
      </w:divBdr>
      <w:divsChild>
        <w:div w:id="773405064">
          <w:marLeft w:val="0"/>
          <w:marRight w:val="0"/>
          <w:marTop w:val="0"/>
          <w:marBottom w:val="0"/>
          <w:divBdr>
            <w:top w:val="none" w:sz="0" w:space="0" w:color="auto"/>
            <w:left w:val="none" w:sz="0" w:space="0" w:color="auto"/>
            <w:bottom w:val="none" w:sz="0" w:space="0" w:color="auto"/>
            <w:right w:val="none" w:sz="0" w:space="0" w:color="auto"/>
          </w:divBdr>
        </w:div>
        <w:div w:id="1435710842">
          <w:marLeft w:val="0"/>
          <w:marRight w:val="0"/>
          <w:marTop w:val="120"/>
          <w:marBottom w:val="0"/>
          <w:divBdr>
            <w:top w:val="none" w:sz="0" w:space="0" w:color="auto"/>
            <w:left w:val="none" w:sz="0" w:space="0" w:color="auto"/>
            <w:bottom w:val="none" w:sz="0" w:space="0" w:color="auto"/>
            <w:right w:val="none" w:sz="0" w:space="0" w:color="auto"/>
          </w:divBdr>
        </w:div>
      </w:divsChild>
    </w:div>
    <w:div w:id="603152202">
      <w:bodyDiv w:val="1"/>
      <w:marLeft w:val="0"/>
      <w:marRight w:val="0"/>
      <w:marTop w:val="0"/>
      <w:marBottom w:val="0"/>
      <w:divBdr>
        <w:top w:val="none" w:sz="0" w:space="0" w:color="auto"/>
        <w:left w:val="none" w:sz="0" w:space="0" w:color="auto"/>
        <w:bottom w:val="none" w:sz="0" w:space="0" w:color="auto"/>
        <w:right w:val="none" w:sz="0" w:space="0" w:color="auto"/>
      </w:divBdr>
      <w:divsChild>
        <w:div w:id="1262764461">
          <w:marLeft w:val="0"/>
          <w:marRight w:val="0"/>
          <w:marTop w:val="0"/>
          <w:marBottom w:val="0"/>
          <w:divBdr>
            <w:top w:val="none" w:sz="0" w:space="0" w:color="auto"/>
            <w:left w:val="none" w:sz="0" w:space="0" w:color="auto"/>
            <w:bottom w:val="none" w:sz="0" w:space="0" w:color="auto"/>
            <w:right w:val="none" w:sz="0" w:space="0" w:color="auto"/>
          </w:divBdr>
          <w:divsChild>
            <w:div w:id="952395448">
              <w:marLeft w:val="0"/>
              <w:marRight w:val="0"/>
              <w:marTop w:val="0"/>
              <w:marBottom w:val="0"/>
              <w:divBdr>
                <w:top w:val="none" w:sz="0" w:space="0" w:color="auto"/>
                <w:left w:val="none" w:sz="0" w:space="0" w:color="auto"/>
                <w:bottom w:val="none" w:sz="0" w:space="0" w:color="auto"/>
                <w:right w:val="none" w:sz="0" w:space="0" w:color="auto"/>
              </w:divBdr>
            </w:div>
          </w:divsChild>
        </w:div>
        <w:div w:id="1364941555">
          <w:marLeft w:val="0"/>
          <w:marRight w:val="0"/>
          <w:marTop w:val="0"/>
          <w:marBottom w:val="0"/>
          <w:divBdr>
            <w:top w:val="none" w:sz="0" w:space="0" w:color="auto"/>
            <w:left w:val="none" w:sz="0" w:space="0" w:color="auto"/>
            <w:bottom w:val="none" w:sz="0" w:space="0" w:color="auto"/>
            <w:right w:val="none" w:sz="0" w:space="0" w:color="auto"/>
          </w:divBdr>
          <w:divsChild>
            <w:div w:id="12592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304">
      <w:bodyDiv w:val="1"/>
      <w:marLeft w:val="0"/>
      <w:marRight w:val="0"/>
      <w:marTop w:val="0"/>
      <w:marBottom w:val="0"/>
      <w:divBdr>
        <w:top w:val="none" w:sz="0" w:space="0" w:color="auto"/>
        <w:left w:val="none" w:sz="0" w:space="0" w:color="auto"/>
        <w:bottom w:val="none" w:sz="0" w:space="0" w:color="auto"/>
        <w:right w:val="none" w:sz="0" w:space="0" w:color="auto"/>
      </w:divBdr>
      <w:divsChild>
        <w:div w:id="3678485">
          <w:marLeft w:val="0"/>
          <w:marRight w:val="0"/>
          <w:marTop w:val="0"/>
          <w:marBottom w:val="0"/>
          <w:divBdr>
            <w:top w:val="none" w:sz="0" w:space="0" w:color="auto"/>
            <w:left w:val="none" w:sz="0" w:space="0" w:color="auto"/>
            <w:bottom w:val="none" w:sz="0" w:space="0" w:color="auto"/>
            <w:right w:val="none" w:sz="0" w:space="0" w:color="auto"/>
          </w:divBdr>
          <w:divsChild>
            <w:div w:id="1080559563">
              <w:marLeft w:val="0"/>
              <w:marRight w:val="0"/>
              <w:marTop w:val="0"/>
              <w:marBottom w:val="0"/>
              <w:divBdr>
                <w:top w:val="none" w:sz="0" w:space="0" w:color="auto"/>
                <w:left w:val="none" w:sz="0" w:space="0" w:color="auto"/>
                <w:bottom w:val="none" w:sz="0" w:space="0" w:color="auto"/>
                <w:right w:val="none" w:sz="0" w:space="0" w:color="auto"/>
              </w:divBdr>
            </w:div>
          </w:divsChild>
        </w:div>
        <w:div w:id="134950673">
          <w:marLeft w:val="0"/>
          <w:marRight w:val="0"/>
          <w:marTop w:val="0"/>
          <w:marBottom w:val="0"/>
          <w:divBdr>
            <w:top w:val="none" w:sz="0" w:space="0" w:color="auto"/>
            <w:left w:val="none" w:sz="0" w:space="0" w:color="auto"/>
            <w:bottom w:val="none" w:sz="0" w:space="0" w:color="auto"/>
            <w:right w:val="none" w:sz="0" w:space="0" w:color="auto"/>
          </w:divBdr>
          <w:divsChild>
            <w:div w:id="1083798453">
              <w:marLeft w:val="0"/>
              <w:marRight w:val="0"/>
              <w:marTop w:val="0"/>
              <w:marBottom w:val="0"/>
              <w:divBdr>
                <w:top w:val="none" w:sz="0" w:space="0" w:color="auto"/>
                <w:left w:val="none" w:sz="0" w:space="0" w:color="auto"/>
                <w:bottom w:val="none" w:sz="0" w:space="0" w:color="auto"/>
                <w:right w:val="none" w:sz="0" w:space="0" w:color="auto"/>
              </w:divBdr>
            </w:div>
          </w:divsChild>
        </w:div>
        <w:div w:id="679821748">
          <w:marLeft w:val="0"/>
          <w:marRight w:val="0"/>
          <w:marTop w:val="0"/>
          <w:marBottom w:val="0"/>
          <w:divBdr>
            <w:top w:val="none" w:sz="0" w:space="0" w:color="auto"/>
            <w:left w:val="none" w:sz="0" w:space="0" w:color="auto"/>
            <w:bottom w:val="none" w:sz="0" w:space="0" w:color="auto"/>
            <w:right w:val="none" w:sz="0" w:space="0" w:color="auto"/>
          </w:divBdr>
          <w:divsChild>
            <w:div w:id="582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1075">
      <w:bodyDiv w:val="1"/>
      <w:marLeft w:val="0"/>
      <w:marRight w:val="0"/>
      <w:marTop w:val="0"/>
      <w:marBottom w:val="0"/>
      <w:divBdr>
        <w:top w:val="none" w:sz="0" w:space="0" w:color="auto"/>
        <w:left w:val="none" w:sz="0" w:space="0" w:color="auto"/>
        <w:bottom w:val="none" w:sz="0" w:space="0" w:color="auto"/>
        <w:right w:val="none" w:sz="0" w:space="0" w:color="auto"/>
      </w:divBdr>
    </w:div>
    <w:div w:id="609435486">
      <w:bodyDiv w:val="1"/>
      <w:marLeft w:val="0"/>
      <w:marRight w:val="0"/>
      <w:marTop w:val="0"/>
      <w:marBottom w:val="0"/>
      <w:divBdr>
        <w:top w:val="none" w:sz="0" w:space="0" w:color="auto"/>
        <w:left w:val="none" w:sz="0" w:space="0" w:color="auto"/>
        <w:bottom w:val="none" w:sz="0" w:space="0" w:color="auto"/>
        <w:right w:val="none" w:sz="0" w:space="0" w:color="auto"/>
      </w:divBdr>
      <w:divsChild>
        <w:div w:id="73210239">
          <w:marLeft w:val="0"/>
          <w:marRight w:val="0"/>
          <w:marTop w:val="0"/>
          <w:marBottom w:val="0"/>
          <w:divBdr>
            <w:top w:val="none" w:sz="0" w:space="0" w:color="auto"/>
            <w:left w:val="none" w:sz="0" w:space="0" w:color="auto"/>
            <w:bottom w:val="none" w:sz="0" w:space="0" w:color="auto"/>
            <w:right w:val="none" w:sz="0" w:space="0" w:color="auto"/>
          </w:divBdr>
          <w:divsChild>
            <w:div w:id="949898646">
              <w:marLeft w:val="0"/>
              <w:marRight w:val="0"/>
              <w:marTop w:val="0"/>
              <w:marBottom w:val="0"/>
              <w:divBdr>
                <w:top w:val="none" w:sz="0" w:space="0" w:color="auto"/>
                <w:left w:val="none" w:sz="0" w:space="0" w:color="auto"/>
                <w:bottom w:val="none" w:sz="0" w:space="0" w:color="auto"/>
                <w:right w:val="none" w:sz="0" w:space="0" w:color="auto"/>
              </w:divBdr>
            </w:div>
            <w:div w:id="1639526421">
              <w:marLeft w:val="0"/>
              <w:marRight w:val="0"/>
              <w:marTop w:val="120"/>
              <w:marBottom w:val="0"/>
              <w:divBdr>
                <w:top w:val="none" w:sz="0" w:space="0" w:color="auto"/>
                <w:left w:val="none" w:sz="0" w:space="0" w:color="auto"/>
                <w:bottom w:val="none" w:sz="0" w:space="0" w:color="auto"/>
                <w:right w:val="none" w:sz="0" w:space="0" w:color="auto"/>
              </w:divBdr>
            </w:div>
          </w:divsChild>
        </w:div>
        <w:div w:id="341856858">
          <w:marLeft w:val="0"/>
          <w:marRight w:val="0"/>
          <w:marTop w:val="0"/>
          <w:marBottom w:val="0"/>
          <w:divBdr>
            <w:top w:val="none" w:sz="0" w:space="0" w:color="auto"/>
            <w:left w:val="none" w:sz="0" w:space="0" w:color="auto"/>
            <w:bottom w:val="none" w:sz="0" w:space="0" w:color="auto"/>
            <w:right w:val="none" w:sz="0" w:space="0" w:color="auto"/>
          </w:divBdr>
          <w:divsChild>
            <w:div w:id="618679435">
              <w:marLeft w:val="0"/>
              <w:marRight w:val="0"/>
              <w:marTop w:val="0"/>
              <w:marBottom w:val="0"/>
              <w:divBdr>
                <w:top w:val="none" w:sz="0" w:space="0" w:color="auto"/>
                <w:left w:val="none" w:sz="0" w:space="0" w:color="auto"/>
                <w:bottom w:val="none" w:sz="0" w:space="0" w:color="auto"/>
                <w:right w:val="none" w:sz="0" w:space="0" w:color="auto"/>
              </w:divBdr>
              <w:divsChild>
                <w:div w:id="192576044">
                  <w:marLeft w:val="0"/>
                  <w:marRight w:val="0"/>
                  <w:marTop w:val="0"/>
                  <w:marBottom w:val="0"/>
                  <w:divBdr>
                    <w:top w:val="none" w:sz="0" w:space="0" w:color="auto"/>
                    <w:left w:val="none" w:sz="0" w:space="0" w:color="auto"/>
                    <w:bottom w:val="none" w:sz="0" w:space="0" w:color="auto"/>
                    <w:right w:val="none" w:sz="0" w:space="0" w:color="auto"/>
                  </w:divBdr>
                  <w:divsChild>
                    <w:div w:id="883760464">
                      <w:marLeft w:val="0"/>
                      <w:marRight w:val="0"/>
                      <w:marTop w:val="0"/>
                      <w:marBottom w:val="0"/>
                      <w:divBdr>
                        <w:top w:val="none" w:sz="0" w:space="0" w:color="auto"/>
                        <w:left w:val="none" w:sz="0" w:space="0" w:color="auto"/>
                        <w:bottom w:val="none" w:sz="0" w:space="0" w:color="auto"/>
                        <w:right w:val="none" w:sz="0" w:space="0" w:color="auto"/>
                      </w:divBdr>
                    </w:div>
                    <w:div w:id="1807813657">
                      <w:marLeft w:val="0"/>
                      <w:marRight w:val="0"/>
                      <w:marTop w:val="120"/>
                      <w:marBottom w:val="0"/>
                      <w:divBdr>
                        <w:top w:val="none" w:sz="0" w:space="0" w:color="auto"/>
                        <w:left w:val="none" w:sz="0" w:space="0" w:color="auto"/>
                        <w:bottom w:val="none" w:sz="0" w:space="0" w:color="auto"/>
                        <w:right w:val="none" w:sz="0" w:space="0" w:color="auto"/>
                      </w:divBdr>
                    </w:div>
                  </w:divsChild>
                </w:div>
                <w:div w:id="252982514">
                  <w:marLeft w:val="0"/>
                  <w:marRight w:val="0"/>
                  <w:marTop w:val="0"/>
                  <w:marBottom w:val="0"/>
                  <w:divBdr>
                    <w:top w:val="none" w:sz="0" w:space="0" w:color="auto"/>
                    <w:left w:val="none" w:sz="0" w:space="0" w:color="auto"/>
                    <w:bottom w:val="none" w:sz="0" w:space="0" w:color="auto"/>
                    <w:right w:val="none" w:sz="0" w:space="0" w:color="auto"/>
                  </w:divBdr>
                  <w:divsChild>
                    <w:div w:id="738753131">
                      <w:marLeft w:val="0"/>
                      <w:marRight w:val="0"/>
                      <w:marTop w:val="0"/>
                      <w:marBottom w:val="0"/>
                      <w:divBdr>
                        <w:top w:val="none" w:sz="0" w:space="0" w:color="auto"/>
                        <w:left w:val="none" w:sz="0" w:space="0" w:color="auto"/>
                        <w:bottom w:val="none" w:sz="0" w:space="0" w:color="auto"/>
                        <w:right w:val="none" w:sz="0" w:space="0" w:color="auto"/>
                      </w:divBdr>
                    </w:div>
                    <w:div w:id="896628906">
                      <w:marLeft w:val="0"/>
                      <w:marRight w:val="0"/>
                      <w:marTop w:val="120"/>
                      <w:marBottom w:val="0"/>
                      <w:divBdr>
                        <w:top w:val="none" w:sz="0" w:space="0" w:color="auto"/>
                        <w:left w:val="none" w:sz="0" w:space="0" w:color="auto"/>
                        <w:bottom w:val="none" w:sz="0" w:space="0" w:color="auto"/>
                        <w:right w:val="none" w:sz="0" w:space="0" w:color="auto"/>
                      </w:divBdr>
                    </w:div>
                  </w:divsChild>
                </w:div>
                <w:div w:id="913777896">
                  <w:marLeft w:val="0"/>
                  <w:marRight w:val="0"/>
                  <w:marTop w:val="0"/>
                  <w:marBottom w:val="0"/>
                  <w:divBdr>
                    <w:top w:val="none" w:sz="0" w:space="0" w:color="auto"/>
                    <w:left w:val="none" w:sz="0" w:space="0" w:color="auto"/>
                    <w:bottom w:val="none" w:sz="0" w:space="0" w:color="auto"/>
                    <w:right w:val="none" w:sz="0" w:space="0" w:color="auto"/>
                  </w:divBdr>
                  <w:divsChild>
                    <w:div w:id="1145665305">
                      <w:marLeft w:val="0"/>
                      <w:marRight w:val="0"/>
                      <w:marTop w:val="0"/>
                      <w:marBottom w:val="0"/>
                      <w:divBdr>
                        <w:top w:val="none" w:sz="0" w:space="0" w:color="auto"/>
                        <w:left w:val="none" w:sz="0" w:space="0" w:color="auto"/>
                        <w:bottom w:val="none" w:sz="0" w:space="0" w:color="auto"/>
                        <w:right w:val="none" w:sz="0" w:space="0" w:color="auto"/>
                      </w:divBdr>
                    </w:div>
                    <w:div w:id="13133652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0282380">
              <w:marLeft w:val="0"/>
              <w:marRight w:val="0"/>
              <w:marTop w:val="120"/>
              <w:marBottom w:val="0"/>
              <w:divBdr>
                <w:top w:val="none" w:sz="0" w:space="0" w:color="auto"/>
                <w:left w:val="none" w:sz="0" w:space="0" w:color="auto"/>
                <w:bottom w:val="none" w:sz="0" w:space="0" w:color="auto"/>
                <w:right w:val="none" w:sz="0" w:space="0" w:color="auto"/>
              </w:divBdr>
            </w:div>
          </w:divsChild>
        </w:div>
        <w:div w:id="616914421">
          <w:marLeft w:val="0"/>
          <w:marRight w:val="0"/>
          <w:marTop w:val="0"/>
          <w:marBottom w:val="0"/>
          <w:divBdr>
            <w:top w:val="none" w:sz="0" w:space="0" w:color="auto"/>
            <w:left w:val="none" w:sz="0" w:space="0" w:color="auto"/>
            <w:bottom w:val="none" w:sz="0" w:space="0" w:color="auto"/>
            <w:right w:val="none" w:sz="0" w:space="0" w:color="auto"/>
          </w:divBdr>
          <w:divsChild>
            <w:div w:id="650788362">
              <w:marLeft w:val="0"/>
              <w:marRight w:val="0"/>
              <w:marTop w:val="0"/>
              <w:marBottom w:val="0"/>
              <w:divBdr>
                <w:top w:val="none" w:sz="0" w:space="0" w:color="auto"/>
                <w:left w:val="none" w:sz="0" w:space="0" w:color="auto"/>
                <w:bottom w:val="none" w:sz="0" w:space="0" w:color="auto"/>
                <w:right w:val="none" w:sz="0" w:space="0" w:color="auto"/>
              </w:divBdr>
              <w:divsChild>
                <w:div w:id="142964742">
                  <w:marLeft w:val="0"/>
                  <w:marRight w:val="0"/>
                  <w:marTop w:val="0"/>
                  <w:marBottom w:val="0"/>
                  <w:divBdr>
                    <w:top w:val="none" w:sz="0" w:space="0" w:color="auto"/>
                    <w:left w:val="none" w:sz="0" w:space="0" w:color="auto"/>
                    <w:bottom w:val="none" w:sz="0" w:space="0" w:color="auto"/>
                    <w:right w:val="none" w:sz="0" w:space="0" w:color="auto"/>
                  </w:divBdr>
                  <w:divsChild>
                    <w:div w:id="402486237">
                      <w:marLeft w:val="0"/>
                      <w:marRight w:val="0"/>
                      <w:marTop w:val="0"/>
                      <w:marBottom w:val="0"/>
                      <w:divBdr>
                        <w:top w:val="none" w:sz="0" w:space="0" w:color="auto"/>
                        <w:left w:val="none" w:sz="0" w:space="0" w:color="auto"/>
                        <w:bottom w:val="none" w:sz="0" w:space="0" w:color="auto"/>
                        <w:right w:val="none" w:sz="0" w:space="0" w:color="auto"/>
                      </w:divBdr>
                    </w:div>
                    <w:div w:id="1649018748">
                      <w:marLeft w:val="0"/>
                      <w:marRight w:val="0"/>
                      <w:marTop w:val="120"/>
                      <w:marBottom w:val="0"/>
                      <w:divBdr>
                        <w:top w:val="none" w:sz="0" w:space="0" w:color="auto"/>
                        <w:left w:val="none" w:sz="0" w:space="0" w:color="auto"/>
                        <w:bottom w:val="none" w:sz="0" w:space="0" w:color="auto"/>
                        <w:right w:val="none" w:sz="0" w:space="0" w:color="auto"/>
                      </w:divBdr>
                    </w:div>
                  </w:divsChild>
                </w:div>
                <w:div w:id="840774173">
                  <w:marLeft w:val="0"/>
                  <w:marRight w:val="0"/>
                  <w:marTop w:val="0"/>
                  <w:marBottom w:val="0"/>
                  <w:divBdr>
                    <w:top w:val="none" w:sz="0" w:space="0" w:color="auto"/>
                    <w:left w:val="none" w:sz="0" w:space="0" w:color="auto"/>
                    <w:bottom w:val="none" w:sz="0" w:space="0" w:color="auto"/>
                    <w:right w:val="none" w:sz="0" w:space="0" w:color="auto"/>
                  </w:divBdr>
                  <w:divsChild>
                    <w:div w:id="269943397">
                      <w:marLeft w:val="0"/>
                      <w:marRight w:val="0"/>
                      <w:marTop w:val="120"/>
                      <w:marBottom w:val="0"/>
                      <w:divBdr>
                        <w:top w:val="none" w:sz="0" w:space="0" w:color="auto"/>
                        <w:left w:val="none" w:sz="0" w:space="0" w:color="auto"/>
                        <w:bottom w:val="none" w:sz="0" w:space="0" w:color="auto"/>
                        <w:right w:val="none" w:sz="0" w:space="0" w:color="auto"/>
                      </w:divBdr>
                    </w:div>
                    <w:div w:id="1880167907">
                      <w:marLeft w:val="0"/>
                      <w:marRight w:val="0"/>
                      <w:marTop w:val="0"/>
                      <w:marBottom w:val="0"/>
                      <w:divBdr>
                        <w:top w:val="none" w:sz="0" w:space="0" w:color="auto"/>
                        <w:left w:val="none" w:sz="0" w:space="0" w:color="auto"/>
                        <w:bottom w:val="none" w:sz="0" w:space="0" w:color="auto"/>
                        <w:right w:val="none" w:sz="0" w:space="0" w:color="auto"/>
                      </w:divBdr>
                    </w:div>
                  </w:divsChild>
                </w:div>
                <w:div w:id="1364330974">
                  <w:marLeft w:val="0"/>
                  <w:marRight w:val="0"/>
                  <w:marTop w:val="0"/>
                  <w:marBottom w:val="0"/>
                  <w:divBdr>
                    <w:top w:val="none" w:sz="0" w:space="0" w:color="auto"/>
                    <w:left w:val="none" w:sz="0" w:space="0" w:color="auto"/>
                    <w:bottom w:val="none" w:sz="0" w:space="0" w:color="auto"/>
                    <w:right w:val="none" w:sz="0" w:space="0" w:color="auto"/>
                  </w:divBdr>
                  <w:divsChild>
                    <w:div w:id="555819946">
                      <w:marLeft w:val="0"/>
                      <w:marRight w:val="0"/>
                      <w:marTop w:val="0"/>
                      <w:marBottom w:val="0"/>
                      <w:divBdr>
                        <w:top w:val="none" w:sz="0" w:space="0" w:color="auto"/>
                        <w:left w:val="none" w:sz="0" w:space="0" w:color="auto"/>
                        <w:bottom w:val="none" w:sz="0" w:space="0" w:color="auto"/>
                        <w:right w:val="none" w:sz="0" w:space="0" w:color="auto"/>
                      </w:divBdr>
                    </w:div>
                    <w:div w:id="1325663373">
                      <w:marLeft w:val="0"/>
                      <w:marRight w:val="0"/>
                      <w:marTop w:val="120"/>
                      <w:marBottom w:val="0"/>
                      <w:divBdr>
                        <w:top w:val="none" w:sz="0" w:space="0" w:color="auto"/>
                        <w:left w:val="none" w:sz="0" w:space="0" w:color="auto"/>
                        <w:bottom w:val="none" w:sz="0" w:space="0" w:color="auto"/>
                        <w:right w:val="none" w:sz="0" w:space="0" w:color="auto"/>
                      </w:divBdr>
                    </w:div>
                  </w:divsChild>
                </w:div>
                <w:div w:id="1607731813">
                  <w:marLeft w:val="0"/>
                  <w:marRight w:val="0"/>
                  <w:marTop w:val="0"/>
                  <w:marBottom w:val="0"/>
                  <w:divBdr>
                    <w:top w:val="none" w:sz="0" w:space="0" w:color="auto"/>
                    <w:left w:val="none" w:sz="0" w:space="0" w:color="auto"/>
                    <w:bottom w:val="none" w:sz="0" w:space="0" w:color="auto"/>
                    <w:right w:val="none" w:sz="0" w:space="0" w:color="auto"/>
                  </w:divBdr>
                  <w:divsChild>
                    <w:div w:id="453910468">
                      <w:marLeft w:val="0"/>
                      <w:marRight w:val="0"/>
                      <w:marTop w:val="120"/>
                      <w:marBottom w:val="0"/>
                      <w:divBdr>
                        <w:top w:val="none" w:sz="0" w:space="0" w:color="auto"/>
                        <w:left w:val="none" w:sz="0" w:space="0" w:color="auto"/>
                        <w:bottom w:val="none" w:sz="0" w:space="0" w:color="auto"/>
                        <w:right w:val="none" w:sz="0" w:space="0" w:color="auto"/>
                      </w:divBdr>
                    </w:div>
                    <w:div w:id="10403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309">
          <w:marLeft w:val="0"/>
          <w:marRight w:val="0"/>
          <w:marTop w:val="0"/>
          <w:marBottom w:val="0"/>
          <w:divBdr>
            <w:top w:val="none" w:sz="0" w:space="0" w:color="auto"/>
            <w:left w:val="none" w:sz="0" w:space="0" w:color="auto"/>
            <w:bottom w:val="none" w:sz="0" w:space="0" w:color="auto"/>
            <w:right w:val="none" w:sz="0" w:space="0" w:color="auto"/>
          </w:divBdr>
          <w:divsChild>
            <w:div w:id="1145510183">
              <w:marLeft w:val="0"/>
              <w:marRight w:val="0"/>
              <w:marTop w:val="120"/>
              <w:marBottom w:val="0"/>
              <w:divBdr>
                <w:top w:val="none" w:sz="0" w:space="0" w:color="auto"/>
                <w:left w:val="none" w:sz="0" w:space="0" w:color="auto"/>
                <w:bottom w:val="none" w:sz="0" w:space="0" w:color="auto"/>
                <w:right w:val="none" w:sz="0" w:space="0" w:color="auto"/>
              </w:divBdr>
            </w:div>
            <w:div w:id="1994605264">
              <w:marLeft w:val="0"/>
              <w:marRight w:val="0"/>
              <w:marTop w:val="0"/>
              <w:marBottom w:val="0"/>
              <w:divBdr>
                <w:top w:val="none" w:sz="0" w:space="0" w:color="auto"/>
                <w:left w:val="none" w:sz="0" w:space="0" w:color="auto"/>
                <w:bottom w:val="none" w:sz="0" w:space="0" w:color="auto"/>
                <w:right w:val="none" w:sz="0" w:space="0" w:color="auto"/>
              </w:divBdr>
            </w:div>
          </w:divsChild>
        </w:div>
        <w:div w:id="1644963738">
          <w:marLeft w:val="0"/>
          <w:marRight w:val="0"/>
          <w:marTop w:val="0"/>
          <w:marBottom w:val="0"/>
          <w:divBdr>
            <w:top w:val="none" w:sz="0" w:space="0" w:color="auto"/>
            <w:left w:val="none" w:sz="0" w:space="0" w:color="auto"/>
            <w:bottom w:val="none" w:sz="0" w:space="0" w:color="auto"/>
            <w:right w:val="none" w:sz="0" w:space="0" w:color="auto"/>
          </w:divBdr>
          <w:divsChild>
            <w:div w:id="445396241">
              <w:marLeft w:val="0"/>
              <w:marRight w:val="0"/>
              <w:marTop w:val="120"/>
              <w:marBottom w:val="0"/>
              <w:divBdr>
                <w:top w:val="none" w:sz="0" w:space="0" w:color="auto"/>
                <w:left w:val="none" w:sz="0" w:space="0" w:color="auto"/>
                <w:bottom w:val="none" w:sz="0" w:space="0" w:color="auto"/>
                <w:right w:val="none" w:sz="0" w:space="0" w:color="auto"/>
              </w:divBdr>
            </w:div>
            <w:div w:id="19645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11278">
      <w:bodyDiv w:val="1"/>
      <w:marLeft w:val="0"/>
      <w:marRight w:val="0"/>
      <w:marTop w:val="0"/>
      <w:marBottom w:val="0"/>
      <w:divBdr>
        <w:top w:val="none" w:sz="0" w:space="0" w:color="auto"/>
        <w:left w:val="none" w:sz="0" w:space="0" w:color="auto"/>
        <w:bottom w:val="none" w:sz="0" w:space="0" w:color="auto"/>
        <w:right w:val="none" w:sz="0" w:space="0" w:color="auto"/>
      </w:divBdr>
      <w:divsChild>
        <w:div w:id="60294309">
          <w:marLeft w:val="0"/>
          <w:marRight w:val="0"/>
          <w:marTop w:val="0"/>
          <w:marBottom w:val="0"/>
          <w:divBdr>
            <w:top w:val="none" w:sz="0" w:space="0" w:color="auto"/>
            <w:left w:val="none" w:sz="0" w:space="0" w:color="auto"/>
            <w:bottom w:val="none" w:sz="0" w:space="0" w:color="auto"/>
            <w:right w:val="none" w:sz="0" w:space="0" w:color="auto"/>
          </w:divBdr>
        </w:div>
        <w:div w:id="1145927228">
          <w:marLeft w:val="0"/>
          <w:marRight w:val="0"/>
          <w:marTop w:val="120"/>
          <w:marBottom w:val="0"/>
          <w:divBdr>
            <w:top w:val="none" w:sz="0" w:space="0" w:color="auto"/>
            <w:left w:val="none" w:sz="0" w:space="0" w:color="auto"/>
            <w:bottom w:val="none" w:sz="0" w:space="0" w:color="auto"/>
            <w:right w:val="none" w:sz="0" w:space="0" w:color="auto"/>
          </w:divBdr>
        </w:div>
      </w:divsChild>
    </w:div>
    <w:div w:id="617495712">
      <w:bodyDiv w:val="1"/>
      <w:marLeft w:val="0"/>
      <w:marRight w:val="0"/>
      <w:marTop w:val="0"/>
      <w:marBottom w:val="0"/>
      <w:divBdr>
        <w:top w:val="none" w:sz="0" w:space="0" w:color="auto"/>
        <w:left w:val="none" w:sz="0" w:space="0" w:color="auto"/>
        <w:bottom w:val="none" w:sz="0" w:space="0" w:color="auto"/>
        <w:right w:val="none" w:sz="0" w:space="0" w:color="auto"/>
      </w:divBdr>
      <w:divsChild>
        <w:div w:id="287857258">
          <w:marLeft w:val="0"/>
          <w:marRight w:val="0"/>
          <w:marTop w:val="0"/>
          <w:marBottom w:val="0"/>
          <w:divBdr>
            <w:top w:val="none" w:sz="0" w:space="0" w:color="auto"/>
            <w:left w:val="none" w:sz="0" w:space="0" w:color="auto"/>
            <w:bottom w:val="none" w:sz="0" w:space="0" w:color="auto"/>
            <w:right w:val="none" w:sz="0" w:space="0" w:color="auto"/>
          </w:divBdr>
          <w:divsChild>
            <w:div w:id="2094626484">
              <w:marLeft w:val="0"/>
              <w:marRight w:val="0"/>
              <w:marTop w:val="0"/>
              <w:marBottom w:val="0"/>
              <w:divBdr>
                <w:top w:val="none" w:sz="0" w:space="0" w:color="auto"/>
                <w:left w:val="none" w:sz="0" w:space="0" w:color="auto"/>
                <w:bottom w:val="none" w:sz="0" w:space="0" w:color="auto"/>
                <w:right w:val="none" w:sz="0" w:space="0" w:color="auto"/>
              </w:divBdr>
            </w:div>
          </w:divsChild>
        </w:div>
        <w:div w:id="807355520">
          <w:marLeft w:val="0"/>
          <w:marRight w:val="0"/>
          <w:marTop w:val="0"/>
          <w:marBottom w:val="0"/>
          <w:divBdr>
            <w:top w:val="none" w:sz="0" w:space="0" w:color="auto"/>
            <w:left w:val="none" w:sz="0" w:space="0" w:color="auto"/>
            <w:bottom w:val="none" w:sz="0" w:space="0" w:color="auto"/>
            <w:right w:val="none" w:sz="0" w:space="0" w:color="auto"/>
          </w:divBdr>
          <w:divsChild>
            <w:div w:id="90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8028">
      <w:bodyDiv w:val="1"/>
      <w:marLeft w:val="0"/>
      <w:marRight w:val="0"/>
      <w:marTop w:val="0"/>
      <w:marBottom w:val="0"/>
      <w:divBdr>
        <w:top w:val="none" w:sz="0" w:space="0" w:color="auto"/>
        <w:left w:val="none" w:sz="0" w:space="0" w:color="auto"/>
        <w:bottom w:val="none" w:sz="0" w:space="0" w:color="auto"/>
        <w:right w:val="none" w:sz="0" w:space="0" w:color="auto"/>
      </w:divBdr>
      <w:divsChild>
        <w:div w:id="451483804">
          <w:marLeft w:val="0"/>
          <w:marRight w:val="0"/>
          <w:marTop w:val="0"/>
          <w:marBottom w:val="0"/>
          <w:divBdr>
            <w:top w:val="none" w:sz="0" w:space="0" w:color="auto"/>
            <w:left w:val="none" w:sz="0" w:space="0" w:color="auto"/>
            <w:bottom w:val="none" w:sz="0" w:space="0" w:color="auto"/>
            <w:right w:val="none" w:sz="0" w:space="0" w:color="auto"/>
          </w:divBdr>
          <w:divsChild>
            <w:div w:id="1642077100">
              <w:marLeft w:val="0"/>
              <w:marRight w:val="0"/>
              <w:marTop w:val="0"/>
              <w:marBottom w:val="0"/>
              <w:divBdr>
                <w:top w:val="none" w:sz="0" w:space="0" w:color="auto"/>
                <w:left w:val="none" w:sz="0" w:space="0" w:color="auto"/>
                <w:bottom w:val="none" w:sz="0" w:space="0" w:color="auto"/>
                <w:right w:val="none" w:sz="0" w:space="0" w:color="auto"/>
              </w:divBdr>
            </w:div>
          </w:divsChild>
        </w:div>
        <w:div w:id="1080711924">
          <w:marLeft w:val="0"/>
          <w:marRight w:val="0"/>
          <w:marTop w:val="0"/>
          <w:marBottom w:val="0"/>
          <w:divBdr>
            <w:top w:val="none" w:sz="0" w:space="0" w:color="auto"/>
            <w:left w:val="none" w:sz="0" w:space="0" w:color="auto"/>
            <w:bottom w:val="none" w:sz="0" w:space="0" w:color="auto"/>
            <w:right w:val="none" w:sz="0" w:space="0" w:color="auto"/>
          </w:divBdr>
          <w:divsChild>
            <w:div w:id="18462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321">
      <w:bodyDiv w:val="1"/>
      <w:marLeft w:val="0"/>
      <w:marRight w:val="0"/>
      <w:marTop w:val="0"/>
      <w:marBottom w:val="0"/>
      <w:divBdr>
        <w:top w:val="none" w:sz="0" w:space="0" w:color="auto"/>
        <w:left w:val="none" w:sz="0" w:space="0" w:color="auto"/>
        <w:bottom w:val="none" w:sz="0" w:space="0" w:color="auto"/>
        <w:right w:val="none" w:sz="0" w:space="0" w:color="auto"/>
      </w:divBdr>
      <w:divsChild>
        <w:div w:id="1024093607">
          <w:marLeft w:val="0"/>
          <w:marRight w:val="0"/>
          <w:marTop w:val="0"/>
          <w:marBottom w:val="0"/>
          <w:divBdr>
            <w:top w:val="none" w:sz="0" w:space="0" w:color="auto"/>
            <w:left w:val="none" w:sz="0" w:space="0" w:color="auto"/>
            <w:bottom w:val="none" w:sz="0" w:space="0" w:color="auto"/>
            <w:right w:val="none" w:sz="0" w:space="0" w:color="auto"/>
          </w:divBdr>
          <w:divsChild>
            <w:div w:id="344090503">
              <w:marLeft w:val="0"/>
              <w:marRight w:val="0"/>
              <w:marTop w:val="0"/>
              <w:marBottom w:val="0"/>
              <w:divBdr>
                <w:top w:val="none" w:sz="0" w:space="0" w:color="auto"/>
                <w:left w:val="none" w:sz="0" w:space="0" w:color="auto"/>
                <w:bottom w:val="none" w:sz="0" w:space="0" w:color="auto"/>
                <w:right w:val="none" w:sz="0" w:space="0" w:color="auto"/>
              </w:divBdr>
            </w:div>
          </w:divsChild>
        </w:div>
        <w:div w:id="1514294945">
          <w:marLeft w:val="0"/>
          <w:marRight w:val="0"/>
          <w:marTop w:val="0"/>
          <w:marBottom w:val="0"/>
          <w:divBdr>
            <w:top w:val="none" w:sz="0" w:space="0" w:color="auto"/>
            <w:left w:val="none" w:sz="0" w:space="0" w:color="auto"/>
            <w:bottom w:val="none" w:sz="0" w:space="0" w:color="auto"/>
            <w:right w:val="none" w:sz="0" w:space="0" w:color="auto"/>
          </w:divBdr>
          <w:divsChild>
            <w:div w:id="11832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5220">
      <w:bodyDiv w:val="1"/>
      <w:marLeft w:val="0"/>
      <w:marRight w:val="0"/>
      <w:marTop w:val="0"/>
      <w:marBottom w:val="0"/>
      <w:divBdr>
        <w:top w:val="none" w:sz="0" w:space="0" w:color="auto"/>
        <w:left w:val="none" w:sz="0" w:space="0" w:color="auto"/>
        <w:bottom w:val="none" w:sz="0" w:space="0" w:color="auto"/>
        <w:right w:val="none" w:sz="0" w:space="0" w:color="auto"/>
      </w:divBdr>
      <w:divsChild>
        <w:div w:id="1334066128">
          <w:marLeft w:val="0"/>
          <w:marRight w:val="0"/>
          <w:marTop w:val="0"/>
          <w:marBottom w:val="0"/>
          <w:divBdr>
            <w:top w:val="none" w:sz="0" w:space="0" w:color="auto"/>
            <w:left w:val="none" w:sz="0" w:space="0" w:color="auto"/>
            <w:bottom w:val="none" w:sz="0" w:space="0" w:color="auto"/>
            <w:right w:val="none" w:sz="0" w:space="0" w:color="auto"/>
          </w:divBdr>
        </w:div>
      </w:divsChild>
    </w:div>
    <w:div w:id="638847990">
      <w:bodyDiv w:val="1"/>
      <w:marLeft w:val="0"/>
      <w:marRight w:val="0"/>
      <w:marTop w:val="0"/>
      <w:marBottom w:val="0"/>
      <w:divBdr>
        <w:top w:val="none" w:sz="0" w:space="0" w:color="auto"/>
        <w:left w:val="none" w:sz="0" w:space="0" w:color="auto"/>
        <w:bottom w:val="none" w:sz="0" w:space="0" w:color="auto"/>
        <w:right w:val="none" w:sz="0" w:space="0" w:color="auto"/>
      </w:divBdr>
      <w:divsChild>
        <w:div w:id="152527760">
          <w:marLeft w:val="0"/>
          <w:marRight w:val="0"/>
          <w:marTop w:val="0"/>
          <w:marBottom w:val="0"/>
          <w:divBdr>
            <w:top w:val="none" w:sz="0" w:space="0" w:color="auto"/>
            <w:left w:val="none" w:sz="0" w:space="0" w:color="auto"/>
            <w:bottom w:val="none" w:sz="0" w:space="0" w:color="auto"/>
            <w:right w:val="none" w:sz="0" w:space="0" w:color="auto"/>
          </w:divBdr>
          <w:divsChild>
            <w:div w:id="430857016">
              <w:marLeft w:val="0"/>
              <w:marRight w:val="0"/>
              <w:marTop w:val="0"/>
              <w:marBottom w:val="0"/>
              <w:divBdr>
                <w:top w:val="none" w:sz="0" w:space="0" w:color="auto"/>
                <w:left w:val="none" w:sz="0" w:space="0" w:color="auto"/>
                <w:bottom w:val="none" w:sz="0" w:space="0" w:color="auto"/>
                <w:right w:val="none" w:sz="0" w:space="0" w:color="auto"/>
              </w:divBdr>
            </w:div>
          </w:divsChild>
        </w:div>
        <w:div w:id="1022316454">
          <w:marLeft w:val="0"/>
          <w:marRight w:val="0"/>
          <w:marTop w:val="0"/>
          <w:marBottom w:val="0"/>
          <w:divBdr>
            <w:top w:val="none" w:sz="0" w:space="0" w:color="auto"/>
            <w:left w:val="none" w:sz="0" w:space="0" w:color="auto"/>
            <w:bottom w:val="none" w:sz="0" w:space="0" w:color="auto"/>
            <w:right w:val="none" w:sz="0" w:space="0" w:color="auto"/>
          </w:divBdr>
          <w:divsChild>
            <w:div w:id="1748532991">
              <w:marLeft w:val="0"/>
              <w:marRight w:val="0"/>
              <w:marTop w:val="0"/>
              <w:marBottom w:val="0"/>
              <w:divBdr>
                <w:top w:val="none" w:sz="0" w:space="0" w:color="auto"/>
                <w:left w:val="none" w:sz="0" w:space="0" w:color="auto"/>
                <w:bottom w:val="none" w:sz="0" w:space="0" w:color="auto"/>
                <w:right w:val="none" w:sz="0" w:space="0" w:color="auto"/>
              </w:divBdr>
              <w:divsChild>
                <w:div w:id="91976649">
                  <w:marLeft w:val="0"/>
                  <w:marRight w:val="0"/>
                  <w:marTop w:val="0"/>
                  <w:marBottom w:val="0"/>
                  <w:divBdr>
                    <w:top w:val="none" w:sz="0" w:space="0" w:color="auto"/>
                    <w:left w:val="none" w:sz="0" w:space="0" w:color="auto"/>
                    <w:bottom w:val="none" w:sz="0" w:space="0" w:color="auto"/>
                    <w:right w:val="none" w:sz="0" w:space="0" w:color="auto"/>
                  </w:divBdr>
                  <w:divsChild>
                    <w:div w:id="751852794">
                      <w:marLeft w:val="0"/>
                      <w:marRight w:val="0"/>
                      <w:marTop w:val="0"/>
                      <w:marBottom w:val="0"/>
                      <w:divBdr>
                        <w:top w:val="none" w:sz="0" w:space="0" w:color="auto"/>
                        <w:left w:val="none" w:sz="0" w:space="0" w:color="auto"/>
                        <w:bottom w:val="none" w:sz="0" w:space="0" w:color="auto"/>
                        <w:right w:val="none" w:sz="0" w:space="0" w:color="auto"/>
                      </w:divBdr>
                    </w:div>
                    <w:div w:id="1939018097">
                      <w:marLeft w:val="0"/>
                      <w:marRight w:val="0"/>
                      <w:marTop w:val="120"/>
                      <w:marBottom w:val="0"/>
                      <w:divBdr>
                        <w:top w:val="none" w:sz="0" w:space="0" w:color="auto"/>
                        <w:left w:val="none" w:sz="0" w:space="0" w:color="auto"/>
                        <w:bottom w:val="none" w:sz="0" w:space="0" w:color="auto"/>
                        <w:right w:val="none" w:sz="0" w:space="0" w:color="auto"/>
                      </w:divBdr>
                    </w:div>
                  </w:divsChild>
                </w:div>
                <w:div w:id="1106192413">
                  <w:marLeft w:val="0"/>
                  <w:marRight w:val="0"/>
                  <w:marTop w:val="0"/>
                  <w:marBottom w:val="0"/>
                  <w:divBdr>
                    <w:top w:val="none" w:sz="0" w:space="0" w:color="auto"/>
                    <w:left w:val="none" w:sz="0" w:space="0" w:color="auto"/>
                    <w:bottom w:val="none" w:sz="0" w:space="0" w:color="auto"/>
                    <w:right w:val="none" w:sz="0" w:space="0" w:color="auto"/>
                  </w:divBdr>
                  <w:divsChild>
                    <w:div w:id="337735830">
                      <w:marLeft w:val="0"/>
                      <w:marRight w:val="0"/>
                      <w:marTop w:val="120"/>
                      <w:marBottom w:val="0"/>
                      <w:divBdr>
                        <w:top w:val="none" w:sz="0" w:space="0" w:color="auto"/>
                        <w:left w:val="none" w:sz="0" w:space="0" w:color="auto"/>
                        <w:bottom w:val="none" w:sz="0" w:space="0" w:color="auto"/>
                        <w:right w:val="none" w:sz="0" w:space="0" w:color="auto"/>
                      </w:divBdr>
                    </w:div>
                    <w:div w:id="12070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1363">
          <w:marLeft w:val="0"/>
          <w:marRight w:val="0"/>
          <w:marTop w:val="0"/>
          <w:marBottom w:val="0"/>
          <w:divBdr>
            <w:top w:val="none" w:sz="0" w:space="0" w:color="auto"/>
            <w:left w:val="none" w:sz="0" w:space="0" w:color="auto"/>
            <w:bottom w:val="none" w:sz="0" w:space="0" w:color="auto"/>
            <w:right w:val="none" w:sz="0" w:space="0" w:color="auto"/>
          </w:divBdr>
          <w:divsChild>
            <w:div w:id="973021398">
              <w:marLeft w:val="0"/>
              <w:marRight w:val="0"/>
              <w:marTop w:val="0"/>
              <w:marBottom w:val="0"/>
              <w:divBdr>
                <w:top w:val="none" w:sz="0" w:space="0" w:color="auto"/>
                <w:left w:val="none" w:sz="0" w:space="0" w:color="auto"/>
                <w:bottom w:val="none" w:sz="0" w:space="0" w:color="auto"/>
                <w:right w:val="none" w:sz="0" w:space="0" w:color="auto"/>
              </w:divBdr>
            </w:div>
          </w:divsChild>
        </w:div>
        <w:div w:id="1798714659">
          <w:marLeft w:val="0"/>
          <w:marRight w:val="0"/>
          <w:marTop w:val="0"/>
          <w:marBottom w:val="0"/>
          <w:divBdr>
            <w:top w:val="none" w:sz="0" w:space="0" w:color="auto"/>
            <w:left w:val="none" w:sz="0" w:space="0" w:color="auto"/>
            <w:bottom w:val="none" w:sz="0" w:space="0" w:color="auto"/>
            <w:right w:val="none" w:sz="0" w:space="0" w:color="auto"/>
          </w:divBdr>
          <w:divsChild>
            <w:div w:id="12545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8106">
      <w:bodyDiv w:val="1"/>
      <w:marLeft w:val="0"/>
      <w:marRight w:val="0"/>
      <w:marTop w:val="0"/>
      <w:marBottom w:val="0"/>
      <w:divBdr>
        <w:top w:val="none" w:sz="0" w:space="0" w:color="auto"/>
        <w:left w:val="none" w:sz="0" w:space="0" w:color="auto"/>
        <w:bottom w:val="none" w:sz="0" w:space="0" w:color="auto"/>
        <w:right w:val="none" w:sz="0" w:space="0" w:color="auto"/>
      </w:divBdr>
      <w:divsChild>
        <w:div w:id="113528307">
          <w:marLeft w:val="0"/>
          <w:marRight w:val="0"/>
          <w:marTop w:val="0"/>
          <w:marBottom w:val="0"/>
          <w:divBdr>
            <w:top w:val="none" w:sz="0" w:space="0" w:color="auto"/>
            <w:left w:val="none" w:sz="0" w:space="0" w:color="auto"/>
            <w:bottom w:val="none" w:sz="0" w:space="0" w:color="auto"/>
            <w:right w:val="none" w:sz="0" w:space="0" w:color="auto"/>
          </w:divBdr>
          <w:divsChild>
            <w:div w:id="2029327401">
              <w:marLeft w:val="0"/>
              <w:marRight w:val="0"/>
              <w:marTop w:val="0"/>
              <w:marBottom w:val="0"/>
              <w:divBdr>
                <w:top w:val="none" w:sz="0" w:space="0" w:color="auto"/>
                <w:left w:val="none" w:sz="0" w:space="0" w:color="auto"/>
                <w:bottom w:val="none" w:sz="0" w:space="0" w:color="auto"/>
                <w:right w:val="none" w:sz="0" w:space="0" w:color="auto"/>
              </w:divBdr>
              <w:divsChild>
                <w:div w:id="173955191">
                  <w:marLeft w:val="0"/>
                  <w:marRight w:val="0"/>
                  <w:marTop w:val="0"/>
                  <w:marBottom w:val="0"/>
                  <w:divBdr>
                    <w:top w:val="none" w:sz="0" w:space="0" w:color="auto"/>
                    <w:left w:val="none" w:sz="0" w:space="0" w:color="auto"/>
                    <w:bottom w:val="none" w:sz="0" w:space="0" w:color="auto"/>
                    <w:right w:val="none" w:sz="0" w:space="0" w:color="auto"/>
                  </w:divBdr>
                  <w:divsChild>
                    <w:div w:id="148325022">
                      <w:marLeft w:val="0"/>
                      <w:marRight w:val="0"/>
                      <w:marTop w:val="120"/>
                      <w:marBottom w:val="0"/>
                      <w:divBdr>
                        <w:top w:val="none" w:sz="0" w:space="0" w:color="auto"/>
                        <w:left w:val="none" w:sz="0" w:space="0" w:color="auto"/>
                        <w:bottom w:val="none" w:sz="0" w:space="0" w:color="auto"/>
                        <w:right w:val="none" w:sz="0" w:space="0" w:color="auto"/>
                      </w:divBdr>
                    </w:div>
                    <w:div w:id="1067336205">
                      <w:marLeft w:val="0"/>
                      <w:marRight w:val="0"/>
                      <w:marTop w:val="0"/>
                      <w:marBottom w:val="0"/>
                      <w:divBdr>
                        <w:top w:val="none" w:sz="0" w:space="0" w:color="auto"/>
                        <w:left w:val="none" w:sz="0" w:space="0" w:color="auto"/>
                        <w:bottom w:val="none" w:sz="0" w:space="0" w:color="auto"/>
                        <w:right w:val="none" w:sz="0" w:space="0" w:color="auto"/>
                      </w:divBdr>
                    </w:div>
                  </w:divsChild>
                </w:div>
                <w:div w:id="219247199">
                  <w:marLeft w:val="0"/>
                  <w:marRight w:val="0"/>
                  <w:marTop w:val="0"/>
                  <w:marBottom w:val="0"/>
                  <w:divBdr>
                    <w:top w:val="none" w:sz="0" w:space="0" w:color="auto"/>
                    <w:left w:val="none" w:sz="0" w:space="0" w:color="auto"/>
                    <w:bottom w:val="none" w:sz="0" w:space="0" w:color="auto"/>
                    <w:right w:val="none" w:sz="0" w:space="0" w:color="auto"/>
                  </w:divBdr>
                  <w:divsChild>
                    <w:div w:id="635138725">
                      <w:marLeft w:val="0"/>
                      <w:marRight w:val="0"/>
                      <w:marTop w:val="120"/>
                      <w:marBottom w:val="0"/>
                      <w:divBdr>
                        <w:top w:val="none" w:sz="0" w:space="0" w:color="auto"/>
                        <w:left w:val="none" w:sz="0" w:space="0" w:color="auto"/>
                        <w:bottom w:val="none" w:sz="0" w:space="0" w:color="auto"/>
                        <w:right w:val="none" w:sz="0" w:space="0" w:color="auto"/>
                      </w:divBdr>
                    </w:div>
                    <w:div w:id="1485121265">
                      <w:marLeft w:val="0"/>
                      <w:marRight w:val="0"/>
                      <w:marTop w:val="0"/>
                      <w:marBottom w:val="0"/>
                      <w:divBdr>
                        <w:top w:val="none" w:sz="0" w:space="0" w:color="auto"/>
                        <w:left w:val="none" w:sz="0" w:space="0" w:color="auto"/>
                        <w:bottom w:val="none" w:sz="0" w:space="0" w:color="auto"/>
                        <w:right w:val="none" w:sz="0" w:space="0" w:color="auto"/>
                      </w:divBdr>
                    </w:div>
                  </w:divsChild>
                </w:div>
                <w:div w:id="407073071">
                  <w:marLeft w:val="0"/>
                  <w:marRight w:val="0"/>
                  <w:marTop w:val="0"/>
                  <w:marBottom w:val="0"/>
                  <w:divBdr>
                    <w:top w:val="none" w:sz="0" w:space="0" w:color="auto"/>
                    <w:left w:val="none" w:sz="0" w:space="0" w:color="auto"/>
                    <w:bottom w:val="none" w:sz="0" w:space="0" w:color="auto"/>
                    <w:right w:val="none" w:sz="0" w:space="0" w:color="auto"/>
                  </w:divBdr>
                  <w:divsChild>
                    <w:div w:id="1325743579">
                      <w:marLeft w:val="0"/>
                      <w:marRight w:val="0"/>
                      <w:marTop w:val="0"/>
                      <w:marBottom w:val="0"/>
                      <w:divBdr>
                        <w:top w:val="none" w:sz="0" w:space="0" w:color="auto"/>
                        <w:left w:val="none" w:sz="0" w:space="0" w:color="auto"/>
                        <w:bottom w:val="none" w:sz="0" w:space="0" w:color="auto"/>
                        <w:right w:val="none" w:sz="0" w:space="0" w:color="auto"/>
                      </w:divBdr>
                    </w:div>
                    <w:div w:id="1871800259">
                      <w:marLeft w:val="0"/>
                      <w:marRight w:val="0"/>
                      <w:marTop w:val="120"/>
                      <w:marBottom w:val="0"/>
                      <w:divBdr>
                        <w:top w:val="none" w:sz="0" w:space="0" w:color="auto"/>
                        <w:left w:val="none" w:sz="0" w:space="0" w:color="auto"/>
                        <w:bottom w:val="none" w:sz="0" w:space="0" w:color="auto"/>
                        <w:right w:val="none" w:sz="0" w:space="0" w:color="auto"/>
                      </w:divBdr>
                    </w:div>
                  </w:divsChild>
                </w:div>
                <w:div w:id="455832824">
                  <w:marLeft w:val="0"/>
                  <w:marRight w:val="0"/>
                  <w:marTop w:val="0"/>
                  <w:marBottom w:val="0"/>
                  <w:divBdr>
                    <w:top w:val="none" w:sz="0" w:space="0" w:color="auto"/>
                    <w:left w:val="none" w:sz="0" w:space="0" w:color="auto"/>
                    <w:bottom w:val="none" w:sz="0" w:space="0" w:color="auto"/>
                    <w:right w:val="none" w:sz="0" w:space="0" w:color="auto"/>
                  </w:divBdr>
                  <w:divsChild>
                    <w:div w:id="40204774">
                      <w:marLeft w:val="0"/>
                      <w:marRight w:val="0"/>
                      <w:marTop w:val="120"/>
                      <w:marBottom w:val="0"/>
                      <w:divBdr>
                        <w:top w:val="none" w:sz="0" w:space="0" w:color="auto"/>
                        <w:left w:val="none" w:sz="0" w:space="0" w:color="auto"/>
                        <w:bottom w:val="none" w:sz="0" w:space="0" w:color="auto"/>
                        <w:right w:val="none" w:sz="0" w:space="0" w:color="auto"/>
                      </w:divBdr>
                    </w:div>
                    <w:div w:id="583270411">
                      <w:marLeft w:val="0"/>
                      <w:marRight w:val="0"/>
                      <w:marTop w:val="0"/>
                      <w:marBottom w:val="0"/>
                      <w:divBdr>
                        <w:top w:val="none" w:sz="0" w:space="0" w:color="auto"/>
                        <w:left w:val="none" w:sz="0" w:space="0" w:color="auto"/>
                        <w:bottom w:val="none" w:sz="0" w:space="0" w:color="auto"/>
                        <w:right w:val="none" w:sz="0" w:space="0" w:color="auto"/>
                      </w:divBdr>
                    </w:div>
                  </w:divsChild>
                </w:div>
                <w:div w:id="835729825">
                  <w:marLeft w:val="0"/>
                  <w:marRight w:val="0"/>
                  <w:marTop w:val="0"/>
                  <w:marBottom w:val="0"/>
                  <w:divBdr>
                    <w:top w:val="none" w:sz="0" w:space="0" w:color="auto"/>
                    <w:left w:val="none" w:sz="0" w:space="0" w:color="auto"/>
                    <w:bottom w:val="none" w:sz="0" w:space="0" w:color="auto"/>
                    <w:right w:val="none" w:sz="0" w:space="0" w:color="auto"/>
                  </w:divBdr>
                  <w:divsChild>
                    <w:div w:id="1525627672">
                      <w:marLeft w:val="0"/>
                      <w:marRight w:val="0"/>
                      <w:marTop w:val="0"/>
                      <w:marBottom w:val="0"/>
                      <w:divBdr>
                        <w:top w:val="none" w:sz="0" w:space="0" w:color="auto"/>
                        <w:left w:val="none" w:sz="0" w:space="0" w:color="auto"/>
                        <w:bottom w:val="none" w:sz="0" w:space="0" w:color="auto"/>
                        <w:right w:val="none" w:sz="0" w:space="0" w:color="auto"/>
                      </w:divBdr>
                    </w:div>
                    <w:div w:id="1581021712">
                      <w:marLeft w:val="0"/>
                      <w:marRight w:val="0"/>
                      <w:marTop w:val="120"/>
                      <w:marBottom w:val="0"/>
                      <w:divBdr>
                        <w:top w:val="none" w:sz="0" w:space="0" w:color="auto"/>
                        <w:left w:val="none" w:sz="0" w:space="0" w:color="auto"/>
                        <w:bottom w:val="none" w:sz="0" w:space="0" w:color="auto"/>
                        <w:right w:val="none" w:sz="0" w:space="0" w:color="auto"/>
                      </w:divBdr>
                    </w:div>
                  </w:divsChild>
                </w:div>
                <w:div w:id="1328097127">
                  <w:marLeft w:val="0"/>
                  <w:marRight w:val="0"/>
                  <w:marTop w:val="0"/>
                  <w:marBottom w:val="0"/>
                  <w:divBdr>
                    <w:top w:val="none" w:sz="0" w:space="0" w:color="auto"/>
                    <w:left w:val="none" w:sz="0" w:space="0" w:color="auto"/>
                    <w:bottom w:val="none" w:sz="0" w:space="0" w:color="auto"/>
                    <w:right w:val="none" w:sz="0" w:space="0" w:color="auto"/>
                  </w:divBdr>
                  <w:divsChild>
                    <w:div w:id="583686139">
                      <w:marLeft w:val="0"/>
                      <w:marRight w:val="0"/>
                      <w:marTop w:val="0"/>
                      <w:marBottom w:val="0"/>
                      <w:divBdr>
                        <w:top w:val="none" w:sz="0" w:space="0" w:color="auto"/>
                        <w:left w:val="none" w:sz="0" w:space="0" w:color="auto"/>
                        <w:bottom w:val="none" w:sz="0" w:space="0" w:color="auto"/>
                        <w:right w:val="none" w:sz="0" w:space="0" w:color="auto"/>
                      </w:divBdr>
                    </w:div>
                    <w:div w:id="1354189043">
                      <w:marLeft w:val="0"/>
                      <w:marRight w:val="0"/>
                      <w:marTop w:val="120"/>
                      <w:marBottom w:val="0"/>
                      <w:divBdr>
                        <w:top w:val="none" w:sz="0" w:space="0" w:color="auto"/>
                        <w:left w:val="none" w:sz="0" w:space="0" w:color="auto"/>
                        <w:bottom w:val="none" w:sz="0" w:space="0" w:color="auto"/>
                        <w:right w:val="none" w:sz="0" w:space="0" w:color="auto"/>
                      </w:divBdr>
                    </w:div>
                  </w:divsChild>
                </w:div>
                <w:div w:id="1790735648">
                  <w:marLeft w:val="0"/>
                  <w:marRight w:val="0"/>
                  <w:marTop w:val="0"/>
                  <w:marBottom w:val="0"/>
                  <w:divBdr>
                    <w:top w:val="none" w:sz="0" w:space="0" w:color="auto"/>
                    <w:left w:val="none" w:sz="0" w:space="0" w:color="auto"/>
                    <w:bottom w:val="none" w:sz="0" w:space="0" w:color="auto"/>
                    <w:right w:val="none" w:sz="0" w:space="0" w:color="auto"/>
                  </w:divBdr>
                  <w:divsChild>
                    <w:div w:id="1356881903">
                      <w:marLeft w:val="0"/>
                      <w:marRight w:val="0"/>
                      <w:marTop w:val="120"/>
                      <w:marBottom w:val="0"/>
                      <w:divBdr>
                        <w:top w:val="none" w:sz="0" w:space="0" w:color="auto"/>
                        <w:left w:val="none" w:sz="0" w:space="0" w:color="auto"/>
                        <w:bottom w:val="none" w:sz="0" w:space="0" w:color="auto"/>
                        <w:right w:val="none" w:sz="0" w:space="0" w:color="auto"/>
                      </w:divBdr>
                    </w:div>
                    <w:div w:id="1852837108">
                      <w:marLeft w:val="0"/>
                      <w:marRight w:val="0"/>
                      <w:marTop w:val="0"/>
                      <w:marBottom w:val="0"/>
                      <w:divBdr>
                        <w:top w:val="none" w:sz="0" w:space="0" w:color="auto"/>
                        <w:left w:val="none" w:sz="0" w:space="0" w:color="auto"/>
                        <w:bottom w:val="none" w:sz="0" w:space="0" w:color="auto"/>
                        <w:right w:val="none" w:sz="0" w:space="0" w:color="auto"/>
                      </w:divBdr>
                    </w:div>
                  </w:divsChild>
                </w:div>
                <w:div w:id="1936131198">
                  <w:marLeft w:val="0"/>
                  <w:marRight w:val="0"/>
                  <w:marTop w:val="0"/>
                  <w:marBottom w:val="0"/>
                  <w:divBdr>
                    <w:top w:val="none" w:sz="0" w:space="0" w:color="auto"/>
                    <w:left w:val="none" w:sz="0" w:space="0" w:color="auto"/>
                    <w:bottom w:val="none" w:sz="0" w:space="0" w:color="auto"/>
                    <w:right w:val="none" w:sz="0" w:space="0" w:color="auto"/>
                  </w:divBdr>
                  <w:divsChild>
                    <w:div w:id="91291861">
                      <w:marLeft w:val="0"/>
                      <w:marRight w:val="0"/>
                      <w:marTop w:val="0"/>
                      <w:marBottom w:val="0"/>
                      <w:divBdr>
                        <w:top w:val="none" w:sz="0" w:space="0" w:color="auto"/>
                        <w:left w:val="none" w:sz="0" w:space="0" w:color="auto"/>
                        <w:bottom w:val="none" w:sz="0" w:space="0" w:color="auto"/>
                        <w:right w:val="none" w:sz="0" w:space="0" w:color="auto"/>
                      </w:divBdr>
                    </w:div>
                    <w:div w:id="955523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7460938">
          <w:marLeft w:val="0"/>
          <w:marRight w:val="0"/>
          <w:marTop w:val="0"/>
          <w:marBottom w:val="0"/>
          <w:divBdr>
            <w:top w:val="none" w:sz="0" w:space="0" w:color="auto"/>
            <w:left w:val="none" w:sz="0" w:space="0" w:color="auto"/>
            <w:bottom w:val="none" w:sz="0" w:space="0" w:color="auto"/>
            <w:right w:val="none" w:sz="0" w:space="0" w:color="auto"/>
          </w:divBdr>
          <w:divsChild>
            <w:div w:id="1809936728">
              <w:marLeft w:val="0"/>
              <w:marRight w:val="0"/>
              <w:marTop w:val="0"/>
              <w:marBottom w:val="0"/>
              <w:divBdr>
                <w:top w:val="none" w:sz="0" w:space="0" w:color="auto"/>
                <w:left w:val="none" w:sz="0" w:space="0" w:color="auto"/>
                <w:bottom w:val="none" w:sz="0" w:space="0" w:color="auto"/>
                <w:right w:val="none" w:sz="0" w:space="0" w:color="auto"/>
              </w:divBdr>
            </w:div>
          </w:divsChild>
        </w:div>
        <w:div w:id="1921405463">
          <w:marLeft w:val="0"/>
          <w:marRight w:val="0"/>
          <w:marTop w:val="0"/>
          <w:marBottom w:val="0"/>
          <w:divBdr>
            <w:top w:val="none" w:sz="0" w:space="0" w:color="auto"/>
            <w:left w:val="none" w:sz="0" w:space="0" w:color="auto"/>
            <w:bottom w:val="none" w:sz="0" w:space="0" w:color="auto"/>
            <w:right w:val="none" w:sz="0" w:space="0" w:color="auto"/>
          </w:divBdr>
          <w:divsChild>
            <w:div w:id="131752623">
              <w:marLeft w:val="0"/>
              <w:marRight w:val="0"/>
              <w:marTop w:val="0"/>
              <w:marBottom w:val="0"/>
              <w:divBdr>
                <w:top w:val="none" w:sz="0" w:space="0" w:color="auto"/>
                <w:left w:val="none" w:sz="0" w:space="0" w:color="auto"/>
                <w:bottom w:val="none" w:sz="0" w:space="0" w:color="auto"/>
                <w:right w:val="none" w:sz="0" w:space="0" w:color="auto"/>
              </w:divBdr>
            </w:div>
          </w:divsChild>
        </w:div>
        <w:div w:id="1988852105">
          <w:marLeft w:val="0"/>
          <w:marRight w:val="0"/>
          <w:marTop w:val="0"/>
          <w:marBottom w:val="0"/>
          <w:divBdr>
            <w:top w:val="none" w:sz="0" w:space="0" w:color="auto"/>
            <w:left w:val="none" w:sz="0" w:space="0" w:color="auto"/>
            <w:bottom w:val="none" w:sz="0" w:space="0" w:color="auto"/>
            <w:right w:val="none" w:sz="0" w:space="0" w:color="auto"/>
          </w:divBdr>
          <w:divsChild>
            <w:div w:id="357660770">
              <w:marLeft w:val="0"/>
              <w:marRight w:val="0"/>
              <w:marTop w:val="0"/>
              <w:marBottom w:val="0"/>
              <w:divBdr>
                <w:top w:val="none" w:sz="0" w:space="0" w:color="auto"/>
                <w:left w:val="none" w:sz="0" w:space="0" w:color="auto"/>
                <w:bottom w:val="none" w:sz="0" w:space="0" w:color="auto"/>
                <w:right w:val="none" w:sz="0" w:space="0" w:color="auto"/>
              </w:divBdr>
              <w:divsChild>
                <w:div w:id="90392441">
                  <w:marLeft w:val="0"/>
                  <w:marRight w:val="0"/>
                  <w:marTop w:val="0"/>
                  <w:marBottom w:val="0"/>
                  <w:divBdr>
                    <w:top w:val="none" w:sz="0" w:space="0" w:color="auto"/>
                    <w:left w:val="none" w:sz="0" w:space="0" w:color="auto"/>
                    <w:bottom w:val="none" w:sz="0" w:space="0" w:color="auto"/>
                    <w:right w:val="none" w:sz="0" w:space="0" w:color="auto"/>
                  </w:divBdr>
                  <w:divsChild>
                    <w:div w:id="1496455967">
                      <w:marLeft w:val="0"/>
                      <w:marRight w:val="0"/>
                      <w:marTop w:val="0"/>
                      <w:marBottom w:val="0"/>
                      <w:divBdr>
                        <w:top w:val="none" w:sz="0" w:space="0" w:color="auto"/>
                        <w:left w:val="none" w:sz="0" w:space="0" w:color="auto"/>
                        <w:bottom w:val="none" w:sz="0" w:space="0" w:color="auto"/>
                        <w:right w:val="none" w:sz="0" w:space="0" w:color="auto"/>
                      </w:divBdr>
                    </w:div>
                    <w:div w:id="1871840542">
                      <w:marLeft w:val="0"/>
                      <w:marRight w:val="0"/>
                      <w:marTop w:val="120"/>
                      <w:marBottom w:val="0"/>
                      <w:divBdr>
                        <w:top w:val="none" w:sz="0" w:space="0" w:color="auto"/>
                        <w:left w:val="none" w:sz="0" w:space="0" w:color="auto"/>
                        <w:bottom w:val="none" w:sz="0" w:space="0" w:color="auto"/>
                        <w:right w:val="none" w:sz="0" w:space="0" w:color="auto"/>
                      </w:divBdr>
                    </w:div>
                  </w:divsChild>
                </w:div>
                <w:div w:id="640965676">
                  <w:marLeft w:val="0"/>
                  <w:marRight w:val="0"/>
                  <w:marTop w:val="0"/>
                  <w:marBottom w:val="0"/>
                  <w:divBdr>
                    <w:top w:val="none" w:sz="0" w:space="0" w:color="auto"/>
                    <w:left w:val="none" w:sz="0" w:space="0" w:color="auto"/>
                    <w:bottom w:val="none" w:sz="0" w:space="0" w:color="auto"/>
                    <w:right w:val="none" w:sz="0" w:space="0" w:color="auto"/>
                  </w:divBdr>
                  <w:divsChild>
                    <w:div w:id="199824306">
                      <w:marLeft w:val="0"/>
                      <w:marRight w:val="0"/>
                      <w:marTop w:val="0"/>
                      <w:marBottom w:val="0"/>
                      <w:divBdr>
                        <w:top w:val="none" w:sz="0" w:space="0" w:color="auto"/>
                        <w:left w:val="none" w:sz="0" w:space="0" w:color="auto"/>
                        <w:bottom w:val="none" w:sz="0" w:space="0" w:color="auto"/>
                        <w:right w:val="none" w:sz="0" w:space="0" w:color="auto"/>
                      </w:divBdr>
                    </w:div>
                    <w:div w:id="1236742625">
                      <w:marLeft w:val="0"/>
                      <w:marRight w:val="0"/>
                      <w:marTop w:val="120"/>
                      <w:marBottom w:val="0"/>
                      <w:divBdr>
                        <w:top w:val="none" w:sz="0" w:space="0" w:color="auto"/>
                        <w:left w:val="none" w:sz="0" w:space="0" w:color="auto"/>
                        <w:bottom w:val="none" w:sz="0" w:space="0" w:color="auto"/>
                        <w:right w:val="none" w:sz="0" w:space="0" w:color="auto"/>
                      </w:divBdr>
                    </w:div>
                  </w:divsChild>
                </w:div>
                <w:div w:id="790396371">
                  <w:marLeft w:val="0"/>
                  <w:marRight w:val="0"/>
                  <w:marTop w:val="0"/>
                  <w:marBottom w:val="0"/>
                  <w:divBdr>
                    <w:top w:val="none" w:sz="0" w:space="0" w:color="auto"/>
                    <w:left w:val="none" w:sz="0" w:space="0" w:color="auto"/>
                    <w:bottom w:val="none" w:sz="0" w:space="0" w:color="auto"/>
                    <w:right w:val="none" w:sz="0" w:space="0" w:color="auto"/>
                  </w:divBdr>
                  <w:divsChild>
                    <w:div w:id="1220675930">
                      <w:marLeft w:val="0"/>
                      <w:marRight w:val="0"/>
                      <w:marTop w:val="120"/>
                      <w:marBottom w:val="0"/>
                      <w:divBdr>
                        <w:top w:val="none" w:sz="0" w:space="0" w:color="auto"/>
                        <w:left w:val="none" w:sz="0" w:space="0" w:color="auto"/>
                        <w:bottom w:val="none" w:sz="0" w:space="0" w:color="auto"/>
                        <w:right w:val="none" w:sz="0" w:space="0" w:color="auto"/>
                      </w:divBdr>
                    </w:div>
                    <w:div w:id="1271472925">
                      <w:marLeft w:val="0"/>
                      <w:marRight w:val="0"/>
                      <w:marTop w:val="0"/>
                      <w:marBottom w:val="0"/>
                      <w:divBdr>
                        <w:top w:val="none" w:sz="0" w:space="0" w:color="auto"/>
                        <w:left w:val="none" w:sz="0" w:space="0" w:color="auto"/>
                        <w:bottom w:val="none" w:sz="0" w:space="0" w:color="auto"/>
                        <w:right w:val="none" w:sz="0" w:space="0" w:color="auto"/>
                      </w:divBdr>
                    </w:div>
                  </w:divsChild>
                </w:div>
                <w:div w:id="876969307">
                  <w:marLeft w:val="0"/>
                  <w:marRight w:val="0"/>
                  <w:marTop w:val="0"/>
                  <w:marBottom w:val="0"/>
                  <w:divBdr>
                    <w:top w:val="none" w:sz="0" w:space="0" w:color="auto"/>
                    <w:left w:val="none" w:sz="0" w:space="0" w:color="auto"/>
                    <w:bottom w:val="none" w:sz="0" w:space="0" w:color="auto"/>
                    <w:right w:val="none" w:sz="0" w:space="0" w:color="auto"/>
                  </w:divBdr>
                  <w:divsChild>
                    <w:div w:id="766654143">
                      <w:marLeft w:val="0"/>
                      <w:marRight w:val="0"/>
                      <w:marTop w:val="120"/>
                      <w:marBottom w:val="0"/>
                      <w:divBdr>
                        <w:top w:val="none" w:sz="0" w:space="0" w:color="auto"/>
                        <w:left w:val="none" w:sz="0" w:space="0" w:color="auto"/>
                        <w:bottom w:val="none" w:sz="0" w:space="0" w:color="auto"/>
                        <w:right w:val="none" w:sz="0" w:space="0" w:color="auto"/>
                      </w:divBdr>
                    </w:div>
                    <w:div w:id="1239095586">
                      <w:marLeft w:val="0"/>
                      <w:marRight w:val="0"/>
                      <w:marTop w:val="0"/>
                      <w:marBottom w:val="0"/>
                      <w:divBdr>
                        <w:top w:val="none" w:sz="0" w:space="0" w:color="auto"/>
                        <w:left w:val="none" w:sz="0" w:space="0" w:color="auto"/>
                        <w:bottom w:val="none" w:sz="0" w:space="0" w:color="auto"/>
                        <w:right w:val="none" w:sz="0" w:space="0" w:color="auto"/>
                      </w:divBdr>
                    </w:div>
                  </w:divsChild>
                </w:div>
                <w:div w:id="934170069">
                  <w:marLeft w:val="0"/>
                  <w:marRight w:val="0"/>
                  <w:marTop w:val="0"/>
                  <w:marBottom w:val="0"/>
                  <w:divBdr>
                    <w:top w:val="none" w:sz="0" w:space="0" w:color="auto"/>
                    <w:left w:val="none" w:sz="0" w:space="0" w:color="auto"/>
                    <w:bottom w:val="none" w:sz="0" w:space="0" w:color="auto"/>
                    <w:right w:val="none" w:sz="0" w:space="0" w:color="auto"/>
                  </w:divBdr>
                  <w:divsChild>
                    <w:div w:id="243955788">
                      <w:marLeft w:val="0"/>
                      <w:marRight w:val="0"/>
                      <w:marTop w:val="0"/>
                      <w:marBottom w:val="0"/>
                      <w:divBdr>
                        <w:top w:val="none" w:sz="0" w:space="0" w:color="auto"/>
                        <w:left w:val="none" w:sz="0" w:space="0" w:color="auto"/>
                        <w:bottom w:val="none" w:sz="0" w:space="0" w:color="auto"/>
                        <w:right w:val="none" w:sz="0" w:space="0" w:color="auto"/>
                      </w:divBdr>
                    </w:div>
                    <w:div w:id="373386978">
                      <w:marLeft w:val="0"/>
                      <w:marRight w:val="0"/>
                      <w:marTop w:val="120"/>
                      <w:marBottom w:val="0"/>
                      <w:divBdr>
                        <w:top w:val="none" w:sz="0" w:space="0" w:color="auto"/>
                        <w:left w:val="none" w:sz="0" w:space="0" w:color="auto"/>
                        <w:bottom w:val="none" w:sz="0" w:space="0" w:color="auto"/>
                        <w:right w:val="none" w:sz="0" w:space="0" w:color="auto"/>
                      </w:divBdr>
                    </w:div>
                  </w:divsChild>
                </w:div>
                <w:div w:id="1482622624">
                  <w:marLeft w:val="0"/>
                  <w:marRight w:val="0"/>
                  <w:marTop w:val="0"/>
                  <w:marBottom w:val="0"/>
                  <w:divBdr>
                    <w:top w:val="none" w:sz="0" w:space="0" w:color="auto"/>
                    <w:left w:val="none" w:sz="0" w:space="0" w:color="auto"/>
                    <w:bottom w:val="none" w:sz="0" w:space="0" w:color="auto"/>
                    <w:right w:val="none" w:sz="0" w:space="0" w:color="auto"/>
                  </w:divBdr>
                  <w:divsChild>
                    <w:div w:id="1986354942">
                      <w:marLeft w:val="0"/>
                      <w:marRight w:val="0"/>
                      <w:marTop w:val="0"/>
                      <w:marBottom w:val="0"/>
                      <w:divBdr>
                        <w:top w:val="none" w:sz="0" w:space="0" w:color="auto"/>
                        <w:left w:val="none" w:sz="0" w:space="0" w:color="auto"/>
                        <w:bottom w:val="none" w:sz="0" w:space="0" w:color="auto"/>
                        <w:right w:val="none" w:sz="0" w:space="0" w:color="auto"/>
                      </w:divBdr>
                    </w:div>
                    <w:div w:id="2140493997">
                      <w:marLeft w:val="0"/>
                      <w:marRight w:val="0"/>
                      <w:marTop w:val="120"/>
                      <w:marBottom w:val="0"/>
                      <w:divBdr>
                        <w:top w:val="none" w:sz="0" w:space="0" w:color="auto"/>
                        <w:left w:val="none" w:sz="0" w:space="0" w:color="auto"/>
                        <w:bottom w:val="none" w:sz="0" w:space="0" w:color="auto"/>
                        <w:right w:val="none" w:sz="0" w:space="0" w:color="auto"/>
                      </w:divBdr>
                    </w:div>
                  </w:divsChild>
                </w:div>
                <w:div w:id="1622833917">
                  <w:marLeft w:val="0"/>
                  <w:marRight w:val="0"/>
                  <w:marTop w:val="0"/>
                  <w:marBottom w:val="0"/>
                  <w:divBdr>
                    <w:top w:val="none" w:sz="0" w:space="0" w:color="auto"/>
                    <w:left w:val="none" w:sz="0" w:space="0" w:color="auto"/>
                    <w:bottom w:val="none" w:sz="0" w:space="0" w:color="auto"/>
                    <w:right w:val="none" w:sz="0" w:space="0" w:color="auto"/>
                  </w:divBdr>
                  <w:divsChild>
                    <w:div w:id="1652708657">
                      <w:marLeft w:val="0"/>
                      <w:marRight w:val="0"/>
                      <w:marTop w:val="120"/>
                      <w:marBottom w:val="0"/>
                      <w:divBdr>
                        <w:top w:val="none" w:sz="0" w:space="0" w:color="auto"/>
                        <w:left w:val="none" w:sz="0" w:space="0" w:color="auto"/>
                        <w:bottom w:val="none" w:sz="0" w:space="0" w:color="auto"/>
                        <w:right w:val="none" w:sz="0" w:space="0" w:color="auto"/>
                      </w:divBdr>
                    </w:div>
                    <w:div w:id="1828814559">
                      <w:marLeft w:val="0"/>
                      <w:marRight w:val="0"/>
                      <w:marTop w:val="0"/>
                      <w:marBottom w:val="0"/>
                      <w:divBdr>
                        <w:top w:val="none" w:sz="0" w:space="0" w:color="auto"/>
                        <w:left w:val="none" w:sz="0" w:space="0" w:color="auto"/>
                        <w:bottom w:val="none" w:sz="0" w:space="0" w:color="auto"/>
                        <w:right w:val="none" w:sz="0" w:space="0" w:color="auto"/>
                      </w:divBdr>
                    </w:div>
                  </w:divsChild>
                </w:div>
                <w:div w:id="2125729515">
                  <w:marLeft w:val="0"/>
                  <w:marRight w:val="0"/>
                  <w:marTop w:val="0"/>
                  <w:marBottom w:val="0"/>
                  <w:divBdr>
                    <w:top w:val="none" w:sz="0" w:space="0" w:color="auto"/>
                    <w:left w:val="none" w:sz="0" w:space="0" w:color="auto"/>
                    <w:bottom w:val="none" w:sz="0" w:space="0" w:color="auto"/>
                    <w:right w:val="none" w:sz="0" w:space="0" w:color="auto"/>
                  </w:divBdr>
                  <w:divsChild>
                    <w:div w:id="579605732">
                      <w:marLeft w:val="0"/>
                      <w:marRight w:val="0"/>
                      <w:marTop w:val="0"/>
                      <w:marBottom w:val="0"/>
                      <w:divBdr>
                        <w:top w:val="none" w:sz="0" w:space="0" w:color="auto"/>
                        <w:left w:val="none" w:sz="0" w:space="0" w:color="auto"/>
                        <w:bottom w:val="none" w:sz="0" w:space="0" w:color="auto"/>
                        <w:right w:val="none" w:sz="0" w:space="0" w:color="auto"/>
                      </w:divBdr>
                    </w:div>
                    <w:div w:id="8740063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4457243">
      <w:bodyDiv w:val="1"/>
      <w:marLeft w:val="0"/>
      <w:marRight w:val="0"/>
      <w:marTop w:val="0"/>
      <w:marBottom w:val="0"/>
      <w:divBdr>
        <w:top w:val="none" w:sz="0" w:space="0" w:color="auto"/>
        <w:left w:val="none" w:sz="0" w:space="0" w:color="auto"/>
        <w:bottom w:val="none" w:sz="0" w:space="0" w:color="auto"/>
        <w:right w:val="none" w:sz="0" w:space="0" w:color="auto"/>
      </w:divBdr>
      <w:divsChild>
        <w:div w:id="1139222945">
          <w:marLeft w:val="0"/>
          <w:marRight w:val="0"/>
          <w:marTop w:val="0"/>
          <w:marBottom w:val="0"/>
          <w:divBdr>
            <w:top w:val="none" w:sz="0" w:space="0" w:color="auto"/>
            <w:left w:val="none" w:sz="0" w:space="0" w:color="auto"/>
            <w:bottom w:val="none" w:sz="0" w:space="0" w:color="auto"/>
            <w:right w:val="none" w:sz="0" w:space="0" w:color="auto"/>
          </w:divBdr>
          <w:divsChild>
            <w:div w:id="135421116">
              <w:marLeft w:val="0"/>
              <w:marRight w:val="0"/>
              <w:marTop w:val="0"/>
              <w:marBottom w:val="0"/>
              <w:divBdr>
                <w:top w:val="none" w:sz="0" w:space="0" w:color="auto"/>
                <w:left w:val="none" w:sz="0" w:space="0" w:color="auto"/>
                <w:bottom w:val="none" w:sz="0" w:space="0" w:color="auto"/>
                <w:right w:val="none" w:sz="0" w:space="0" w:color="auto"/>
              </w:divBdr>
              <w:divsChild>
                <w:div w:id="1099644553">
                  <w:marLeft w:val="0"/>
                  <w:marRight w:val="0"/>
                  <w:marTop w:val="0"/>
                  <w:marBottom w:val="0"/>
                  <w:divBdr>
                    <w:top w:val="none" w:sz="0" w:space="0" w:color="auto"/>
                    <w:left w:val="none" w:sz="0" w:space="0" w:color="auto"/>
                    <w:bottom w:val="none" w:sz="0" w:space="0" w:color="auto"/>
                    <w:right w:val="none" w:sz="0" w:space="0" w:color="auto"/>
                  </w:divBdr>
                  <w:divsChild>
                    <w:div w:id="702022301">
                      <w:marLeft w:val="0"/>
                      <w:marRight w:val="0"/>
                      <w:marTop w:val="120"/>
                      <w:marBottom w:val="0"/>
                      <w:divBdr>
                        <w:top w:val="none" w:sz="0" w:space="0" w:color="auto"/>
                        <w:left w:val="none" w:sz="0" w:space="0" w:color="auto"/>
                        <w:bottom w:val="none" w:sz="0" w:space="0" w:color="auto"/>
                        <w:right w:val="none" w:sz="0" w:space="0" w:color="auto"/>
                      </w:divBdr>
                    </w:div>
                    <w:div w:id="1083066915">
                      <w:marLeft w:val="0"/>
                      <w:marRight w:val="0"/>
                      <w:marTop w:val="0"/>
                      <w:marBottom w:val="0"/>
                      <w:divBdr>
                        <w:top w:val="none" w:sz="0" w:space="0" w:color="auto"/>
                        <w:left w:val="none" w:sz="0" w:space="0" w:color="auto"/>
                        <w:bottom w:val="none" w:sz="0" w:space="0" w:color="auto"/>
                        <w:right w:val="none" w:sz="0" w:space="0" w:color="auto"/>
                      </w:divBdr>
                    </w:div>
                  </w:divsChild>
                </w:div>
                <w:div w:id="1202009590">
                  <w:marLeft w:val="0"/>
                  <w:marRight w:val="0"/>
                  <w:marTop w:val="0"/>
                  <w:marBottom w:val="0"/>
                  <w:divBdr>
                    <w:top w:val="none" w:sz="0" w:space="0" w:color="auto"/>
                    <w:left w:val="none" w:sz="0" w:space="0" w:color="auto"/>
                    <w:bottom w:val="none" w:sz="0" w:space="0" w:color="auto"/>
                    <w:right w:val="none" w:sz="0" w:space="0" w:color="auto"/>
                  </w:divBdr>
                  <w:divsChild>
                    <w:div w:id="532231225">
                      <w:marLeft w:val="0"/>
                      <w:marRight w:val="0"/>
                      <w:marTop w:val="120"/>
                      <w:marBottom w:val="0"/>
                      <w:divBdr>
                        <w:top w:val="none" w:sz="0" w:space="0" w:color="auto"/>
                        <w:left w:val="none" w:sz="0" w:space="0" w:color="auto"/>
                        <w:bottom w:val="none" w:sz="0" w:space="0" w:color="auto"/>
                        <w:right w:val="none" w:sz="0" w:space="0" w:color="auto"/>
                      </w:divBdr>
                    </w:div>
                    <w:div w:id="2102407857">
                      <w:marLeft w:val="0"/>
                      <w:marRight w:val="0"/>
                      <w:marTop w:val="0"/>
                      <w:marBottom w:val="0"/>
                      <w:divBdr>
                        <w:top w:val="none" w:sz="0" w:space="0" w:color="auto"/>
                        <w:left w:val="none" w:sz="0" w:space="0" w:color="auto"/>
                        <w:bottom w:val="none" w:sz="0" w:space="0" w:color="auto"/>
                        <w:right w:val="none" w:sz="0" w:space="0" w:color="auto"/>
                      </w:divBdr>
                    </w:div>
                  </w:divsChild>
                </w:div>
                <w:div w:id="1783918300">
                  <w:marLeft w:val="0"/>
                  <w:marRight w:val="0"/>
                  <w:marTop w:val="0"/>
                  <w:marBottom w:val="0"/>
                  <w:divBdr>
                    <w:top w:val="none" w:sz="0" w:space="0" w:color="auto"/>
                    <w:left w:val="none" w:sz="0" w:space="0" w:color="auto"/>
                    <w:bottom w:val="none" w:sz="0" w:space="0" w:color="auto"/>
                    <w:right w:val="none" w:sz="0" w:space="0" w:color="auto"/>
                  </w:divBdr>
                  <w:divsChild>
                    <w:div w:id="357781452">
                      <w:marLeft w:val="0"/>
                      <w:marRight w:val="0"/>
                      <w:marTop w:val="120"/>
                      <w:marBottom w:val="0"/>
                      <w:divBdr>
                        <w:top w:val="none" w:sz="0" w:space="0" w:color="auto"/>
                        <w:left w:val="none" w:sz="0" w:space="0" w:color="auto"/>
                        <w:bottom w:val="none" w:sz="0" w:space="0" w:color="auto"/>
                        <w:right w:val="none" w:sz="0" w:space="0" w:color="auto"/>
                      </w:divBdr>
                    </w:div>
                    <w:div w:id="16641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6169">
          <w:marLeft w:val="0"/>
          <w:marRight w:val="0"/>
          <w:marTop w:val="0"/>
          <w:marBottom w:val="0"/>
          <w:divBdr>
            <w:top w:val="none" w:sz="0" w:space="0" w:color="auto"/>
            <w:left w:val="none" w:sz="0" w:space="0" w:color="auto"/>
            <w:bottom w:val="none" w:sz="0" w:space="0" w:color="auto"/>
            <w:right w:val="none" w:sz="0" w:space="0" w:color="auto"/>
          </w:divBdr>
          <w:divsChild>
            <w:div w:id="309293836">
              <w:marLeft w:val="0"/>
              <w:marRight w:val="0"/>
              <w:marTop w:val="0"/>
              <w:marBottom w:val="0"/>
              <w:divBdr>
                <w:top w:val="none" w:sz="0" w:space="0" w:color="auto"/>
                <w:left w:val="none" w:sz="0" w:space="0" w:color="auto"/>
                <w:bottom w:val="none" w:sz="0" w:space="0" w:color="auto"/>
                <w:right w:val="none" w:sz="0" w:space="0" w:color="auto"/>
              </w:divBdr>
            </w:div>
          </w:divsChild>
        </w:div>
        <w:div w:id="1336569100">
          <w:marLeft w:val="0"/>
          <w:marRight w:val="0"/>
          <w:marTop w:val="0"/>
          <w:marBottom w:val="0"/>
          <w:divBdr>
            <w:top w:val="none" w:sz="0" w:space="0" w:color="auto"/>
            <w:left w:val="none" w:sz="0" w:space="0" w:color="auto"/>
            <w:bottom w:val="none" w:sz="0" w:space="0" w:color="auto"/>
            <w:right w:val="none" w:sz="0" w:space="0" w:color="auto"/>
          </w:divBdr>
          <w:divsChild>
            <w:div w:id="748770439">
              <w:marLeft w:val="0"/>
              <w:marRight w:val="0"/>
              <w:marTop w:val="0"/>
              <w:marBottom w:val="0"/>
              <w:divBdr>
                <w:top w:val="none" w:sz="0" w:space="0" w:color="auto"/>
                <w:left w:val="none" w:sz="0" w:space="0" w:color="auto"/>
                <w:bottom w:val="none" w:sz="0" w:space="0" w:color="auto"/>
                <w:right w:val="none" w:sz="0" w:space="0" w:color="auto"/>
              </w:divBdr>
            </w:div>
          </w:divsChild>
        </w:div>
        <w:div w:id="1692683387">
          <w:marLeft w:val="0"/>
          <w:marRight w:val="0"/>
          <w:marTop w:val="0"/>
          <w:marBottom w:val="0"/>
          <w:divBdr>
            <w:top w:val="none" w:sz="0" w:space="0" w:color="auto"/>
            <w:left w:val="none" w:sz="0" w:space="0" w:color="auto"/>
            <w:bottom w:val="none" w:sz="0" w:space="0" w:color="auto"/>
            <w:right w:val="none" w:sz="0" w:space="0" w:color="auto"/>
          </w:divBdr>
          <w:divsChild>
            <w:div w:id="13497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103">
      <w:bodyDiv w:val="1"/>
      <w:marLeft w:val="0"/>
      <w:marRight w:val="0"/>
      <w:marTop w:val="0"/>
      <w:marBottom w:val="0"/>
      <w:divBdr>
        <w:top w:val="none" w:sz="0" w:space="0" w:color="auto"/>
        <w:left w:val="none" w:sz="0" w:space="0" w:color="auto"/>
        <w:bottom w:val="none" w:sz="0" w:space="0" w:color="auto"/>
        <w:right w:val="none" w:sz="0" w:space="0" w:color="auto"/>
      </w:divBdr>
      <w:divsChild>
        <w:div w:id="1177185258">
          <w:marLeft w:val="0"/>
          <w:marRight w:val="0"/>
          <w:marTop w:val="0"/>
          <w:marBottom w:val="0"/>
          <w:divBdr>
            <w:top w:val="none" w:sz="0" w:space="0" w:color="auto"/>
            <w:left w:val="none" w:sz="0" w:space="0" w:color="auto"/>
            <w:bottom w:val="none" w:sz="0" w:space="0" w:color="auto"/>
            <w:right w:val="none" w:sz="0" w:space="0" w:color="auto"/>
          </w:divBdr>
          <w:divsChild>
            <w:div w:id="786043323">
              <w:marLeft w:val="0"/>
              <w:marRight w:val="0"/>
              <w:marTop w:val="0"/>
              <w:marBottom w:val="0"/>
              <w:divBdr>
                <w:top w:val="none" w:sz="0" w:space="0" w:color="auto"/>
                <w:left w:val="none" w:sz="0" w:space="0" w:color="auto"/>
                <w:bottom w:val="none" w:sz="0" w:space="0" w:color="auto"/>
                <w:right w:val="none" w:sz="0" w:space="0" w:color="auto"/>
              </w:divBdr>
              <w:divsChild>
                <w:div w:id="621502839">
                  <w:marLeft w:val="0"/>
                  <w:marRight w:val="0"/>
                  <w:marTop w:val="0"/>
                  <w:marBottom w:val="0"/>
                  <w:divBdr>
                    <w:top w:val="none" w:sz="0" w:space="0" w:color="auto"/>
                    <w:left w:val="none" w:sz="0" w:space="0" w:color="auto"/>
                    <w:bottom w:val="none" w:sz="0" w:space="0" w:color="auto"/>
                    <w:right w:val="none" w:sz="0" w:space="0" w:color="auto"/>
                  </w:divBdr>
                  <w:divsChild>
                    <w:div w:id="552232484">
                      <w:marLeft w:val="0"/>
                      <w:marRight w:val="0"/>
                      <w:marTop w:val="0"/>
                      <w:marBottom w:val="0"/>
                      <w:divBdr>
                        <w:top w:val="none" w:sz="0" w:space="0" w:color="auto"/>
                        <w:left w:val="none" w:sz="0" w:space="0" w:color="auto"/>
                        <w:bottom w:val="none" w:sz="0" w:space="0" w:color="auto"/>
                        <w:right w:val="none" w:sz="0" w:space="0" w:color="auto"/>
                      </w:divBdr>
                    </w:div>
                    <w:div w:id="1879656864">
                      <w:marLeft w:val="0"/>
                      <w:marRight w:val="0"/>
                      <w:marTop w:val="120"/>
                      <w:marBottom w:val="0"/>
                      <w:divBdr>
                        <w:top w:val="none" w:sz="0" w:space="0" w:color="auto"/>
                        <w:left w:val="none" w:sz="0" w:space="0" w:color="auto"/>
                        <w:bottom w:val="none" w:sz="0" w:space="0" w:color="auto"/>
                        <w:right w:val="none" w:sz="0" w:space="0" w:color="auto"/>
                      </w:divBdr>
                    </w:div>
                  </w:divsChild>
                </w:div>
                <w:div w:id="964384900">
                  <w:marLeft w:val="0"/>
                  <w:marRight w:val="0"/>
                  <w:marTop w:val="0"/>
                  <w:marBottom w:val="0"/>
                  <w:divBdr>
                    <w:top w:val="none" w:sz="0" w:space="0" w:color="auto"/>
                    <w:left w:val="none" w:sz="0" w:space="0" w:color="auto"/>
                    <w:bottom w:val="none" w:sz="0" w:space="0" w:color="auto"/>
                    <w:right w:val="none" w:sz="0" w:space="0" w:color="auto"/>
                  </w:divBdr>
                  <w:divsChild>
                    <w:div w:id="1283610398">
                      <w:marLeft w:val="0"/>
                      <w:marRight w:val="0"/>
                      <w:marTop w:val="0"/>
                      <w:marBottom w:val="0"/>
                      <w:divBdr>
                        <w:top w:val="none" w:sz="0" w:space="0" w:color="auto"/>
                        <w:left w:val="none" w:sz="0" w:space="0" w:color="auto"/>
                        <w:bottom w:val="none" w:sz="0" w:space="0" w:color="auto"/>
                        <w:right w:val="none" w:sz="0" w:space="0" w:color="auto"/>
                      </w:divBdr>
                    </w:div>
                    <w:div w:id="1811095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69064445">
      <w:bodyDiv w:val="1"/>
      <w:marLeft w:val="0"/>
      <w:marRight w:val="0"/>
      <w:marTop w:val="0"/>
      <w:marBottom w:val="0"/>
      <w:divBdr>
        <w:top w:val="none" w:sz="0" w:space="0" w:color="auto"/>
        <w:left w:val="none" w:sz="0" w:space="0" w:color="auto"/>
        <w:bottom w:val="none" w:sz="0" w:space="0" w:color="auto"/>
        <w:right w:val="none" w:sz="0" w:space="0" w:color="auto"/>
      </w:divBdr>
      <w:divsChild>
        <w:div w:id="1155489619">
          <w:marLeft w:val="0"/>
          <w:marRight w:val="0"/>
          <w:marTop w:val="0"/>
          <w:marBottom w:val="0"/>
          <w:divBdr>
            <w:top w:val="none" w:sz="0" w:space="0" w:color="auto"/>
            <w:left w:val="none" w:sz="0" w:space="0" w:color="auto"/>
            <w:bottom w:val="none" w:sz="0" w:space="0" w:color="auto"/>
            <w:right w:val="none" w:sz="0" w:space="0" w:color="auto"/>
          </w:divBdr>
          <w:divsChild>
            <w:div w:id="14007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7516">
      <w:bodyDiv w:val="1"/>
      <w:marLeft w:val="0"/>
      <w:marRight w:val="0"/>
      <w:marTop w:val="0"/>
      <w:marBottom w:val="0"/>
      <w:divBdr>
        <w:top w:val="none" w:sz="0" w:space="0" w:color="auto"/>
        <w:left w:val="none" w:sz="0" w:space="0" w:color="auto"/>
        <w:bottom w:val="none" w:sz="0" w:space="0" w:color="auto"/>
        <w:right w:val="none" w:sz="0" w:space="0" w:color="auto"/>
      </w:divBdr>
    </w:div>
    <w:div w:id="676616584">
      <w:bodyDiv w:val="1"/>
      <w:marLeft w:val="0"/>
      <w:marRight w:val="0"/>
      <w:marTop w:val="0"/>
      <w:marBottom w:val="0"/>
      <w:divBdr>
        <w:top w:val="none" w:sz="0" w:space="0" w:color="auto"/>
        <w:left w:val="none" w:sz="0" w:space="0" w:color="auto"/>
        <w:bottom w:val="none" w:sz="0" w:space="0" w:color="auto"/>
        <w:right w:val="none" w:sz="0" w:space="0" w:color="auto"/>
      </w:divBdr>
      <w:divsChild>
        <w:div w:id="281420220">
          <w:marLeft w:val="0"/>
          <w:marRight w:val="0"/>
          <w:marTop w:val="0"/>
          <w:marBottom w:val="0"/>
          <w:divBdr>
            <w:top w:val="none" w:sz="0" w:space="0" w:color="auto"/>
            <w:left w:val="none" w:sz="0" w:space="0" w:color="auto"/>
            <w:bottom w:val="none" w:sz="0" w:space="0" w:color="auto"/>
            <w:right w:val="none" w:sz="0" w:space="0" w:color="auto"/>
          </w:divBdr>
        </w:div>
      </w:divsChild>
    </w:div>
    <w:div w:id="681788012">
      <w:bodyDiv w:val="1"/>
      <w:marLeft w:val="0"/>
      <w:marRight w:val="0"/>
      <w:marTop w:val="0"/>
      <w:marBottom w:val="0"/>
      <w:divBdr>
        <w:top w:val="none" w:sz="0" w:space="0" w:color="auto"/>
        <w:left w:val="none" w:sz="0" w:space="0" w:color="auto"/>
        <w:bottom w:val="none" w:sz="0" w:space="0" w:color="auto"/>
        <w:right w:val="none" w:sz="0" w:space="0" w:color="auto"/>
      </w:divBdr>
      <w:divsChild>
        <w:div w:id="1501234237">
          <w:marLeft w:val="0"/>
          <w:marRight w:val="0"/>
          <w:marTop w:val="0"/>
          <w:marBottom w:val="0"/>
          <w:divBdr>
            <w:top w:val="none" w:sz="0" w:space="0" w:color="auto"/>
            <w:left w:val="none" w:sz="0" w:space="0" w:color="auto"/>
            <w:bottom w:val="none" w:sz="0" w:space="0" w:color="auto"/>
            <w:right w:val="none" w:sz="0" w:space="0" w:color="auto"/>
          </w:divBdr>
          <w:divsChild>
            <w:div w:id="237178435">
              <w:marLeft w:val="0"/>
              <w:marRight w:val="0"/>
              <w:marTop w:val="0"/>
              <w:marBottom w:val="0"/>
              <w:divBdr>
                <w:top w:val="none" w:sz="0" w:space="0" w:color="auto"/>
                <w:left w:val="none" w:sz="0" w:space="0" w:color="auto"/>
                <w:bottom w:val="none" w:sz="0" w:space="0" w:color="auto"/>
                <w:right w:val="none" w:sz="0" w:space="0" w:color="auto"/>
              </w:divBdr>
              <w:divsChild>
                <w:div w:id="224996222">
                  <w:marLeft w:val="0"/>
                  <w:marRight w:val="0"/>
                  <w:marTop w:val="120"/>
                  <w:marBottom w:val="0"/>
                  <w:divBdr>
                    <w:top w:val="none" w:sz="0" w:space="0" w:color="auto"/>
                    <w:left w:val="none" w:sz="0" w:space="0" w:color="auto"/>
                    <w:bottom w:val="none" w:sz="0" w:space="0" w:color="auto"/>
                    <w:right w:val="none" w:sz="0" w:space="0" w:color="auto"/>
                  </w:divBdr>
                </w:div>
                <w:div w:id="390546070">
                  <w:marLeft w:val="0"/>
                  <w:marRight w:val="0"/>
                  <w:marTop w:val="0"/>
                  <w:marBottom w:val="0"/>
                  <w:divBdr>
                    <w:top w:val="none" w:sz="0" w:space="0" w:color="auto"/>
                    <w:left w:val="none" w:sz="0" w:space="0" w:color="auto"/>
                    <w:bottom w:val="none" w:sz="0" w:space="0" w:color="auto"/>
                    <w:right w:val="none" w:sz="0" w:space="0" w:color="auto"/>
                  </w:divBdr>
                </w:div>
              </w:divsChild>
            </w:div>
            <w:div w:id="272904758">
              <w:marLeft w:val="0"/>
              <w:marRight w:val="0"/>
              <w:marTop w:val="0"/>
              <w:marBottom w:val="0"/>
              <w:divBdr>
                <w:top w:val="none" w:sz="0" w:space="0" w:color="auto"/>
                <w:left w:val="none" w:sz="0" w:space="0" w:color="auto"/>
                <w:bottom w:val="none" w:sz="0" w:space="0" w:color="auto"/>
                <w:right w:val="none" w:sz="0" w:space="0" w:color="auto"/>
              </w:divBdr>
              <w:divsChild>
                <w:div w:id="657998921">
                  <w:marLeft w:val="0"/>
                  <w:marRight w:val="0"/>
                  <w:marTop w:val="120"/>
                  <w:marBottom w:val="0"/>
                  <w:divBdr>
                    <w:top w:val="none" w:sz="0" w:space="0" w:color="auto"/>
                    <w:left w:val="none" w:sz="0" w:space="0" w:color="auto"/>
                    <w:bottom w:val="none" w:sz="0" w:space="0" w:color="auto"/>
                    <w:right w:val="none" w:sz="0" w:space="0" w:color="auto"/>
                  </w:divBdr>
                </w:div>
                <w:div w:id="1139110914">
                  <w:marLeft w:val="0"/>
                  <w:marRight w:val="0"/>
                  <w:marTop w:val="0"/>
                  <w:marBottom w:val="0"/>
                  <w:divBdr>
                    <w:top w:val="none" w:sz="0" w:space="0" w:color="auto"/>
                    <w:left w:val="none" w:sz="0" w:space="0" w:color="auto"/>
                    <w:bottom w:val="none" w:sz="0" w:space="0" w:color="auto"/>
                    <w:right w:val="none" w:sz="0" w:space="0" w:color="auto"/>
                  </w:divBdr>
                </w:div>
              </w:divsChild>
            </w:div>
            <w:div w:id="1755541504">
              <w:marLeft w:val="0"/>
              <w:marRight w:val="0"/>
              <w:marTop w:val="0"/>
              <w:marBottom w:val="0"/>
              <w:divBdr>
                <w:top w:val="none" w:sz="0" w:space="0" w:color="auto"/>
                <w:left w:val="none" w:sz="0" w:space="0" w:color="auto"/>
                <w:bottom w:val="none" w:sz="0" w:space="0" w:color="auto"/>
                <w:right w:val="none" w:sz="0" w:space="0" w:color="auto"/>
              </w:divBdr>
              <w:divsChild>
                <w:div w:id="364671630">
                  <w:marLeft w:val="0"/>
                  <w:marRight w:val="0"/>
                  <w:marTop w:val="0"/>
                  <w:marBottom w:val="0"/>
                  <w:divBdr>
                    <w:top w:val="none" w:sz="0" w:space="0" w:color="auto"/>
                    <w:left w:val="none" w:sz="0" w:space="0" w:color="auto"/>
                    <w:bottom w:val="none" w:sz="0" w:space="0" w:color="auto"/>
                    <w:right w:val="none" w:sz="0" w:space="0" w:color="auto"/>
                  </w:divBdr>
                </w:div>
                <w:div w:id="1271232417">
                  <w:marLeft w:val="0"/>
                  <w:marRight w:val="0"/>
                  <w:marTop w:val="120"/>
                  <w:marBottom w:val="0"/>
                  <w:divBdr>
                    <w:top w:val="none" w:sz="0" w:space="0" w:color="auto"/>
                    <w:left w:val="none" w:sz="0" w:space="0" w:color="auto"/>
                    <w:bottom w:val="none" w:sz="0" w:space="0" w:color="auto"/>
                    <w:right w:val="none" w:sz="0" w:space="0" w:color="auto"/>
                  </w:divBdr>
                </w:div>
              </w:divsChild>
            </w:div>
            <w:div w:id="1775244006">
              <w:marLeft w:val="0"/>
              <w:marRight w:val="0"/>
              <w:marTop w:val="0"/>
              <w:marBottom w:val="0"/>
              <w:divBdr>
                <w:top w:val="none" w:sz="0" w:space="0" w:color="auto"/>
                <w:left w:val="none" w:sz="0" w:space="0" w:color="auto"/>
                <w:bottom w:val="none" w:sz="0" w:space="0" w:color="auto"/>
                <w:right w:val="none" w:sz="0" w:space="0" w:color="auto"/>
              </w:divBdr>
              <w:divsChild>
                <w:div w:id="290402959">
                  <w:marLeft w:val="0"/>
                  <w:marRight w:val="0"/>
                  <w:marTop w:val="120"/>
                  <w:marBottom w:val="0"/>
                  <w:divBdr>
                    <w:top w:val="none" w:sz="0" w:space="0" w:color="auto"/>
                    <w:left w:val="none" w:sz="0" w:space="0" w:color="auto"/>
                    <w:bottom w:val="none" w:sz="0" w:space="0" w:color="auto"/>
                    <w:right w:val="none" w:sz="0" w:space="0" w:color="auto"/>
                  </w:divBdr>
                </w:div>
                <w:div w:id="10824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366">
      <w:bodyDiv w:val="1"/>
      <w:marLeft w:val="0"/>
      <w:marRight w:val="0"/>
      <w:marTop w:val="0"/>
      <w:marBottom w:val="0"/>
      <w:divBdr>
        <w:top w:val="none" w:sz="0" w:space="0" w:color="auto"/>
        <w:left w:val="none" w:sz="0" w:space="0" w:color="auto"/>
        <w:bottom w:val="none" w:sz="0" w:space="0" w:color="auto"/>
        <w:right w:val="none" w:sz="0" w:space="0" w:color="auto"/>
      </w:divBdr>
      <w:divsChild>
        <w:div w:id="338508088">
          <w:marLeft w:val="0"/>
          <w:marRight w:val="0"/>
          <w:marTop w:val="0"/>
          <w:marBottom w:val="0"/>
          <w:divBdr>
            <w:top w:val="none" w:sz="0" w:space="0" w:color="auto"/>
            <w:left w:val="none" w:sz="0" w:space="0" w:color="auto"/>
            <w:bottom w:val="none" w:sz="0" w:space="0" w:color="auto"/>
            <w:right w:val="none" w:sz="0" w:space="0" w:color="auto"/>
          </w:divBdr>
          <w:divsChild>
            <w:div w:id="11219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511">
      <w:bodyDiv w:val="1"/>
      <w:marLeft w:val="0"/>
      <w:marRight w:val="0"/>
      <w:marTop w:val="0"/>
      <w:marBottom w:val="0"/>
      <w:divBdr>
        <w:top w:val="none" w:sz="0" w:space="0" w:color="auto"/>
        <w:left w:val="none" w:sz="0" w:space="0" w:color="auto"/>
        <w:bottom w:val="none" w:sz="0" w:space="0" w:color="auto"/>
        <w:right w:val="none" w:sz="0" w:space="0" w:color="auto"/>
      </w:divBdr>
    </w:div>
    <w:div w:id="694115585">
      <w:bodyDiv w:val="1"/>
      <w:marLeft w:val="0"/>
      <w:marRight w:val="0"/>
      <w:marTop w:val="0"/>
      <w:marBottom w:val="0"/>
      <w:divBdr>
        <w:top w:val="none" w:sz="0" w:space="0" w:color="auto"/>
        <w:left w:val="none" w:sz="0" w:space="0" w:color="auto"/>
        <w:bottom w:val="none" w:sz="0" w:space="0" w:color="auto"/>
        <w:right w:val="none" w:sz="0" w:space="0" w:color="auto"/>
      </w:divBdr>
    </w:div>
    <w:div w:id="694383362">
      <w:bodyDiv w:val="1"/>
      <w:marLeft w:val="0"/>
      <w:marRight w:val="0"/>
      <w:marTop w:val="0"/>
      <w:marBottom w:val="0"/>
      <w:divBdr>
        <w:top w:val="none" w:sz="0" w:space="0" w:color="auto"/>
        <w:left w:val="none" w:sz="0" w:space="0" w:color="auto"/>
        <w:bottom w:val="none" w:sz="0" w:space="0" w:color="auto"/>
        <w:right w:val="none" w:sz="0" w:space="0" w:color="auto"/>
      </w:divBdr>
      <w:divsChild>
        <w:div w:id="135150368">
          <w:marLeft w:val="0"/>
          <w:marRight w:val="0"/>
          <w:marTop w:val="0"/>
          <w:marBottom w:val="0"/>
          <w:divBdr>
            <w:top w:val="none" w:sz="0" w:space="0" w:color="auto"/>
            <w:left w:val="none" w:sz="0" w:space="0" w:color="auto"/>
            <w:bottom w:val="none" w:sz="0" w:space="0" w:color="auto"/>
            <w:right w:val="none" w:sz="0" w:space="0" w:color="auto"/>
          </w:divBdr>
          <w:divsChild>
            <w:div w:id="279457195">
              <w:marLeft w:val="0"/>
              <w:marRight w:val="0"/>
              <w:marTop w:val="0"/>
              <w:marBottom w:val="0"/>
              <w:divBdr>
                <w:top w:val="none" w:sz="0" w:space="0" w:color="auto"/>
                <w:left w:val="none" w:sz="0" w:space="0" w:color="auto"/>
                <w:bottom w:val="none" w:sz="0" w:space="0" w:color="auto"/>
                <w:right w:val="none" w:sz="0" w:space="0" w:color="auto"/>
              </w:divBdr>
            </w:div>
          </w:divsChild>
        </w:div>
        <w:div w:id="426006477">
          <w:marLeft w:val="0"/>
          <w:marRight w:val="0"/>
          <w:marTop w:val="0"/>
          <w:marBottom w:val="0"/>
          <w:divBdr>
            <w:top w:val="none" w:sz="0" w:space="0" w:color="auto"/>
            <w:left w:val="none" w:sz="0" w:space="0" w:color="auto"/>
            <w:bottom w:val="none" w:sz="0" w:space="0" w:color="auto"/>
            <w:right w:val="none" w:sz="0" w:space="0" w:color="auto"/>
          </w:divBdr>
          <w:divsChild>
            <w:div w:id="1651473894">
              <w:marLeft w:val="0"/>
              <w:marRight w:val="0"/>
              <w:marTop w:val="0"/>
              <w:marBottom w:val="0"/>
              <w:divBdr>
                <w:top w:val="none" w:sz="0" w:space="0" w:color="auto"/>
                <w:left w:val="none" w:sz="0" w:space="0" w:color="auto"/>
                <w:bottom w:val="none" w:sz="0" w:space="0" w:color="auto"/>
                <w:right w:val="none" w:sz="0" w:space="0" w:color="auto"/>
              </w:divBdr>
            </w:div>
          </w:divsChild>
        </w:div>
        <w:div w:id="957637785">
          <w:marLeft w:val="0"/>
          <w:marRight w:val="0"/>
          <w:marTop w:val="0"/>
          <w:marBottom w:val="0"/>
          <w:divBdr>
            <w:top w:val="none" w:sz="0" w:space="0" w:color="auto"/>
            <w:left w:val="none" w:sz="0" w:space="0" w:color="auto"/>
            <w:bottom w:val="none" w:sz="0" w:space="0" w:color="auto"/>
            <w:right w:val="none" w:sz="0" w:space="0" w:color="auto"/>
          </w:divBdr>
          <w:divsChild>
            <w:div w:id="957369014">
              <w:marLeft w:val="0"/>
              <w:marRight w:val="0"/>
              <w:marTop w:val="0"/>
              <w:marBottom w:val="0"/>
              <w:divBdr>
                <w:top w:val="none" w:sz="0" w:space="0" w:color="auto"/>
                <w:left w:val="none" w:sz="0" w:space="0" w:color="auto"/>
                <w:bottom w:val="none" w:sz="0" w:space="0" w:color="auto"/>
                <w:right w:val="none" w:sz="0" w:space="0" w:color="auto"/>
              </w:divBdr>
            </w:div>
          </w:divsChild>
        </w:div>
        <w:div w:id="993529714">
          <w:marLeft w:val="0"/>
          <w:marRight w:val="0"/>
          <w:marTop w:val="0"/>
          <w:marBottom w:val="0"/>
          <w:divBdr>
            <w:top w:val="none" w:sz="0" w:space="0" w:color="auto"/>
            <w:left w:val="none" w:sz="0" w:space="0" w:color="auto"/>
            <w:bottom w:val="none" w:sz="0" w:space="0" w:color="auto"/>
            <w:right w:val="none" w:sz="0" w:space="0" w:color="auto"/>
          </w:divBdr>
          <w:divsChild>
            <w:div w:id="1658146666">
              <w:marLeft w:val="0"/>
              <w:marRight w:val="0"/>
              <w:marTop w:val="0"/>
              <w:marBottom w:val="0"/>
              <w:divBdr>
                <w:top w:val="none" w:sz="0" w:space="0" w:color="auto"/>
                <w:left w:val="none" w:sz="0" w:space="0" w:color="auto"/>
                <w:bottom w:val="none" w:sz="0" w:space="0" w:color="auto"/>
                <w:right w:val="none" w:sz="0" w:space="0" w:color="auto"/>
              </w:divBdr>
            </w:div>
          </w:divsChild>
        </w:div>
        <w:div w:id="1617448246">
          <w:marLeft w:val="0"/>
          <w:marRight w:val="0"/>
          <w:marTop w:val="0"/>
          <w:marBottom w:val="0"/>
          <w:divBdr>
            <w:top w:val="none" w:sz="0" w:space="0" w:color="auto"/>
            <w:left w:val="none" w:sz="0" w:space="0" w:color="auto"/>
            <w:bottom w:val="none" w:sz="0" w:space="0" w:color="auto"/>
            <w:right w:val="none" w:sz="0" w:space="0" w:color="auto"/>
          </w:divBdr>
          <w:divsChild>
            <w:div w:id="1682656824">
              <w:marLeft w:val="0"/>
              <w:marRight w:val="0"/>
              <w:marTop w:val="0"/>
              <w:marBottom w:val="0"/>
              <w:divBdr>
                <w:top w:val="none" w:sz="0" w:space="0" w:color="auto"/>
                <w:left w:val="none" w:sz="0" w:space="0" w:color="auto"/>
                <w:bottom w:val="none" w:sz="0" w:space="0" w:color="auto"/>
                <w:right w:val="none" w:sz="0" w:space="0" w:color="auto"/>
              </w:divBdr>
            </w:div>
          </w:divsChild>
        </w:div>
        <w:div w:id="1992368305">
          <w:marLeft w:val="0"/>
          <w:marRight w:val="0"/>
          <w:marTop w:val="0"/>
          <w:marBottom w:val="0"/>
          <w:divBdr>
            <w:top w:val="none" w:sz="0" w:space="0" w:color="auto"/>
            <w:left w:val="none" w:sz="0" w:space="0" w:color="auto"/>
            <w:bottom w:val="none" w:sz="0" w:space="0" w:color="auto"/>
            <w:right w:val="none" w:sz="0" w:space="0" w:color="auto"/>
          </w:divBdr>
          <w:divsChild>
            <w:div w:id="14280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4616">
      <w:bodyDiv w:val="1"/>
      <w:marLeft w:val="0"/>
      <w:marRight w:val="0"/>
      <w:marTop w:val="0"/>
      <w:marBottom w:val="0"/>
      <w:divBdr>
        <w:top w:val="none" w:sz="0" w:space="0" w:color="auto"/>
        <w:left w:val="none" w:sz="0" w:space="0" w:color="auto"/>
        <w:bottom w:val="none" w:sz="0" w:space="0" w:color="auto"/>
        <w:right w:val="none" w:sz="0" w:space="0" w:color="auto"/>
      </w:divBdr>
    </w:div>
    <w:div w:id="718474126">
      <w:bodyDiv w:val="1"/>
      <w:marLeft w:val="0"/>
      <w:marRight w:val="0"/>
      <w:marTop w:val="0"/>
      <w:marBottom w:val="0"/>
      <w:divBdr>
        <w:top w:val="none" w:sz="0" w:space="0" w:color="auto"/>
        <w:left w:val="none" w:sz="0" w:space="0" w:color="auto"/>
        <w:bottom w:val="none" w:sz="0" w:space="0" w:color="auto"/>
        <w:right w:val="none" w:sz="0" w:space="0" w:color="auto"/>
      </w:divBdr>
    </w:div>
    <w:div w:id="720709261">
      <w:bodyDiv w:val="1"/>
      <w:marLeft w:val="0"/>
      <w:marRight w:val="0"/>
      <w:marTop w:val="0"/>
      <w:marBottom w:val="0"/>
      <w:divBdr>
        <w:top w:val="none" w:sz="0" w:space="0" w:color="auto"/>
        <w:left w:val="none" w:sz="0" w:space="0" w:color="auto"/>
        <w:bottom w:val="none" w:sz="0" w:space="0" w:color="auto"/>
        <w:right w:val="none" w:sz="0" w:space="0" w:color="auto"/>
      </w:divBdr>
    </w:div>
    <w:div w:id="722599975">
      <w:bodyDiv w:val="1"/>
      <w:marLeft w:val="0"/>
      <w:marRight w:val="0"/>
      <w:marTop w:val="0"/>
      <w:marBottom w:val="0"/>
      <w:divBdr>
        <w:top w:val="none" w:sz="0" w:space="0" w:color="auto"/>
        <w:left w:val="none" w:sz="0" w:space="0" w:color="auto"/>
        <w:bottom w:val="none" w:sz="0" w:space="0" w:color="auto"/>
        <w:right w:val="none" w:sz="0" w:space="0" w:color="auto"/>
      </w:divBdr>
    </w:div>
    <w:div w:id="736317177">
      <w:bodyDiv w:val="1"/>
      <w:marLeft w:val="0"/>
      <w:marRight w:val="0"/>
      <w:marTop w:val="0"/>
      <w:marBottom w:val="0"/>
      <w:divBdr>
        <w:top w:val="none" w:sz="0" w:space="0" w:color="auto"/>
        <w:left w:val="none" w:sz="0" w:space="0" w:color="auto"/>
        <w:bottom w:val="none" w:sz="0" w:space="0" w:color="auto"/>
        <w:right w:val="none" w:sz="0" w:space="0" w:color="auto"/>
      </w:divBdr>
      <w:divsChild>
        <w:div w:id="606304811">
          <w:marLeft w:val="0"/>
          <w:marRight w:val="0"/>
          <w:marTop w:val="0"/>
          <w:marBottom w:val="0"/>
          <w:divBdr>
            <w:top w:val="none" w:sz="0" w:space="0" w:color="auto"/>
            <w:left w:val="none" w:sz="0" w:space="0" w:color="auto"/>
            <w:bottom w:val="none" w:sz="0" w:space="0" w:color="auto"/>
            <w:right w:val="none" w:sz="0" w:space="0" w:color="auto"/>
          </w:divBdr>
          <w:divsChild>
            <w:div w:id="50230776">
              <w:marLeft w:val="0"/>
              <w:marRight w:val="0"/>
              <w:marTop w:val="120"/>
              <w:marBottom w:val="0"/>
              <w:divBdr>
                <w:top w:val="none" w:sz="0" w:space="0" w:color="auto"/>
                <w:left w:val="none" w:sz="0" w:space="0" w:color="auto"/>
                <w:bottom w:val="none" w:sz="0" w:space="0" w:color="auto"/>
                <w:right w:val="none" w:sz="0" w:space="0" w:color="auto"/>
              </w:divBdr>
            </w:div>
            <w:div w:id="1591505535">
              <w:marLeft w:val="0"/>
              <w:marRight w:val="0"/>
              <w:marTop w:val="0"/>
              <w:marBottom w:val="0"/>
              <w:divBdr>
                <w:top w:val="none" w:sz="0" w:space="0" w:color="auto"/>
                <w:left w:val="none" w:sz="0" w:space="0" w:color="auto"/>
                <w:bottom w:val="none" w:sz="0" w:space="0" w:color="auto"/>
                <w:right w:val="none" w:sz="0" w:space="0" w:color="auto"/>
              </w:divBdr>
            </w:div>
          </w:divsChild>
        </w:div>
        <w:div w:id="1029139585">
          <w:marLeft w:val="0"/>
          <w:marRight w:val="0"/>
          <w:marTop w:val="0"/>
          <w:marBottom w:val="0"/>
          <w:divBdr>
            <w:top w:val="none" w:sz="0" w:space="0" w:color="auto"/>
            <w:left w:val="none" w:sz="0" w:space="0" w:color="auto"/>
            <w:bottom w:val="none" w:sz="0" w:space="0" w:color="auto"/>
            <w:right w:val="none" w:sz="0" w:space="0" w:color="auto"/>
          </w:divBdr>
          <w:divsChild>
            <w:div w:id="1239514457">
              <w:marLeft w:val="0"/>
              <w:marRight w:val="0"/>
              <w:marTop w:val="120"/>
              <w:marBottom w:val="0"/>
              <w:divBdr>
                <w:top w:val="none" w:sz="0" w:space="0" w:color="auto"/>
                <w:left w:val="none" w:sz="0" w:space="0" w:color="auto"/>
                <w:bottom w:val="none" w:sz="0" w:space="0" w:color="auto"/>
                <w:right w:val="none" w:sz="0" w:space="0" w:color="auto"/>
              </w:divBdr>
            </w:div>
            <w:div w:id="1777285839">
              <w:marLeft w:val="0"/>
              <w:marRight w:val="0"/>
              <w:marTop w:val="0"/>
              <w:marBottom w:val="0"/>
              <w:divBdr>
                <w:top w:val="none" w:sz="0" w:space="0" w:color="auto"/>
                <w:left w:val="none" w:sz="0" w:space="0" w:color="auto"/>
                <w:bottom w:val="none" w:sz="0" w:space="0" w:color="auto"/>
                <w:right w:val="none" w:sz="0" w:space="0" w:color="auto"/>
              </w:divBdr>
            </w:div>
          </w:divsChild>
        </w:div>
        <w:div w:id="1532107937">
          <w:marLeft w:val="0"/>
          <w:marRight w:val="0"/>
          <w:marTop w:val="0"/>
          <w:marBottom w:val="0"/>
          <w:divBdr>
            <w:top w:val="none" w:sz="0" w:space="0" w:color="auto"/>
            <w:left w:val="none" w:sz="0" w:space="0" w:color="auto"/>
            <w:bottom w:val="none" w:sz="0" w:space="0" w:color="auto"/>
            <w:right w:val="none" w:sz="0" w:space="0" w:color="auto"/>
          </w:divBdr>
          <w:divsChild>
            <w:div w:id="1721712330">
              <w:marLeft w:val="0"/>
              <w:marRight w:val="0"/>
              <w:marTop w:val="120"/>
              <w:marBottom w:val="0"/>
              <w:divBdr>
                <w:top w:val="none" w:sz="0" w:space="0" w:color="auto"/>
                <w:left w:val="none" w:sz="0" w:space="0" w:color="auto"/>
                <w:bottom w:val="none" w:sz="0" w:space="0" w:color="auto"/>
                <w:right w:val="none" w:sz="0" w:space="0" w:color="auto"/>
              </w:divBdr>
            </w:div>
            <w:div w:id="1956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6209">
      <w:bodyDiv w:val="1"/>
      <w:marLeft w:val="0"/>
      <w:marRight w:val="0"/>
      <w:marTop w:val="0"/>
      <w:marBottom w:val="0"/>
      <w:divBdr>
        <w:top w:val="none" w:sz="0" w:space="0" w:color="auto"/>
        <w:left w:val="none" w:sz="0" w:space="0" w:color="auto"/>
        <w:bottom w:val="none" w:sz="0" w:space="0" w:color="auto"/>
        <w:right w:val="none" w:sz="0" w:space="0" w:color="auto"/>
      </w:divBdr>
      <w:divsChild>
        <w:div w:id="1174800977">
          <w:marLeft w:val="0"/>
          <w:marRight w:val="0"/>
          <w:marTop w:val="120"/>
          <w:marBottom w:val="0"/>
          <w:divBdr>
            <w:top w:val="none" w:sz="0" w:space="0" w:color="auto"/>
            <w:left w:val="none" w:sz="0" w:space="0" w:color="auto"/>
            <w:bottom w:val="none" w:sz="0" w:space="0" w:color="auto"/>
            <w:right w:val="none" w:sz="0" w:space="0" w:color="auto"/>
          </w:divBdr>
        </w:div>
        <w:div w:id="1661303547">
          <w:marLeft w:val="0"/>
          <w:marRight w:val="0"/>
          <w:marTop w:val="0"/>
          <w:marBottom w:val="0"/>
          <w:divBdr>
            <w:top w:val="none" w:sz="0" w:space="0" w:color="auto"/>
            <w:left w:val="none" w:sz="0" w:space="0" w:color="auto"/>
            <w:bottom w:val="none" w:sz="0" w:space="0" w:color="auto"/>
            <w:right w:val="none" w:sz="0" w:space="0" w:color="auto"/>
          </w:divBdr>
        </w:div>
      </w:divsChild>
    </w:div>
    <w:div w:id="745959183">
      <w:bodyDiv w:val="1"/>
      <w:marLeft w:val="0"/>
      <w:marRight w:val="0"/>
      <w:marTop w:val="0"/>
      <w:marBottom w:val="0"/>
      <w:divBdr>
        <w:top w:val="none" w:sz="0" w:space="0" w:color="auto"/>
        <w:left w:val="none" w:sz="0" w:space="0" w:color="auto"/>
        <w:bottom w:val="none" w:sz="0" w:space="0" w:color="auto"/>
        <w:right w:val="none" w:sz="0" w:space="0" w:color="auto"/>
      </w:divBdr>
      <w:divsChild>
        <w:div w:id="516384673">
          <w:marLeft w:val="0"/>
          <w:marRight w:val="0"/>
          <w:marTop w:val="0"/>
          <w:marBottom w:val="0"/>
          <w:divBdr>
            <w:top w:val="none" w:sz="0" w:space="0" w:color="auto"/>
            <w:left w:val="none" w:sz="0" w:space="0" w:color="auto"/>
            <w:bottom w:val="none" w:sz="0" w:space="0" w:color="auto"/>
            <w:right w:val="none" w:sz="0" w:space="0" w:color="auto"/>
          </w:divBdr>
          <w:divsChild>
            <w:div w:id="503476603">
              <w:marLeft w:val="0"/>
              <w:marRight w:val="0"/>
              <w:marTop w:val="0"/>
              <w:marBottom w:val="0"/>
              <w:divBdr>
                <w:top w:val="none" w:sz="0" w:space="0" w:color="auto"/>
                <w:left w:val="none" w:sz="0" w:space="0" w:color="auto"/>
                <w:bottom w:val="none" w:sz="0" w:space="0" w:color="auto"/>
                <w:right w:val="none" w:sz="0" w:space="0" w:color="auto"/>
              </w:divBdr>
            </w:div>
          </w:divsChild>
        </w:div>
        <w:div w:id="1154375217">
          <w:marLeft w:val="0"/>
          <w:marRight w:val="0"/>
          <w:marTop w:val="0"/>
          <w:marBottom w:val="0"/>
          <w:divBdr>
            <w:top w:val="none" w:sz="0" w:space="0" w:color="auto"/>
            <w:left w:val="none" w:sz="0" w:space="0" w:color="auto"/>
            <w:bottom w:val="none" w:sz="0" w:space="0" w:color="auto"/>
            <w:right w:val="none" w:sz="0" w:space="0" w:color="auto"/>
          </w:divBdr>
          <w:divsChild>
            <w:div w:id="566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4654">
      <w:bodyDiv w:val="1"/>
      <w:marLeft w:val="0"/>
      <w:marRight w:val="0"/>
      <w:marTop w:val="0"/>
      <w:marBottom w:val="0"/>
      <w:divBdr>
        <w:top w:val="none" w:sz="0" w:space="0" w:color="auto"/>
        <w:left w:val="none" w:sz="0" w:space="0" w:color="auto"/>
        <w:bottom w:val="none" w:sz="0" w:space="0" w:color="auto"/>
        <w:right w:val="none" w:sz="0" w:space="0" w:color="auto"/>
      </w:divBdr>
    </w:div>
    <w:div w:id="761680209">
      <w:bodyDiv w:val="1"/>
      <w:marLeft w:val="0"/>
      <w:marRight w:val="0"/>
      <w:marTop w:val="0"/>
      <w:marBottom w:val="0"/>
      <w:divBdr>
        <w:top w:val="none" w:sz="0" w:space="0" w:color="auto"/>
        <w:left w:val="none" w:sz="0" w:space="0" w:color="auto"/>
        <w:bottom w:val="none" w:sz="0" w:space="0" w:color="auto"/>
        <w:right w:val="none" w:sz="0" w:space="0" w:color="auto"/>
      </w:divBdr>
      <w:divsChild>
        <w:div w:id="1442920570">
          <w:marLeft w:val="0"/>
          <w:marRight w:val="0"/>
          <w:marTop w:val="0"/>
          <w:marBottom w:val="0"/>
          <w:divBdr>
            <w:top w:val="none" w:sz="0" w:space="0" w:color="auto"/>
            <w:left w:val="none" w:sz="0" w:space="0" w:color="auto"/>
            <w:bottom w:val="none" w:sz="0" w:space="0" w:color="auto"/>
            <w:right w:val="none" w:sz="0" w:space="0" w:color="auto"/>
          </w:divBdr>
          <w:divsChild>
            <w:div w:id="1705591909">
              <w:marLeft w:val="0"/>
              <w:marRight w:val="0"/>
              <w:marTop w:val="0"/>
              <w:marBottom w:val="0"/>
              <w:divBdr>
                <w:top w:val="none" w:sz="0" w:space="0" w:color="auto"/>
                <w:left w:val="none" w:sz="0" w:space="0" w:color="auto"/>
                <w:bottom w:val="none" w:sz="0" w:space="0" w:color="auto"/>
                <w:right w:val="none" w:sz="0" w:space="0" w:color="auto"/>
              </w:divBdr>
              <w:divsChild>
                <w:div w:id="406269123">
                  <w:marLeft w:val="0"/>
                  <w:marRight w:val="0"/>
                  <w:marTop w:val="120"/>
                  <w:marBottom w:val="0"/>
                  <w:divBdr>
                    <w:top w:val="none" w:sz="0" w:space="0" w:color="auto"/>
                    <w:left w:val="none" w:sz="0" w:space="0" w:color="auto"/>
                    <w:bottom w:val="none" w:sz="0" w:space="0" w:color="auto"/>
                    <w:right w:val="none" w:sz="0" w:space="0" w:color="auto"/>
                  </w:divBdr>
                </w:div>
                <w:div w:id="1436291593">
                  <w:marLeft w:val="0"/>
                  <w:marRight w:val="0"/>
                  <w:marTop w:val="0"/>
                  <w:marBottom w:val="0"/>
                  <w:divBdr>
                    <w:top w:val="none" w:sz="0" w:space="0" w:color="auto"/>
                    <w:left w:val="none" w:sz="0" w:space="0" w:color="auto"/>
                    <w:bottom w:val="none" w:sz="0" w:space="0" w:color="auto"/>
                    <w:right w:val="none" w:sz="0" w:space="0" w:color="auto"/>
                  </w:divBdr>
                </w:div>
              </w:divsChild>
            </w:div>
            <w:div w:id="2004115489">
              <w:marLeft w:val="0"/>
              <w:marRight w:val="0"/>
              <w:marTop w:val="0"/>
              <w:marBottom w:val="0"/>
              <w:divBdr>
                <w:top w:val="none" w:sz="0" w:space="0" w:color="auto"/>
                <w:left w:val="none" w:sz="0" w:space="0" w:color="auto"/>
                <w:bottom w:val="none" w:sz="0" w:space="0" w:color="auto"/>
                <w:right w:val="none" w:sz="0" w:space="0" w:color="auto"/>
              </w:divBdr>
              <w:divsChild>
                <w:div w:id="64424428">
                  <w:marLeft w:val="0"/>
                  <w:marRight w:val="0"/>
                  <w:marTop w:val="120"/>
                  <w:marBottom w:val="0"/>
                  <w:divBdr>
                    <w:top w:val="none" w:sz="0" w:space="0" w:color="auto"/>
                    <w:left w:val="none" w:sz="0" w:space="0" w:color="auto"/>
                    <w:bottom w:val="none" w:sz="0" w:space="0" w:color="auto"/>
                    <w:right w:val="none" w:sz="0" w:space="0" w:color="auto"/>
                  </w:divBdr>
                </w:div>
                <w:div w:id="1016149212">
                  <w:marLeft w:val="0"/>
                  <w:marRight w:val="0"/>
                  <w:marTop w:val="0"/>
                  <w:marBottom w:val="0"/>
                  <w:divBdr>
                    <w:top w:val="none" w:sz="0" w:space="0" w:color="auto"/>
                    <w:left w:val="none" w:sz="0" w:space="0" w:color="auto"/>
                    <w:bottom w:val="none" w:sz="0" w:space="0" w:color="auto"/>
                    <w:right w:val="none" w:sz="0" w:space="0" w:color="auto"/>
                  </w:divBdr>
                </w:div>
              </w:divsChild>
            </w:div>
            <w:div w:id="2059817688">
              <w:marLeft w:val="0"/>
              <w:marRight w:val="0"/>
              <w:marTop w:val="0"/>
              <w:marBottom w:val="0"/>
              <w:divBdr>
                <w:top w:val="none" w:sz="0" w:space="0" w:color="auto"/>
                <w:left w:val="none" w:sz="0" w:space="0" w:color="auto"/>
                <w:bottom w:val="none" w:sz="0" w:space="0" w:color="auto"/>
                <w:right w:val="none" w:sz="0" w:space="0" w:color="auto"/>
              </w:divBdr>
              <w:divsChild>
                <w:div w:id="519316702">
                  <w:marLeft w:val="0"/>
                  <w:marRight w:val="0"/>
                  <w:marTop w:val="0"/>
                  <w:marBottom w:val="0"/>
                  <w:divBdr>
                    <w:top w:val="none" w:sz="0" w:space="0" w:color="auto"/>
                    <w:left w:val="none" w:sz="0" w:space="0" w:color="auto"/>
                    <w:bottom w:val="none" w:sz="0" w:space="0" w:color="auto"/>
                    <w:right w:val="none" w:sz="0" w:space="0" w:color="auto"/>
                  </w:divBdr>
                </w:div>
                <w:div w:id="1841308969">
                  <w:marLeft w:val="0"/>
                  <w:marRight w:val="0"/>
                  <w:marTop w:val="120"/>
                  <w:marBottom w:val="0"/>
                  <w:divBdr>
                    <w:top w:val="none" w:sz="0" w:space="0" w:color="auto"/>
                    <w:left w:val="none" w:sz="0" w:space="0" w:color="auto"/>
                    <w:bottom w:val="none" w:sz="0" w:space="0" w:color="auto"/>
                    <w:right w:val="none" w:sz="0" w:space="0" w:color="auto"/>
                  </w:divBdr>
                </w:div>
              </w:divsChild>
            </w:div>
            <w:div w:id="2061047886">
              <w:marLeft w:val="0"/>
              <w:marRight w:val="0"/>
              <w:marTop w:val="0"/>
              <w:marBottom w:val="0"/>
              <w:divBdr>
                <w:top w:val="none" w:sz="0" w:space="0" w:color="auto"/>
                <w:left w:val="none" w:sz="0" w:space="0" w:color="auto"/>
                <w:bottom w:val="none" w:sz="0" w:space="0" w:color="auto"/>
                <w:right w:val="none" w:sz="0" w:space="0" w:color="auto"/>
              </w:divBdr>
              <w:divsChild>
                <w:div w:id="1817911945">
                  <w:marLeft w:val="0"/>
                  <w:marRight w:val="0"/>
                  <w:marTop w:val="0"/>
                  <w:marBottom w:val="0"/>
                  <w:divBdr>
                    <w:top w:val="none" w:sz="0" w:space="0" w:color="auto"/>
                    <w:left w:val="none" w:sz="0" w:space="0" w:color="auto"/>
                    <w:bottom w:val="none" w:sz="0" w:space="0" w:color="auto"/>
                    <w:right w:val="none" w:sz="0" w:space="0" w:color="auto"/>
                  </w:divBdr>
                </w:div>
                <w:div w:id="1849632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7723304">
          <w:marLeft w:val="0"/>
          <w:marRight w:val="0"/>
          <w:marTop w:val="120"/>
          <w:marBottom w:val="0"/>
          <w:divBdr>
            <w:top w:val="none" w:sz="0" w:space="0" w:color="auto"/>
            <w:left w:val="none" w:sz="0" w:space="0" w:color="auto"/>
            <w:bottom w:val="none" w:sz="0" w:space="0" w:color="auto"/>
            <w:right w:val="none" w:sz="0" w:space="0" w:color="auto"/>
          </w:divBdr>
        </w:div>
      </w:divsChild>
    </w:div>
    <w:div w:id="767891447">
      <w:bodyDiv w:val="1"/>
      <w:marLeft w:val="0"/>
      <w:marRight w:val="0"/>
      <w:marTop w:val="0"/>
      <w:marBottom w:val="0"/>
      <w:divBdr>
        <w:top w:val="none" w:sz="0" w:space="0" w:color="auto"/>
        <w:left w:val="none" w:sz="0" w:space="0" w:color="auto"/>
        <w:bottom w:val="none" w:sz="0" w:space="0" w:color="auto"/>
        <w:right w:val="none" w:sz="0" w:space="0" w:color="auto"/>
      </w:divBdr>
    </w:div>
    <w:div w:id="786192519">
      <w:bodyDiv w:val="1"/>
      <w:marLeft w:val="0"/>
      <w:marRight w:val="0"/>
      <w:marTop w:val="0"/>
      <w:marBottom w:val="0"/>
      <w:divBdr>
        <w:top w:val="none" w:sz="0" w:space="0" w:color="auto"/>
        <w:left w:val="none" w:sz="0" w:space="0" w:color="auto"/>
        <w:bottom w:val="none" w:sz="0" w:space="0" w:color="auto"/>
        <w:right w:val="none" w:sz="0" w:space="0" w:color="auto"/>
      </w:divBdr>
      <w:divsChild>
        <w:div w:id="1735078973">
          <w:marLeft w:val="0"/>
          <w:marRight w:val="0"/>
          <w:marTop w:val="0"/>
          <w:marBottom w:val="0"/>
          <w:divBdr>
            <w:top w:val="none" w:sz="0" w:space="0" w:color="auto"/>
            <w:left w:val="none" w:sz="0" w:space="0" w:color="auto"/>
            <w:bottom w:val="none" w:sz="0" w:space="0" w:color="auto"/>
            <w:right w:val="none" w:sz="0" w:space="0" w:color="auto"/>
          </w:divBdr>
          <w:divsChild>
            <w:div w:id="346563197">
              <w:marLeft w:val="0"/>
              <w:marRight w:val="0"/>
              <w:marTop w:val="0"/>
              <w:marBottom w:val="0"/>
              <w:divBdr>
                <w:top w:val="none" w:sz="0" w:space="0" w:color="auto"/>
                <w:left w:val="none" w:sz="0" w:space="0" w:color="auto"/>
                <w:bottom w:val="none" w:sz="0" w:space="0" w:color="auto"/>
                <w:right w:val="none" w:sz="0" w:space="0" w:color="auto"/>
              </w:divBdr>
              <w:divsChild>
                <w:div w:id="1262372509">
                  <w:marLeft w:val="0"/>
                  <w:marRight w:val="0"/>
                  <w:marTop w:val="0"/>
                  <w:marBottom w:val="0"/>
                  <w:divBdr>
                    <w:top w:val="none" w:sz="0" w:space="0" w:color="auto"/>
                    <w:left w:val="none" w:sz="0" w:space="0" w:color="auto"/>
                    <w:bottom w:val="none" w:sz="0" w:space="0" w:color="auto"/>
                    <w:right w:val="none" w:sz="0" w:space="0" w:color="auto"/>
                  </w:divBdr>
                </w:div>
                <w:div w:id="1758867241">
                  <w:marLeft w:val="0"/>
                  <w:marRight w:val="0"/>
                  <w:marTop w:val="120"/>
                  <w:marBottom w:val="0"/>
                  <w:divBdr>
                    <w:top w:val="none" w:sz="0" w:space="0" w:color="auto"/>
                    <w:left w:val="none" w:sz="0" w:space="0" w:color="auto"/>
                    <w:bottom w:val="none" w:sz="0" w:space="0" w:color="auto"/>
                    <w:right w:val="none" w:sz="0" w:space="0" w:color="auto"/>
                  </w:divBdr>
                </w:div>
              </w:divsChild>
            </w:div>
            <w:div w:id="582690608">
              <w:marLeft w:val="0"/>
              <w:marRight w:val="0"/>
              <w:marTop w:val="0"/>
              <w:marBottom w:val="0"/>
              <w:divBdr>
                <w:top w:val="none" w:sz="0" w:space="0" w:color="auto"/>
                <w:left w:val="none" w:sz="0" w:space="0" w:color="auto"/>
                <w:bottom w:val="none" w:sz="0" w:space="0" w:color="auto"/>
                <w:right w:val="none" w:sz="0" w:space="0" w:color="auto"/>
              </w:divBdr>
              <w:divsChild>
                <w:div w:id="411397469">
                  <w:marLeft w:val="0"/>
                  <w:marRight w:val="0"/>
                  <w:marTop w:val="0"/>
                  <w:marBottom w:val="0"/>
                  <w:divBdr>
                    <w:top w:val="none" w:sz="0" w:space="0" w:color="auto"/>
                    <w:left w:val="none" w:sz="0" w:space="0" w:color="auto"/>
                    <w:bottom w:val="none" w:sz="0" w:space="0" w:color="auto"/>
                    <w:right w:val="none" w:sz="0" w:space="0" w:color="auto"/>
                  </w:divBdr>
                </w:div>
                <w:div w:id="1104960365">
                  <w:marLeft w:val="0"/>
                  <w:marRight w:val="0"/>
                  <w:marTop w:val="120"/>
                  <w:marBottom w:val="0"/>
                  <w:divBdr>
                    <w:top w:val="none" w:sz="0" w:space="0" w:color="auto"/>
                    <w:left w:val="none" w:sz="0" w:space="0" w:color="auto"/>
                    <w:bottom w:val="none" w:sz="0" w:space="0" w:color="auto"/>
                    <w:right w:val="none" w:sz="0" w:space="0" w:color="auto"/>
                  </w:divBdr>
                </w:div>
              </w:divsChild>
            </w:div>
            <w:div w:id="1793597027">
              <w:marLeft w:val="0"/>
              <w:marRight w:val="0"/>
              <w:marTop w:val="0"/>
              <w:marBottom w:val="0"/>
              <w:divBdr>
                <w:top w:val="none" w:sz="0" w:space="0" w:color="auto"/>
                <w:left w:val="none" w:sz="0" w:space="0" w:color="auto"/>
                <w:bottom w:val="none" w:sz="0" w:space="0" w:color="auto"/>
                <w:right w:val="none" w:sz="0" w:space="0" w:color="auto"/>
              </w:divBdr>
              <w:divsChild>
                <w:div w:id="372388717">
                  <w:marLeft w:val="0"/>
                  <w:marRight w:val="0"/>
                  <w:marTop w:val="120"/>
                  <w:marBottom w:val="0"/>
                  <w:divBdr>
                    <w:top w:val="none" w:sz="0" w:space="0" w:color="auto"/>
                    <w:left w:val="none" w:sz="0" w:space="0" w:color="auto"/>
                    <w:bottom w:val="none" w:sz="0" w:space="0" w:color="auto"/>
                    <w:right w:val="none" w:sz="0" w:space="0" w:color="auto"/>
                  </w:divBdr>
                </w:div>
                <w:div w:id="1885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0446">
      <w:bodyDiv w:val="1"/>
      <w:marLeft w:val="0"/>
      <w:marRight w:val="0"/>
      <w:marTop w:val="0"/>
      <w:marBottom w:val="0"/>
      <w:divBdr>
        <w:top w:val="none" w:sz="0" w:space="0" w:color="auto"/>
        <w:left w:val="none" w:sz="0" w:space="0" w:color="auto"/>
        <w:bottom w:val="none" w:sz="0" w:space="0" w:color="auto"/>
        <w:right w:val="none" w:sz="0" w:space="0" w:color="auto"/>
      </w:divBdr>
    </w:div>
    <w:div w:id="787511068">
      <w:bodyDiv w:val="1"/>
      <w:marLeft w:val="0"/>
      <w:marRight w:val="0"/>
      <w:marTop w:val="0"/>
      <w:marBottom w:val="0"/>
      <w:divBdr>
        <w:top w:val="none" w:sz="0" w:space="0" w:color="auto"/>
        <w:left w:val="none" w:sz="0" w:space="0" w:color="auto"/>
        <w:bottom w:val="none" w:sz="0" w:space="0" w:color="auto"/>
        <w:right w:val="none" w:sz="0" w:space="0" w:color="auto"/>
      </w:divBdr>
      <w:divsChild>
        <w:div w:id="695427343">
          <w:marLeft w:val="0"/>
          <w:marRight w:val="0"/>
          <w:marTop w:val="0"/>
          <w:marBottom w:val="0"/>
          <w:divBdr>
            <w:top w:val="none" w:sz="0" w:space="0" w:color="auto"/>
            <w:left w:val="none" w:sz="0" w:space="0" w:color="auto"/>
            <w:bottom w:val="none" w:sz="0" w:space="0" w:color="auto"/>
            <w:right w:val="none" w:sz="0" w:space="0" w:color="auto"/>
          </w:divBdr>
        </w:div>
      </w:divsChild>
    </w:div>
    <w:div w:id="797727917">
      <w:bodyDiv w:val="1"/>
      <w:marLeft w:val="0"/>
      <w:marRight w:val="0"/>
      <w:marTop w:val="0"/>
      <w:marBottom w:val="0"/>
      <w:divBdr>
        <w:top w:val="none" w:sz="0" w:space="0" w:color="auto"/>
        <w:left w:val="none" w:sz="0" w:space="0" w:color="auto"/>
        <w:bottom w:val="none" w:sz="0" w:space="0" w:color="auto"/>
        <w:right w:val="none" w:sz="0" w:space="0" w:color="auto"/>
      </w:divBdr>
    </w:div>
    <w:div w:id="803427930">
      <w:bodyDiv w:val="1"/>
      <w:marLeft w:val="0"/>
      <w:marRight w:val="0"/>
      <w:marTop w:val="0"/>
      <w:marBottom w:val="0"/>
      <w:divBdr>
        <w:top w:val="none" w:sz="0" w:space="0" w:color="auto"/>
        <w:left w:val="none" w:sz="0" w:space="0" w:color="auto"/>
        <w:bottom w:val="none" w:sz="0" w:space="0" w:color="auto"/>
        <w:right w:val="none" w:sz="0" w:space="0" w:color="auto"/>
      </w:divBdr>
    </w:div>
    <w:div w:id="805975102">
      <w:bodyDiv w:val="1"/>
      <w:marLeft w:val="0"/>
      <w:marRight w:val="0"/>
      <w:marTop w:val="0"/>
      <w:marBottom w:val="0"/>
      <w:divBdr>
        <w:top w:val="none" w:sz="0" w:space="0" w:color="auto"/>
        <w:left w:val="none" w:sz="0" w:space="0" w:color="auto"/>
        <w:bottom w:val="none" w:sz="0" w:space="0" w:color="auto"/>
        <w:right w:val="none" w:sz="0" w:space="0" w:color="auto"/>
      </w:divBdr>
      <w:divsChild>
        <w:div w:id="2048949898">
          <w:marLeft w:val="0"/>
          <w:marRight w:val="0"/>
          <w:marTop w:val="0"/>
          <w:marBottom w:val="0"/>
          <w:divBdr>
            <w:top w:val="none" w:sz="0" w:space="0" w:color="auto"/>
            <w:left w:val="none" w:sz="0" w:space="0" w:color="auto"/>
            <w:bottom w:val="none" w:sz="0" w:space="0" w:color="auto"/>
            <w:right w:val="none" w:sz="0" w:space="0" w:color="auto"/>
          </w:divBdr>
          <w:divsChild>
            <w:div w:id="11227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565">
      <w:bodyDiv w:val="1"/>
      <w:marLeft w:val="0"/>
      <w:marRight w:val="0"/>
      <w:marTop w:val="0"/>
      <w:marBottom w:val="0"/>
      <w:divBdr>
        <w:top w:val="none" w:sz="0" w:space="0" w:color="auto"/>
        <w:left w:val="none" w:sz="0" w:space="0" w:color="auto"/>
        <w:bottom w:val="none" w:sz="0" w:space="0" w:color="auto"/>
        <w:right w:val="none" w:sz="0" w:space="0" w:color="auto"/>
      </w:divBdr>
      <w:divsChild>
        <w:div w:id="2016498962">
          <w:marLeft w:val="0"/>
          <w:marRight w:val="0"/>
          <w:marTop w:val="0"/>
          <w:marBottom w:val="0"/>
          <w:divBdr>
            <w:top w:val="none" w:sz="0" w:space="0" w:color="auto"/>
            <w:left w:val="none" w:sz="0" w:space="0" w:color="auto"/>
            <w:bottom w:val="none" w:sz="0" w:space="0" w:color="auto"/>
            <w:right w:val="none" w:sz="0" w:space="0" w:color="auto"/>
          </w:divBdr>
        </w:div>
      </w:divsChild>
    </w:div>
    <w:div w:id="855273056">
      <w:bodyDiv w:val="1"/>
      <w:marLeft w:val="0"/>
      <w:marRight w:val="0"/>
      <w:marTop w:val="0"/>
      <w:marBottom w:val="0"/>
      <w:divBdr>
        <w:top w:val="none" w:sz="0" w:space="0" w:color="auto"/>
        <w:left w:val="none" w:sz="0" w:space="0" w:color="auto"/>
        <w:bottom w:val="none" w:sz="0" w:space="0" w:color="auto"/>
        <w:right w:val="none" w:sz="0" w:space="0" w:color="auto"/>
      </w:divBdr>
      <w:divsChild>
        <w:div w:id="1699548132">
          <w:marLeft w:val="0"/>
          <w:marRight w:val="0"/>
          <w:marTop w:val="0"/>
          <w:marBottom w:val="0"/>
          <w:divBdr>
            <w:top w:val="none" w:sz="0" w:space="0" w:color="auto"/>
            <w:left w:val="none" w:sz="0" w:space="0" w:color="auto"/>
            <w:bottom w:val="none" w:sz="0" w:space="0" w:color="auto"/>
            <w:right w:val="none" w:sz="0" w:space="0" w:color="auto"/>
          </w:divBdr>
          <w:divsChild>
            <w:div w:id="1707753012">
              <w:marLeft w:val="0"/>
              <w:marRight w:val="0"/>
              <w:marTop w:val="0"/>
              <w:marBottom w:val="0"/>
              <w:divBdr>
                <w:top w:val="none" w:sz="0" w:space="0" w:color="auto"/>
                <w:left w:val="none" w:sz="0" w:space="0" w:color="auto"/>
                <w:bottom w:val="none" w:sz="0" w:space="0" w:color="auto"/>
                <w:right w:val="none" w:sz="0" w:space="0" w:color="auto"/>
              </w:divBdr>
            </w:div>
          </w:divsChild>
        </w:div>
        <w:div w:id="1724480418">
          <w:marLeft w:val="0"/>
          <w:marRight w:val="0"/>
          <w:marTop w:val="0"/>
          <w:marBottom w:val="0"/>
          <w:divBdr>
            <w:top w:val="none" w:sz="0" w:space="0" w:color="auto"/>
            <w:left w:val="none" w:sz="0" w:space="0" w:color="auto"/>
            <w:bottom w:val="none" w:sz="0" w:space="0" w:color="auto"/>
            <w:right w:val="none" w:sz="0" w:space="0" w:color="auto"/>
          </w:divBdr>
          <w:divsChild>
            <w:div w:id="9183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21574">
      <w:bodyDiv w:val="1"/>
      <w:marLeft w:val="0"/>
      <w:marRight w:val="0"/>
      <w:marTop w:val="0"/>
      <w:marBottom w:val="0"/>
      <w:divBdr>
        <w:top w:val="none" w:sz="0" w:space="0" w:color="auto"/>
        <w:left w:val="none" w:sz="0" w:space="0" w:color="auto"/>
        <w:bottom w:val="none" w:sz="0" w:space="0" w:color="auto"/>
        <w:right w:val="none" w:sz="0" w:space="0" w:color="auto"/>
      </w:divBdr>
    </w:div>
    <w:div w:id="886382468">
      <w:bodyDiv w:val="1"/>
      <w:marLeft w:val="0"/>
      <w:marRight w:val="0"/>
      <w:marTop w:val="0"/>
      <w:marBottom w:val="0"/>
      <w:divBdr>
        <w:top w:val="none" w:sz="0" w:space="0" w:color="auto"/>
        <w:left w:val="none" w:sz="0" w:space="0" w:color="auto"/>
        <w:bottom w:val="none" w:sz="0" w:space="0" w:color="auto"/>
        <w:right w:val="none" w:sz="0" w:space="0" w:color="auto"/>
      </w:divBdr>
    </w:div>
    <w:div w:id="895746529">
      <w:bodyDiv w:val="1"/>
      <w:marLeft w:val="0"/>
      <w:marRight w:val="0"/>
      <w:marTop w:val="0"/>
      <w:marBottom w:val="0"/>
      <w:divBdr>
        <w:top w:val="none" w:sz="0" w:space="0" w:color="auto"/>
        <w:left w:val="none" w:sz="0" w:space="0" w:color="auto"/>
        <w:bottom w:val="none" w:sz="0" w:space="0" w:color="auto"/>
        <w:right w:val="none" w:sz="0" w:space="0" w:color="auto"/>
      </w:divBdr>
      <w:divsChild>
        <w:div w:id="356275217">
          <w:marLeft w:val="0"/>
          <w:marRight w:val="0"/>
          <w:marTop w:val="0"/>
          <w:marBottom w:val="0"/>
          <w:divBdr>
            <w:top w:val="none" w:sz="0" w:space="0" w:color="auto"/>
            <w:left w:val="none" w:sz="0" w:space="0" w:color="auto"/>
            <w:bottom w:val="none" w:sz="0" w:space="0" w:color="auto"/>
            <w:right w:val="none" w:sz="0" w:space="0" w:color="auto"/>
          </w:divBdr>
          <w:divsChild>
            <w:div w:id="1790664734">
              <w:marLeft w:val="0"/>
              <w:marRight w:val="0"/>
              <w:marTop w:val="0"/>
              <w:marBottom w:val="0"/>
              <w:divBdr>
                <w:top w:val="none" w:sz="0" w:space="0" w:color="auto"/>
                <w:left w:val="none" w:sz="0" w:space="0" w:color="auto"/>
                <w:bottom w:val="none" w:sz="0" w:space="0" w:color="auto"/>
                <w:right w:val="none" w:sz="0" w:space="0" w:color="auto"/>
              </w:divBdr>
            </w:div>
          </w:divsChild>
        </w:div>
        <w:div w:id="426074871">
          <w:marLeft w:val="0"/>
          <w:marRight w:val="0"/>
          <w:marTop w:val="0"/>
          <w:marBottom w:val="0"/>
          <w:divBdr>
            <w:top w:val="none" w:sz="0" w:space="0" w:color="auto"/>
            <w:left w:val="none" w:sz="0" w:space="0" w:color="auto"/>
            <w:bottom w:val="none" w:sz="0" w:space="0" w:color="auto"/>
            <w:right w:val="none" w:sz="0" w:space="0" w:color="auto"/>
          </w:divBdr>
          <w:divsChild>
            <w:div w:id="11151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106">
      <w:bodyDiv w:val="1"/>
      <w:marLeft w:val="0"/>
      <w:marRight w:val="0"/>
      <w:marTop w:val="0"/>
      <w:marBottom w:val="0"/>
      <w:divBdr>
        <w:top w:val="none" w:sz="0" w:space="0" w:color="auto"/>
        <w:left w:val="none" w:sz="0" w:space="0" w:color="auto"/>
        <w:bottom w:val="none" w:sz="0" w:space="0" w:color="auto"/>
        <w:right w:val="none" w:sz="0" w:space="0" w:color="auto"/>
      </w:divBdr>
      <w:divsChild>
        <w:div w:id="38013921">
          <w:marLeft w:val="0"/>
          <w:marRight w:val="0"/>
          <w:marTop w:val="0"/>
          <w:marBottom w:val="0"/>
          <w:divBdr>
            <w:top w:val="none" w:sz="0" w:space="0" w:color="auto"/>
            <w:left w:val="none" w:sz="0" w:space="0" w:color="auto"/>
            <w:bottom w:val="none" w:sz="0" w:space="0" w:color="auto"/>
            <w:right w:val="none" w:sz="0" w:space="0" w:color="auto"/>
          </w:divBdr>
        </w:div>
      </w:divsChild>
    </w:div>
    <w:div w:id="897477639">
      <w:bodyDiv w:val="1"/>
      <w:marLeft w:val="0"/>
      <w:marRight w:val="0"/>
      <w:marTop w:val="0"/>
      <w:marBottom w:val="0"/>
      <w:divBdr>
        <w:top w:val="none" w:sz="0" w:space="0" w:color="auto"/>
        <w:left w:val="none" w:sz="0" w:space="0" w:color="auto"/>
        <w:bottom w:val="none" w:sz="0" w:space="0" w:color="auto"/>
        <w:right w:val="none" w:sz="0" w:space="0" w:color="auto"/>
      </w:divBdr>
      <w:divsChild>
        <w:div w:id="695741561">
          <w:marLeft w:val="0"/>
          <w:marRight w:val="0"/>
          <w:marTop w:val="0"/>
          <w:marBottom w:val="0"/>
          <w:divBdr>
            <w:top w:val="none" w:sz="0" w:space="0" w:color="auto"/>
            <w:left w:val="none" w:sz="0" w:space="0" w:color="auto"/>
            <w:bottom w:val="none" w:sz="0" w:space="0" w:color="auto"/>
            <w:right w:val="none" w:sz="0" w:space="0" w:color="auto"/>
          </w:divBdr>
          <w:divsChild>
            <w:div w:id="986401595">
              <w:marLeft w:val="0"/>
              <w:marRight w:val="0"/>
              <w:marTop w:val="0"/>
              <w:marBottom w:val="0"/>
              <w:divBdr>
                <w:top w:val="none" w:sz="0" w:space="0" w:color="auto"/>
                <w:left w:val="none" w:sz="0" w:space="0" w:color="auto"/>
                <w:bottom w:val="none" w:sz="0" w:space="0" w:color="auto"/>
                <w:right w:val="none" w:sz="0" w:space="0" w:color="auto"/>
              </w:divBdr>
            </w:div>
          </w:divsChild>
        </w:div>
        <w:div w:id="1932540026">
          <w:marLeft w:val="0"/>
          <w:marRight w:val="0"/>
          <w:marTop w:val="0"/>
          <w:marBottom w:val="0"/>
          <w:divBdr>
            <w:top w:val="none" w:sz="0" w:space="0" w:color="auto"/>
            <w:left w:val="none" w:sz="0" w:space="0" w:color="auto"/>
            <w:bottom w:val="none" w:sz="0" w:space="0" w:color="auto"/>
            <w:right w:val="none" w:sz="0" w:space="0" w:color="auto"/>
          </w:divBdr>
          <w:divsChild>
            <w:div w:id="17768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4999">
      <w:bodyDiv w:val="1"/>
      <w:marLeft w:val="0"/>
      <w:marRight w:val="0"/>
      <w:marTop w:val="0"/>
      <w:marBottom w:val="0"/>
      <w:divBdr>
        <w:top w:val="none" w:sz="0" w:space="0" w:color="auto"/>
        <w:left w:val="none" w:sz="0" w:space="0" w:color="auto"/>
        <w:bottom w:val="none" w:sz="0" w:space="0" w:color="auto"/>
        <w:right w:val="none" w:sz="0" w:space="0" w:color="auto"/>
      </w:divBdr>
      <w:divsChild>
        <w:div w:id="389115098">
          <w:marLeft w:val="0"/>
          <w:marRight w:val="0"/>
          <w:marTop w:val="0"/>
          <w:marBottom w:val="0"/>
          <w:divBdr>
            <w:top w:val="none" w:sz="0" w:space="0" w:color="auto"/>
            <w:left w:val="none" w:sz="0" w:space="0" w:color="auto"/>
            <w:bottom w:val="none" w:sz="0" w:space="0" w:color="auto"/>
            <w:right w:val="none" w:sz="0" w:space="0" w:color="auto"/>
          </w:divBdr>
          <w:divsChild>
            <w:div w:id="1720200542">
              <w:marLeft w:val="0"/>
              <w:marRight w:val="0"/>
              <w:marTop w:val="0"/>
              <w:marBottom w:val="0"/>
              <w:divBdr>
                <w:top w:val="none" w:sz="0" w:space="0" w:color="auto"/>
                <w:left w:val="none" w:sz="0" w:space="0" w:color="auto"/>
                <w:bottom w:val="none" w:sz="0" w:space="0" w:color="auto"/>
                <w:right w:val="none" w:sz="0" w:space="0" w:color="auto"/>
              </w:divBdr>
            </w:div>
          </w:divsChild>
        </w:div>
        <w:div w:id="594284995">
          <w:marLeft w:val="0"/>
          <w:marRight w:val="0"/>
          <w:marTop w:val="0"/>
          <w:marBottom w:val="0"/>
          <w:divBdr>
            <w:top w:val="none" w:sz="0" w:space="0" w:color="auto"/>
            <w:left w:val="none" w:sz="0" w:space="0" w:color="auto"/>
            <w:bottom w:val="none" w:sz="0" w:space="0" w:color="auto"/>
            <w:right w:val="none" w:sz="0" w:space="0" w:color="auto"/>
          </w:divBdr>
          <w:divsChild>
            <w:div w:id="155267767">
              <w:marLeft w:val="0"/>
              <w:marRight w:val="0"/>
              <w:marTop w:val="120"/>
              <w:marBottom w:val="0"/>
              <w:divBdr>
                <w:top w:val="none" w:sz="0" w:space="0" w:color="auto"/>
                <w:left w:val="none" w:sz="0" w:space="0" w:color="auto"/>
                <w:bottom w:val="none" w:sz="0" w:space="0" w:color="auto"/>
                <w:right w:val="none" w:sz="0" w:space="0" w:color="auto"/>
              </w:divBdr>
            </w:div>
            <w:div w:id="576936594">
              <w:marLeft w:val="0"/>
              <w:marRight w:val="0"/>
              <w:marTop w:val="0"/>
              <w:marBottom w:val="0"/>
              <w:divBdr>
                <w:top w:val="none" w:sz="0" w:space="0" w:color="auto"/>
                <w:left w:val="none" w:sz="0" w:space="0" w:color="auto"/>
                <w:bottom w:val="none" w:sz="0" w:space="0" w:color="auto"/>
                <w:right w:val="none" w:sz="0" w:space="0" w:color="auto"/>
              </w:divBdr>
            </w:div>
          </w:divsChild>
        </w:div>
        <w:div w:id="1030178896">
          <w:marLeft w:val="0"/>
          <w:marRight w:val="0"/>
          <w:marTop w:val="0"/>
          <w:marBottom w:val="0"/>
          <w:divBdr>
            <w:top w:val="none" w:sz="0" w:space="0" w:color="auto"/>
            <w:left w:val="none" w:sz="0" w:space="0" w:color="auto"/>
            <w:bottom w:val="none" w:sz="0" w:space="0" w:color="auto"/>
            <w:right w:val="none" w:sz="0" w:space="0" w:color="auto"/>
          </w:divBdr>
          <w:divsChild>
            <w:div w:id="1801877038">
              <w:marLeft w:val="0"/>
              <w:marRight w:val="0"/>
              <w:marTop w:val="120"/>
              <w:marBottom w:val="0"/>
              <w:divBdr>
                <w:top w:val="none" w:sz="0" w:space="0" w:color="auto"/>
                <w:left w:val="none" w:sz="0" w:space="0" w:color="auto"/>
                <w:bottom w:val="none" w:sz="0" w:space="0" w:color="auto"/>
                <w:right w:val="none" w:sz="0" w:space="0" w:color="auto"/>
              </w:divBdr>
            </w:div>
            <w:div w:id="18086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40848">
      <w:bodyDiv w:val="1"/>
      <w:marLeft w:val="0"/>
      <w:marRight w:val="0"/>
      <w:marTop w:val="0"/>
      <w:marBottom w:val="0"/>
      <w:divBdr>
        <w:top w:val="none" w:sz="0" w:space="0" w:color="auto"/>
        <w:left w:val="none" w:sz="0" w:space="0" w:color="auto"/>
        <w:bottom w:val="none" w:sz="0" w:space="0" w:color="auto"/>
        <w:right w:val="none" w:sz="0" w:space="0" w:color="auto"/>
      </w:divBdr>
      <w:divsChild>
        <w:div w:id="1714426195">
          <w:marLeft w:val="0"/>
          <w:marRight w:val="0"/>
          <w:marTop w:val="0"/>
          <w:marBottom w:val="0"/>
          <w:divBdr>
            <w:top w:val="none" w:sz="0" w:space="0" w:color="auto"/>
            <w:left w:val="none" w:sz="0" w:space="0" w:color="auto"/>
            <w:bottom w:val="none" w:sz="0" w:space="0" w:color="auto"/>
            <w:right w:val="none" w:sz="0" w:space="0" w:color="auto"/>
          </w:divBdr>
          <w:divsChild>
            <w:div w:id="10768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216">
      <w:bodyDiv w:val="1"/>
      <w:marLeft w:val="0"/>
      <w:marRight w:val="0"/>
      <w:marTop w:val="0"/>
      <w:marBottom w:val="0"/>
      <w:divBdr>
        <w:top w:val="none" w:sz="0" w:space="0" w:color="auto"/>
        <w:left w:val="none" w:sz="0" w:space="0" w:color="auto"/>
        <w:bottom w:val="none" w:sz="0" w:space="0" w:color="auto"/>
        <w:right w:val="none" w:sz="0" w:space="0" w:color="auto"/>
      </w:divBdr>
      <w:divsChild>
        <w:div w:id="1144660642">
          <w:marLeft w:val="0"/>
          <w:marRight w:val="0"/>
          <w:marTop w:val="0"/>
          <w:marBottom w:val="0"/>
          <w:divBdr>
            <w:top w:val="none" w:sz="0" w:space="0" w:color="auto"/>
            <w:left w:val="none" w:sz="0" w:space="0" w:color="auto"/>
            <w:bottom w:val="none" w:sz="0" w:space="0" w:color="auto"/>
            <w:right w:val="none" w:sz="0" w:space="0" w:color="auto"/>
          </w:divBdr>
          <w:divsChild>
            <w:div w:id="17792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4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414">
          <w:marLeft w:val="0"/>
          <w:marRight w:val="0"/>
          <w:marTop w:val="0"/>
          <w:marBottom w:val="0"/>
          <w:divBdr>
            <w:top w:val="none" w:sz="0" w:space="0" w:color="auto"/>
            <w:left w:val="none" w:sz="0" w:space="0" w:color="auto"/>
            <w:bottom w:val="none" w:sz="0" w:space="0" w:color="auto"/>
            <w:right w:val="none" w:sz="0" w:space="0" w:color="auto"/>
          </w:divBdr>
        </w:div>
      </w:divsChild>
    </w:div>
    <w:div w:id="917057881">
      <w:bodyDiv w:val="1"/>
      <w:marLeft w:val="0"/>
      <w:marRight w:val="0"/>
      <w:marTop w:val="0"/>
      <w:marBottom w:val="0"/>
      <w:divBdr>
        <w:top w:val="none" w:sz="0" w:space="0" w:color="auto"/>
        <w:left w:val="none" w:sz="0" w:space="0" w:color="auto"/>
        <w:bottom w:val="none" w:sz="0" w:space="0" w:color="auto"/>
        <w:right w:val="none" w:sz="0" w:space="0" w:color="auto"/>
      </w:divBdr>
      <w:divsChild>
        <w:div w:id="17585773">
          <w:marLeft w:val="0"/>
          <w:marRight w:val="0"/>
          <w:marTop w:val="0"/>
          <w:marBottom w:val="0"/>
          <w:divBdr>
            <w:top w:val="none" w:sz="0" w:space="0" w:color="auto"/>
            <w:left w:val="none" w:sz="0" w:space="0" w:color="auto"/>
            <w:bottom w:val="none" w:sz="0" w:space="0" w:color="auto"/>
            <w:right w:val="none" w:sz="0" w:space="0" w:color="auto"/>
          </w:divBdr>
        </w:div>
      </w:divsChild>
    </w:div>
    <w:div w:id="917835524">
      <w:bodyDiv w:val="1"/>
      <w:marLeft w:val="0"/>
      <w:marRight w:val="0"/>
      <w:marTop w:val="0"/>
      <w:marBottom w:val="0"/>
      <w:divBdr>
        <w:top w:val="none" w:sz="0" w:space="0" w:color="auto"/>
        <w:left w:val="none" w:sz="0" w:space="0" w:color="auto"/>
        <w:bottom w:val="none" w:sz="0" w:space="0" w:color="auto"/>
        <w:right w:val="none" w:sz="0" w:space="0" w:color="auto"/>
      </w:divBdr>
      <w:divsChild>
        <w:div w:id="852183500">
          <w:marLeft w:val="0"/>
          <w:marRight w:val="0"/>
          <w:marTop w:val="0"/>
          <w:marBottom w:val="0"/>
          <w:divBdr>
            <w:top w:val="none" w:sz="0" w:space="0" w:color="auto"/>
            <w:left w:val="none" w:sz="0" w:space="0" w:color="auto"/>
            <w:bottom w:val="none" w:sz="0" w:space="0" w:color="auto"/>
            <w:right w:val="none" w:sz="0" w:space="0" w:color="auto"/>
          </w:divBdr>
        </w:div>
        <w:div w:id="1221748244">
          <w:marLeft w:val="0"/>
          <w:marRight w:val="0"/>
          <w:marTop w:val="120"/>
          <w:marBottom w:val="0"/>
          <w:divBdr>
            <w:top w:val="none" w:sz="0" w:space="0" w:color="auto"/>
            <w:left w:val="none" w:sz="0" w:space="0" w:color="auto"/>
            <w:bottom w:val="none" w:sz="0" w:space="0" w:color="auto"/>
            <w:right w:val="none" w:sz="0" w:space="0" w:color="auto"/>
          </w:divBdr>
        </w:div>
      </w:divsChild>
    </w:div>
    <w:div w:id="921716592">
      <w:bodyDiv w:val="1"/>
      <w:marLeft w:val="0"/>
      <w:marRight w:val="0"/>
      <w:marTop w:val="0"/>
      <w:marBottom w:val="0"/>
      <w:divBdr>
        <w:top w:val="none" w:sz="0" w:space="0" w:color="auto"/>
        <w:left w:val="none" w:sz="0" w:space="0" w:color="auto"/>
        <w:bottom w:val="none" w:sz="0" w:space="0" w:color="auto"/>
        <w:right w:val="none" w:sz="0" w:space="0" w:color="auto"/>
      </w:divBdr>
      <w:divsChild>
        <w:div w:id="802112568">
          <w:marLeft w:val="0"/>
          <w:marRight w:val="0"/>
          <w:marTop w:val="0"/>
          <w:marBottom w:val="0"/>
          <w:divBdr>
            <w:top w:val="none" w:sz="0" w:space="0" w:color="auto"/>
            <w:left w:val="none" w:sz="0" w:space="0" w:color="auto"/>
            <w:bottom w:val="none" w:sz="0" w:space="0" w:color="auto"/>
            <w:right w:val="none" w:sz="0" w:space="0" w:color="auto"/>
          </w:divBdr>
          <w:divsChild>
            <w:div w:id="747384096">
              <w:marLeft w:val="0"/>
              <w:marRight w:val="0"/>
              <w:marTop w:val="0"/>
              <w:marBottom w:val="0"/>
              <w:divBdr>
                <w:top w:val="none" w:sz="0" w:space="0" w:color="auto"/>
                <w:left w:val="none" w:sz="0" w:space="0" w:color="auto"/>
                <w:bottom w:val="none" w:sz="0" w:space="0" w:color="auto"/>
                <w:right w:val="none" w:sz="0" w:space="0" w:color="auto"/>
              </w:divBdr>
            </w:div>
            <w:div w:id="1434934726">
              <w:marLeft w:val="0"/>
              <w:marRight w:val="0"/>
              <w:marTop w:val="120"/>
              <w:marBottom w:val="0"/>
              <w:divBdr>
                <w:top w:val="none" w:sz="0" w:space="0" w:color="auto"/>
                <w:left w:val="none" w:sz="0" w:space="0" w:color="auto"/>
                <w:bottom w:val="none" w:sz="0" w:space="0" w:color="auto"/>
                <w:right w:val="none" w:sz="0" w:space="0" w:color="auto"/>
              </w:divBdr>
            </w:div>
          </w:divsChild>
        </w:div>
        <w:div w:id="1720133730">
          <w:marLeft w:val="0"/>
          <w:marRight w:val="0"/>
          <w:marTop w:val="0"/>
          <w:marBottom w:val="0"/>
          <w:divBdr>
            <w:top w:val="none" w:sz="0" w:space="0" w:color="auto"/>
            <w:left w:val="none" w:sz="0" w:space="0" w:color="auto"/>
            <w:bottom w:val="none" w:sz="0" w:space="0" w:color="auto"/>
            <w:right w:val="none" w:sz="0" w:space="0" w:color="auto"/>
          </w:divBdr>
          <w:divsChild>
            <w:div w:id="292177488">
              <w:marLeft w:val="0"/>
              <w:marRight w:val="0"/>
              <w:marTop w:val="120"/>
              <w:marBottom w:val="0"/>
              <w:divBdr>
                <w:top w:val="none" w:sz="0" w:space="0" w:color="auto"/>
                <w:left w:val="none" w:sz="0" w:space="0" w:color="auto"/>
                <w:bottom w:val="none" w:sz="0" w:space="0" w:color="auto"/>
                <w:right w:val="none" w:sz="0" w:space="0" w:color="auto"/>
              </w:divBdr>
            </w:div>
            <w:div w:id="3365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1786">
      <w:bodyDiv w:val="1"/>
      <w:marLeft w:val="0"/>
      <w:marRight w:val="0"/>
      <w:marTop w:val="0"/>
      <w:marBottom w:val="0"/>
      <w:divBdr>
        <w:top w:val="none" w:sz="0" w:space="0" w:color="auto"/>
        <w:left w:val="none" w:sz="0" w:space="0" w:color="auto"/>
        <w:bottom w:val="none" w:sz="0" w:space="0" w:color="auto"/>
        <w:right w:val="none" w:sz="0" w:space="0" w:color="auto"/>
      </w:divBdr>
      <w:divsChild>
        <w:div w:id="1542984807">
          <w:marLeft w:val="0"/>
          <w:marRight w:val="0"/>
          <w:marTop w:val="0"/>
          <w:marBottom w:val="0"/>
          <w:divBdr>
            <w:top w:val="none" w:sz="0" w:space="0" w:color="auto"/>
            <w:left w:val="none" w:sz="0" w:space="0" w:color="auto"/>
            <w:bottom w:val="none" w:sz="0" w:space="0" w:color="auto"/>
            <w:right w:val="none" w:sz="0" w:space="0" w:color="auto"/>
          </w:divBdr>
        </w:div>
      </w:divsChild>
    </w:div>
    <w:div w:id="930814897">
      <w:bodyDiv w:val="1"/>
      <w:marLeft w:val="0"/>
      <w:marRight w:val="0"/>
      <w:marTop w:val="0"/>
      <w:marBottom w:val="0"/>
      <w:divBdr>
        <w:top w:val="none" w:sz="0" w:space="0" w:color="auto"/>
        <w:left w:val="none" w:sz="0" w:space="0" w:color="auto"/>
        <w:bottom w:val="none" w:sz="0" w:space="0" w:color="auto"/>
        <w:right w:val="none" w:sz="0" w:space="0" w:color="auto"/>
      </w:divBdr>
    </w:div>
    <w:div w:id="934285702">
      <w:bodyDiv w:val="1"/>
      <w:marLeft w:val="0"/>
      <w:marRight w:val="0"/>
      <w:marTop w:val="0"/>
      <w:marBottom w:val="0"/>
      <w:divBdr>
        <w:top w:val="none" w:sz="0" w:space="0" w:color="auto"/>
        <w:left w:val="none" w:sz="0" w:space="0" w:color="auto"/>
        <w:bottom w:val="none" w:sz="0" w:space="0" w:color="auto"/>
        <w:right w:val="none" w:sz="0" w:space="0" w:color="auto"/>
      </w:divBdr>
      <w:divsChild>
        <w:div w:id="130707863">
          <w:marLeft w:val="0"/>
          <w:marRight w:val="0"/>
          <w:marTop w:val="0"/>
          <w:marBottom w:val="0"/>
          <w:divBdr>
            <w:top w:val="none" w:sz="0" w:space="0" w:color="auto"/>
            <w:left w:val="none" w:sz="0" w:space="0" w:color="auto"/>
            <w:bottom w:val="none" w:sz="0" w:space="0" w:color="auto"/>
            <w:right w:val="none" w:sz="0" w:space="0" w:color="auto"/>
          </w:divBdr>
          <w:divsChild>
            <w:div w:id="387843032">
              <w:marLeft w:val="0"/>
              <w:marRight w:val="0"/>
              <w:marTop w:val="0"/>
              <w:marBottom w:val="0"/>
              <w:divBdr>
                <w:top w:val="none" w:sz="0" w:space="0" w:color="auto"/>
                <w:left w:val="none" w:sz="0" w:space="0" w:color="auto"/>
                <w:bottom w:val="none" w:sz="0" w:space="0" w:color="auto"/>
                <w:right w:val="none" w:sz="0" w:space="0" w:color="auto"/>
              </w:divBdr>
            </w:div>
          </w:divsChild>
        </w:div>
        <w:div w:id="1166021424">
          <w:marLeft w:val="0"/>
          <w:marRight w:val="0"/>
          <w:marTop w:val="0"/>
          <w:marBottom w:val="0"/>
          <w:divBdr>
            <w:top w:val="none" w:sz="0" w:space="0" w:color="auto"/>
            <w:left w:val="none" w:sz="0" w:space="0" w:color="auto"/>
            <w:bottom w:val="none" w:sz="0" w:space="0" w:color="auto"/>
            <w:right w:val="none" w:sz="0" w:space="0" w:color="auto"/>
          </w:divBdr>
          <w:divsChild>
            <w:div w:id="15033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0868">
      <w:bodyDiv w:val="1"/>
      <w:marLeft w:val="0"/>
      <w:marRight w:val="0"/>
      <w:marTop w:val="0"/>
      <w:marBottom w:val="0"/>
      <w:divBdr>
        <w:top w:val="none" w:sz="0" w:space="0" w:color="auto"/>
        <w:left w:val="none" w:sz="0" w:space="0" w:color="auto"/>
        <w:bottom w:val="none" w:sz="0" w:space="0" w:color="auto"/>
        <w:right w:val="none" w:sz="0" w:space="0" w:color="auto"/>
      </w:divBdr>
      <w:divsChild>
        <w:div w:id="1339773889">
          <w:marLeft w:val="0"/>
          <w:marRight w:val="0"/>
          <w:marTop w:val="0"/>
          <w:marBottom w:val="0"/>
          <w:divBdr>
            <w:top w:val="none" w:sz="0" w:space="0" w:color="auto"/>
            <w:left w:val="none" w:sz="0" w:space="0" w:color="auto"/>
            <w:bottom w:val="none" w:sz="0" w:space="0" w:color="auto"/>
            <w:right w:val="none" w:sz="0" w:space="0" w:color="auto"/>
          </w:divBdr>
          <w:divsChild>
            <w:div w:id="738407145">
              <w:marLeft w:val="0"/>
              <w:marRight w:val="0"/>
              <w:marTop w:val="0"/>
              <w:marBottom w:val="0"/>
              <w:divBdr>
                <w:top w:val="none" w:sz="0" w:space="0" w:color="auto"/>
                <w:left w:val="none" w:sz="0" w:space="0" w:color="auto"/>
                <w:bottom w:val="none" w:sz="0" w:space="0" w:color="auto"/>
                <w:right w:val="none" w:sz="0" w:space="0" w:color="auto"/>
              </w:divBdr>
              <w:divsChild>
                <w:div w:id="1246837306">
                  <w:marLeft w:val="0"/>
                  <w:marRight w:val="0"/>
                  <w:marTop w:val="120"/>
                  <w:marBottom w:val="0"/>
                  <w:divBdr>
                    <w:top w:val="none" w:sz="0" w:space="0" w:color="auto"/>
                    <w:left w:val="none" w:sz="0" w:space="0" w:color="auto"/>
                    <w:bottom w:val="none" w:sz="0" w:space="0" w:color="auto"/>
                    <w:right w:val="none" w:sz="0" w:space="0" w:color="auto"/>
                  </w:divBdr>
                </w:div>
                <w:div w:id="1315334022">
                  <w:marLeft w:val="0"/>
                  <w:marRight w:val="0"/>
                  <w:marTop w:val="0"/>
                  <w:marBottom w:val="0"/>
                  <w:divBdr>
                    <w:top w:val="none" w:sz="0" w:space="0" w:color="auto"/>
                    <w:left w:val="none" w:sz="0" w:space="0" w:color="auto"/>
                    <w:bottom w:val="none" w:sz="0" w:space="0" w:color="auto"/>
                    <w:right w:val="none" w:sz="0" w:space="0" w:color="auto"/>
                  </w:divBdr>
                </w:div>
              </w:divsChild>
            </w:div>
            <w:div w:id="1001271721">
              <w:marLeft w:val="0"/>
              <w:marRight w:val="0"/>
              <w:marTop w:val="0"/>
              <w:marBottom w:val="0"/>
              <w:divBdr>
                <w:top w:val="none" w:sz="0" w:space="0" w:color="auto"/>
                <w:left w:val="none" w:sz="0" w:space="0" w:color="auto"/>
                <w:bottom w:val="none" w:sz="0" w:space="0" w:color="auto"/>
                <w:right w:val="none" w:sz="0" w:space="0" w:color="auto"/>
              </w:divBdr>
              <w:divsChild>
                <w:div w:id="900753100">
                  <w:marLeft w:val="0"/>
                  <w:marRight w:val="0"/>
                  <w:marTop w:val="0"/>
                  <w:marBottom w:val="0"/>
                  <w:divBdr>
                    <w:top w:val="none" w:sz="0" w:space="0" w:color="auto"/>
                    <w:left w:val="none" w:sz="0" w:space="0" w:color="auto"/>
                    <w:bottom w:val="none" w:sz="0" w:space="0" w:color="auto"/>
                    <w:right w:val="none" w:sz="0" w:space="0" w:color="auto"/>
                  </w:divBdr>
                </w:div>
                <w:div w:id="1915622936">
                  <w:marLeft w:val="0"/>
                  <w:marRight w:val="0"/>
                  <w:marTop w:val="120"/>
                  <w:marBottom w:val="0"/>
                  <w:divBdr>
                    <w:top w:val="none" w:sz="0" w:space="0" w:color="auto"/>
                    <w:left w:val="none" w:sz="0" w:space="0" w:color="auto"/>
                    <w:bottom w:val="none" w:sz="0" w:space="0" w:color="auto"/>
                    <w:right w:val="none" w:sz="0" w:space="0" w:color="auto"/>
                  </w:divBdr>
                </w:div>
              </w:divsChild>
            </w:div>
            <w:div w:id="1238247902">
              <w:marLeft w:val="0"/>
              <w:marRight w:val="0"/>
              <w:marTop w:val="0"/>
              <w:marBottom w:val="0"/>
              <w:divBdr>
                <w:top w:val="none" w:sz="0" w:space="0" w:color="auto"/>
                <w:left w:val="none" w:sz="0" w:space="0" w:color="auto"/>
                <w:bottom w:val="none" w:sz="0" w:space="0" w:color="auto"/>
                <w:right w:val="none" w:sz="0" w:space="0" w:color="auto"/>
              </w:divBdr>
              <w:divsChild>
                <w:div w:id="462576535">
                  <w:marLeft w:val="0"/>
                  <w:marRight w:val="0"/>
                  <w:marTop w:val="120"/>
                  <w:marBottom w:val="0"/>
                  <w:divBdr>
                    <w:top w:val="none" w:sz="0" w:space="0" w:color="auto"/>
                    <w:left w:val="none" w:sz="0" w:space="0" w:color="auto"/>
                    <w:bottom w:val="none" w:sz="0" w:space="0" w:color="auto"/>
                    <w:right w:val="none" w:sz="0" w:space="0" w:color="auto"/>
                  </w:divBdr>
                </w:div>
                <w:div w:id="1545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85">
      <w:bodyDiv w:val="1"/>
      <w:marLeft w:val="0"/>
      <w:marRight w:val="0"/>
      <w:marTop w:val="0"/>
      <w:marBottom w:val="0"/>
      <w:divBdr>
        <w:top w:val="none" w:sz="0" w:space="0" w:color="auto"/>
        <w:left w:val="none" w:sz="0" w:space="0" w:color="auto"/>
        <w:bottom w:val="none" w:sz="0" w:space="0" w:color="auto"/>
        <w:right w:val="none" w:sz="0" w:space="0" w:color="auto"/>
      </w:divBdr>
      <w:divsChild>
        <w:div w:id="435827489">
          <w:marLeft w:val="0"/>
          <w:marRight w:val="0"/>
          <w:marTop w:val="120"/>
          <w:marBottom w:val="0"/>
          <w:divBdr>
            <w:top w:val="none" w:sz="0" w:space="0" w:color="auto"/>
            <w:left w:val="none" w:sz="0" w:space="0" w:color="auto"/>
            <w:bottom w:val="none" w:sz="0" w:space="0" w:color="auto"/>
            <w:right w:val="none" w:sz="0" w:space="0" w:color="auto"/>
          </w:divBdr>
        </w:div>
        <w:div w:id="1429228651">
          <w:marLeft w:val="0"/>
          <w:marRight w:val="0"/>
          <w:marTop w:val="0"/>
          <w:marBottom w:val="0"/>
          <w:divBdr>
            <w:top w:val="none" w:sz="0" w:space="0" w:color="auto"/>
            <w:left w:val="none" w:sz="0" w:space="0" w:color="auto"/>
            <w:bottom w:val="none" w:sz="0" w:space="0" w:color="auto"/>
            <w:right w:val="none" w:sz="0" w:space="0" w:color="auto"/>
          </w:divBdr>
          <w:divsChild>
            <w:div w:id="558135554">
              <w:marLeft w:val="0"/>
              <w:marRight w:val="0"/>
              <w:marTop w:val="0"/>
              <w:marBottom w:val="0"/>
              <w:divBdr>
                <w:top w:val="none" w:sz="0" w:space="0" w:color="auto"/>
                <w:left w:val="none" w:sz="0" w:space="0" w:color="auto"/>
                <w:bottom w:val="none" w:sz="0" w:space="0" w:color="auto"/>
                <w:right w:val="none" w:sz="0" w:space="0" w:color="auto"/>
              </w:divBdr>
              <w:divsChild>
                <w:div w:id="440296763">
                  <w:marLeft w:val="0"/>
                  <w:marRight w:val="0"/>
                  <w:marTop w:val="0"/>
                  <w:marBottom w:val="0"/>
                  <w:divBdr>
                    <w:top w:val="none" w:sz="0" w:space="0" w:color="auto"/>
                    <w:left w:val="none" w:sz="0" w:space="0" w:color="auto"/>
                    <w:bottom w:val="none" w:sz="0" w:space="0" w:color="auto"/>
                    <w:right w:val="none" w:sz="0" w:space="0" w:color="auto"/>
                  </w:divBdr>
                </w:div>
                <w:div w:id="441262560">
                  <w:marLeft w:val="0"/>
                  <w:marRight w:val="0"/>
                  <w:marTop w:val="120"/>
                  <w:marBottom w:val="0"/>
                  <w:divBdr>
                    <w:top w:val="none" w:sz="0" w:space="0" w:color="auto"/>
                    <w:left w:val="none" w:sz="0" w:space="0" w:color="auto"/>
                    <w:bottom w:val="none" w:sz="0" w:space="0" w:color="auto"/>
                    <w:right w:val="none" w:sz="0" w:space="0" w:color="auto"/>
                  </w:divBdr>
                </w:div>
              </w:divsChild>
            </w:div>
            <w:div w:id="1277984472">
              <w:marLeft w:val="0"/>
              <w:marRight w:val="0"/>
              <w:marTop w:val="0"/>
              <w:marBottom w:val="0"/>
              <w:divBdr>
                <w:top w:val="none" w:sz="0" w:space="0" w:color="auto"/>
                <w:left w:val="none" w:sz="0" w:space="0" w:color="auto"/>
                <w:bottom w:val="none" w:sz="0" w:space="0" w:color="auto"/>
                <w:right w:val="none" w:sz="0" w:space="0" w:color="auto"/>
              </w:divBdr>
              <w:divsChild>
                <w:div w:id="1830170632">
                  <w:marLeft w:val="0"/>
                  <w:marRight w:val="0"/>
                  <w:marTop w:val="0"/>
                  <w:marBottom w:val="0"/>
                  <w:divBdr>
                    <w:top w:val="none" w:sz="0" w:space="0" w:color="auto"/>
                    <w:left w:val="none" w:sz="0" w:space="0" w:color="auto"/>
                    <w:bottom w:val="none" w:sz="0" w:space="0" w:color="auto"/>
                    <w:right w:val="none" w:sz="0" w:space="0" w:color="auto"/>
                  </w:divBdr>
                </w:div>
                <w:div w:id="19150494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6611258">
      <w:bodyDiv w:val="1"/>
      <w:marLeft w:val="0"/>
      <w:marRight w:val="0"/>
      <w:marTop w:val="0"/>
      <w:marBottom w:val="0"/>
      <w:divBdr>
        <w:top w:val="none" w:sz="0" w:space="0" w:color="auto"/>
        <w:left w:val="none" w:sz="0" w:space="0" w:color="auto"/>
        <w:bottom w:val="none" w:sz="0" w:space="0" w:color="auto"/>
        <w:right w:val="none" w:sz="0" w:space="0" w:color="auto"/>
      </w:divBdr>
      <w:divsChild>
        <w:div w:id="1265723084">
          <w:marLeft w:val="0"/>
          <w:marRight w:val="0"/>
          <w:marTop w:val="0"/>
          <w:marBottom w:val="0"/>
          <w:divBdr>
            <w:top w:val="none" w:sz="0" w:space="0" w:color="auto"/>
            <w:left w:val="none" w:sz="0" w:space="0" w:color="auto"/>
            <w:bottom w:val="none" w:sz="0" w:space="0" w:color="auto"/>
            <w:right w:val="none" w:sz="0" w:space="0" w:color="auto"/>
          </w:divBdr>
          <w:divsChild>
            <w:div w:id="415051182">
              <w:marLeft w:val="0"/>
              <w:marRight w:val="0"/>
              <w:marTop w:val="120"/>
              <w:marBottom w:val="0"/>
              <w:divBdr>
                <w:top w:val="none" w:sz="0" w:space="0" w:color="auto"/>
                <w:left w:val="none" w:sz="0" w:space="0" w:color="auto"/>
                <w:bottom w:val="none" w:sz="0" w:space="0" w:color="auto"/>
                <w:right w:val="none" w:sz="0" w:space="0" w:color="auto"/>
              </w:divBdr>
            </w:div>
            <w:div w:id="1900938813">
              <w:marLeft w:val="0"/>
              <w:marRight w:val="0"/>
              <w:marTop w:val="0"/>
              <w:marBottom w:val="0"/>
              <w:divBdr>
                <w:top w:val="none" w:sz="0" w:space="0" w:color="auto"/>
                <w:left w:val="none" w:sz="0" w:space="0" w:color="auto"/>
                <w:bottom w:val="none" w:sz="0" w:space="0" w:color="auto"/>
                <w:right w:val="none" w:sz="0" w:space="0" w:color="auto"/>
              </w:divBdr>
            </w:div>
          </w:divsChild>
        </w:div>
        <w:div w:id="1801799589">
          <w:marLeft w:val="0"/>
          <w:marRight w:val="0"/>
          <w:marTop w:val="0"/>
          <w:marBottom w:val="0"/>
          <w:divBdr>
            <w:top w:val="none" w:sz="0" w:space="0" w:color="auto"/>
            <w:left w:val="none" w:sz="0" w:space="0" w:color="auto"/>
            <w:bottom w:val="none" w:sz="0" w:space="0" w:color="auto"/>
            <w:right w:val="none" w:sz="0" w:space="0" w:color="auto"/>
          </w:divBdr>
          <w:divsChild>
            <w:div w:id="738794063">
              <w:marLeft w:val="0"/>
              <w:marRight w:val="0"/>
              <w:marTop w:val="120"/>
              <w:marBottom w:val="0"/>
              <w:divBdr>
                <w:top w:val="none" w:sz="0" w:space="0" w:color="auto"/>
                <w:left w:val="none" w:sz="0" w:space="0" w:color="auto"/>
                <w:bottom w:val="none" w:sz="0" w:space="0" w:color="auto"/>
                <w:right w:val="none" w:sz="0" w:space="0" w:color="auto"/>
              </w:divBdr>
            </w:div>
            <w:div w:id="1173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641">
      <w:bodyDiv w:val="1"/>
      <w:marLeft w:val="0"/>
      <w:marRight w:val="0"/>
      <w:marTop w:val="0"/>
      <w:marBottom w:val="0"/>
      <w:divBdr>
        <w:top w:val="none" w:sz="0" w:space="0" w:color="auto"/>
        <w:left w:val="none" w:sz="0" w:space="0" w:color="auto"/>
        <w:bottom w:val="none" w:sz="0" w:space="0" w:color="auto"/>
        <w:right w:val="none" w:sz="0" w:space="0" w:color="auto"/>
      </w:divBdr>
      <w:divsChild>
        <w:div w:id="979457166">
          <w:marLeft w:val="0"/>
          <w:marRight w:val="0"/>
          <w:marTop w:val="0"/>
          <w:marBottom w:val="0"/>
          <w:divBdr>
            <w:top w:val="none" w:sz="0" w:space="0" w:color="auto"/>
            <w:left w:val="none" w:sz="0" w:space="0" w:color="auto"/>
            <w:bottom w:val="none" w:sz="0" w:space="0" w:color="auto"/>
            <w:right w:val="none" w:sz="0" w:space="0" w:color="auto"/>
          </w:divBdr>
          <w:divsChild>
            <w:div w:id="1136991222">
              <w:marLeft w:val="0"/>
              <w:marRight w:val="0"/>
              <w:marTop w:val="0"/>
              <w:marBottom w:val="0"/>
              <w:divBdr>
                <w:top w:val="none" w:sz="0" w:space="0" w:color="auto"/>
                <w:left w:val="none" w:sz="0" w:space="0" w:color="auto"/>
                <w:bottom w:val="none" w:sz="0" w:space="0" w:color="auto"/>
                <w:right w:val="none" w:sz="0" w:space="0" w:color="auto"/>
              </w:divBdr>
              <w:divsChild>
                <w:div w:id="587231765">
                  <w:marLeft w:val="0"/>
                  <w:marRight w:val="0"/>
                  <w:marTop w:val="0"/>
                  <w:marBottom w:val="0"/>
                  <w:divBdr>
                    <w:top w:val="none" w:sz="0" w:space="0" w:color="auto"/>
                    <w:left w:val="none" w:sz="0" w:space="0" w:color="auto"/>
                    <w:bottom w:val="none" w:sz="0" w:space="0" w:color="auto"/>
                    <w:right w:val="none" w:sz="0" w:space="0" w:color="auto"/>
                  </w:divBdr>
                  <w:divsChild>
                    <w:div w:id="112020614">
                      <w:marLeft w:val="0"/>
                      <w:marRight w:val="0"/>
                      <w:marTop w:val="120"/>
                      <w:marBottom w:val="0"/>
                      <w:divBdr>
                        <w:top w:val="none" w:sz="0" w:space="0" w:color="auto"/>
                        <w:left w:val="none" w:sz="0" w:space="0" w:color="auto"/>
                        <w:bottom w:val="none" w:sz="0" w:space="0" w:color="auto"/>
                        <w:right w:val="none" w:sz="0" w:space="0" w:color="auto"/>
                      </w:divBdr>
                    </w:div>
                    <w:div w:id="1110052472">
                      <w:marLeft w:val="0"/>
                      <w:marRight w:val="0"/>
                      <w:marTop w:val="0"/>
                      <w:marBottom w:val="0"/>
                      <w:divBdr>
                        <w:top w:val="none" w:sz="0" w:space="0" w:color="auto"/>
                        <w:left w:val="none" w:sz="0" w:space="0" w:color="auto"/>
                        <w:bottom w:val="none" w:sz="0" w:space="0" w:color="auto"/>
                        <w:right w:val="none" w:sz="0" w:space="0" w:color="auto"/>
                      </w:divBdr>
                    </w:div>
                  </w:divsChild>
                </w:div>
                <w:div w:id="1237471004">
                  <w:marLeft w:val="0"/>
                  <w:marRight w:val="0"/>
                  <w:marTop w:val="0"/>
                  <w:marBottom w:val="0"/>
                  <w:divBdr>
                    <w:top w:val="none" w:sz="0" w:space="0" w:color="auto"/>
                    <w:left w:val="none" w:sz="0" w:space="0" w:color="auto"/>
                    <w:bottom w:val="none" w:sz="0" w:space="0" w:color="auto"/>
                    <w:right w:val="none" w:sz="0" w:space="0" w:color="auto"/>
                  </w:divBdr>
                  <w:divsChild>
                    <w:div w:id="1872452216">
                      <w:marLeft w:val="0"/>
                      <w:marRight w:val="0"/>
                      <w:marTop w:val="0"/>
                      <w:marBottom w:val="0"/>
                      <w:divBdr>
                        <w:top w:val="none" w:sz="0" w:space="0" w:color="auto"/>
                        <w:left w:val="none" w:sz="0" w:space="0" w:color="auto"/>
                        <w:bottom w:val="none" w:sz="0" w:space="0" w:color="auto"/>
                        <w:right w:val="none" w:sz="0" w:space="0" w:color="auto"/>
                      </w:divBdr>
                    </w:div>
                    <w:div w:id="1935897407">
                      <w:marLeft w:val="0"/>
                      <w:marRight w:val="0"/>
                      <w:marTop w:val="120"/>
                      <w:marBottom w:val="0"/>
                      <w:divBdr>
                        <w:top w:val="none" w:sz="0" w:space="0" w:color="auto"/>
                        <w:left w:val="none" w:sz="0" w:space="0" w:color="auto"/>
                        <w:bottom w:val="none" w:sz="0" w:space="0" w:color="auto"/>
                        <w:right w:val="none" w:sz="0" w:space="0" w:color="auto"/>
                      </w:divBdr>
                    </w:div>
                  </w:divsChild>
                </w:div>
                <w:div w:id="1557429560">
                  <w:marLeft w:val="0"/>
                  <w:marRight w:val="0"/>
                  <w:marTop w:val="0"/>
                  <w:marBottom w:val="0"/>
                  <w:divBdr>
                    <w:top w:val="none" w:sz="0" w:space="0" w:color="auto"/>
                    <w:left w:val="none" w:sz="0" w:space="0" w:color="auto"/>
                    <w:bottom w:val="none" w:sz="0" w:space="0" w:color="auto"/>
                    <w:right w:val="none" w:sz="0" w:space="0" w:color="auto"/>
                  </w:divBdr>
                  <w:divsChild>
                    <w:div w:id="1254782407">
                      <w:marLeft w:val="0"/>
                      <w:marRight w:val="0"/>
                      <w:marTop w:val="120"/>
                      <w:marBottom w:val="0"/>
                      <w:divBdr>
                        <w:top w:val="none" w:sz="0" w:space="0" w:color="auto"/>
                        <w:left w:val="none" w:sz="0" w:space="0" w:color="auto"/>
                        <w:bottom w:val="none" w:sz="0" w:space="0" w:color="auto"/>
                        <w:right w:val="none" w:sz="0" w:space="0" w:color="auto"/>
                      </w:divBdr>
                    </w:div>
                    <w:div w:id="2039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0980">
          <w:marLeft w:val="0"/>
          <w:marRight w:val="0"/>
          <w:marTop w:val="0"/>
          <w:marBottom w:val="0"/>
          <w:divBdr>
            <w:top w:val="none" w:sz="0" w:space="0" w:color="auto"/>
            <w:left w:val="none" w:sz="0" w:space="0" w:color="auto"/>
            <w:bottom w:val="none" w:sz="0" w:space="0" w:color="auto"/>
            <w:right w:val="none" w:sz="0" w:space="0" w:color="auto"/>
          </w:divBdr>
          <w:divsChild>
            <w:div w:id="467599569">
              <w:marLeft w:val="0"/>
              <w:marRight w:val="0"/>
              <w:marTop w:val="0"/>
              <w:marBottom w:val="0"/>
              <w:divBdr>
                <w:top w:val="none" w:sz="0" w:space="0" w:color="auto"/>
                <w:left w:val="none" w:sz="0" w:space="0" w:color="auto"/>
                <w:bottom w:val="none" w:sz="0" w:space="0" w:color="auto"/>
                <w:right w:val="none" w:sz="0" w:space="0" w:color="auto"/>
              </w:divBdr>
            </w:div>
          </w:divsChild>
        </w:div>
        <w:div w:id="1830440569">
          <w:marLeft w:val="0"/>
          <w:marRight w:val="0"/>
          <w:marTop w:val="0"/>
          <w:marBottom w:val="0"/>
          <w:divBdr>
            <w:top w:val="none" w:sz="0" w:space="0" w:color="auto"/>
            <w:left w:val="none" w:sz="0" w:space="0" w:color="auto"/>
            <w:bottom w:val="none" w:sz="0" w:space="0" w:color="auto"/>
            <w:right w:val="none" w:sz="0" w:space="0" w:color="auto"/>
          </w:divBdr>
          <w:divsChild>
            <w:div w:id="2042707698">
              <w:marLeft w:val="0"/>
              <w:marRight w:val="0"/>
              <w:marTop w:val="0"/>
              <w:marBottom w:val="0"/>
              <w:divBdr>
                <w:top w:val="none" w:sz="0" w:space="0" w:color="auto"/>
                <w:left w:val="none" w:sz="0" w:space="0" w:color="auto"/>
                <w:bottom w:val="none" w:sz="0" w:space="0" w:color="auto"/>
                <w:right w:val="none" w:sz="0" w:space="0" w:color="auto"/>
              </w:divBdr>
            </w:div>
          </w:divsChild>
        </w:div>
        <w:div w:id="1840192939">
          <w:marLeft w:val="0"/>
          <w:marRight w:val="0"/>
          <w:marTop w:val="0"/>
          <w:marBottom w:val="0"/>
          <w:divBdr>
            <w:top w:val="none" w:sz="0" w:space="0" w:color="auto"/>
            <w:left w:val="none" w:sz="0" w:space="0" w:color="auto"/>
            <w:bottom w:val="none" w:sz="0" w:space="0" w:color="auto"/>
            <w:right w:val="none" w:sz="0" w:space="0" w:color="auto"/>
          </w:divBdr>
          <w:divsChild>
            <w:div w:id="19524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3820">
      <w:bodyDiv w:val="1"/>
      <w:marLeft w:val="0"/>
      <w:marRight w:val="0"/>
      <w:marTop w:val="0"/>
      <w:marBottom w:val="0"/>
      <w:divBdr>
        <w:top w:val="none" w:sz="0" w:space="0" w:color="auto"/>
        <w:left w:val="none" w:sz="0" w:space="0" w:color="auto"/>
        <w:bottom w:val="none" w:sz="0" w:space="0" w:color="auto"/>
        <w:right w:val="none" w:sz="0" w:space="0" w:color="auto"/>
      </w:divBdr>
      <w:divsChild>
        <w:div w:id="1153521469">
          <w:marLeft w:val="0"/>
          <w:marRight w:val="0"/>
          <w:marTop w:val="120"/>
          <w:marBottom w:val="0"/>
          <w:divBdr>
            <w:top w:val="none" w:sz="0" w:space="0" w:color="auto"/>
            <w:left w:val="none" w:sz="0" w:space="0" w:color="auto"/>
            <w:bottom w:val="none" w:sz="0" w:space="0" w:color="auto"/>
            <w:right w:val="none" w:sz="0" w:space="0" w:color="auto"/>
          </w:divBdr>
        </w:div>
        <w:div w:id="1536037183">
          <w:marLeft w:val="0"/>
          <w:marRight w:val="0"/>
          <w:marTop w:val="0"/>
          <w:marBottom w:val="0"/>
          <w:divBdr>
            <w:top w:val="none" w:sz="0" w:space="0" w:color="auto"/>
            <w:left w:val="none" w:sz="0" w:space="0" w:color="auto"/>
            <w:bottom w:val="none" w:sz="0" w:space="0" w:color="auto"/>
            <w:right w:val="none" w:sz="0" w:space="0" w:color="auto"/>
          </w:divBdr>
        </w:div>
      </w:divsChild>
    </w:div>
    <w:div w:id="1005742591">
      <w:bodyDiv w:val="1"/>
      <w:marLeft w:val="0"/>
      <w:marRight w:val="0"/>
      <w:marTop w:val="0"/>
      <w:marBottom w:val="0"/>
      <w:divBdr>
        <w:top w:val="none" w:sz="0" w:space="0" w:color="auto"/>
        <w:left w:val="none" w:sz="0" w:space="0" w:color="auto"/>
        <w:bottom w:val="none" w:sz="0" w:space="0" w:color="auto"/>
        <w:right w:val="none" w:sz="0" w:space="0" w:color="auto"/>
      </w:divBdr>
      <w:divsChild>
        <w:div w:id="330109914">
          <w:marLeft w:val="0"/>
          <w:marRight w:val="0"/>
          <w:marTop w:val="120"/>
          <w:marBottom w:val="0"/>
          <w:divBdr>
            <w:top w:val="none" w:sz="0" w:space="0" w:color="auto"/>
            <w:left w:val="none" w:sz="0" w:space="0" w:color="auto"/>
            <w:bottom w:val="none" w:sz="0" w:space="0" w:color="auto"/>
            <w:right w:val="none" w:sz="0" w:space="0" w:color="auto"/>
          </w:divBdr>
        </w:div>
        <w:div w:id="767970558">
          <w:marLeft w:val="0"/>
          <w:marRight w:val="0"/>
          <w:marTop w:val="0"/>
          <w:marBottom w:val="0"/>
          <w:divBdr>
            <w:top w:val="none" w:sz="0" w:space="0" w:color="auto"/>
            <w:left w:val="none" w:sz="0" w:space="0" w:color="auto"/>
            <w:bottom w:val="none" w:sz="0" w:space="0" w:color="auto"/>
            <w:right w:val="none" w:sz="0" w:space="0" w:color="auto"/>
          </w:divBdr>
        </w:div>
      </w:divsChild>
    </w:div>
    <w:div w:id="1011680898">
      <w:bodyDiv w:val="1"/>
      <w:marLeft w:val="0"/>
      <w:marRight w:val="0"/>
      <w:marTop w:val="0"/>
      <w:marBottom w:val="0"/>
      <w:divBdr>
        <w:top w:val="none" w:sz="0" w:space="0" w:color="auto"/>
        <w:left w:val="none" w:sz="0" w:space="0" w:color="auto"/>
        <w:bottom w:val="none" w:sz="0" w:space="0" w:color="auto"/>
        <w:right w:val="none" w:sz="0" w:space="0" w:color="auto"/>
      </w:divBdr>
      <w:divsChild>
        <w:div w:id="1901552245">
          <w:marLeft w:val="0"/>
          <w:marRight w:val="0"/>
          <w:marTop w:val="0"/>
          <w:marBottom w:val="0"/>
          <w:divBdr>
            <w:top w:val="none" w:sz="0" w:space="0" w:color="auto"/>
            <w:left w:val="none" w:sz="0" w:space="0" w:color="auto"/>
            <w:bottom w:val="none" w:sz="0" w:space="0" w:color="auto"/>
            <w:right w:val="none" w:sz="0" w:space="0" w:color="auto"/>
          </w:divBdr>
          <w:divsChild>
            <w:div w:id="8940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182">
      <w:bodyDiv w:val="1"/>
      <w:marLeft w:val="0"/>
      <w:marRight w:val="0"/>
      <w:marTop w:val="0"/>
      <w:marBottom w:val="0"/>
      <w:divBdr>
        <w:top w:val="none" w:sz="0" w:space="0" w:color="auto"/>
        <w:left w:val="none" w:sz="0" w:space="0" w:color="auto"/>
        <w:bottom w:val="none" w:sz="0" w:space="0" w:color="auto"/>
        <w:right w:val="none" w:sz="0" w:space="0" w:color="auto"/>
      </w:divBdr>
      <w:divsChild>
        <w:div w:id="384331709">
          <w:marLeft w:val="0"/>
          <w:marRight w:val="0"/>
          <w:marTop w:val="0"/>
          <w:marBottom w:val="0"/>
          <w:divBdr>
            <w:top w:val="none" w:sz="0" w:space="0" w:color="auto"/>
            <w:left w:val="none" w:sz="0" w:space="0" w:color="auto"/>
            <w:bottom w:val="none" w:sz="0" w:space="0" w:color="auto"/>
            <w:right w:val="none" w:sz="0" w:space="0" w:color="auto"/>
          </w:divBdr>
        </w:div>
      </w:divsChild>
    </w:div>
    <w:div w:id="1070077072">
      <w:bodyDiv w:val="1"/>
      <w:marLeft w:val="0"/>
      <w:marRight w:val="0"/>
      <w:marTop w:val="0"/>
      <w:marBottom w:val="0"/>
      <w:divBdr>
        <w:top w:val="none" w:sz="0" w:space="0" w:color="auto"/>
        <w:left w:val="none" w:sz="0" w:space="0" w:color="auto"/>
        <w:bottom w:val="none" w:sz="0" w:space="0" w:color="auto"/>
        <w:right w:val="none" w:sz="0" w:space="0" w:color="auto"/>
      </w:divBdr>
    </w:div>
    <w:div w:id="1081216959">
      <w:bodyDiv w:val="1"/>
      <w:marLeft w:val="0"/>
      <w:marRight w:val="0"/>
      <w:marTop w:val="0"/>
      <w:marBottom w:val="0"/>
      <w:divBdr>
        <w:top w:val="none" w:sz="0" w:space="0" w:color="auto"/>
        <w:left w:val="none" w:sz="0" w:space="0" w:color="auto"/>
        <w:bottom w:val="none" w:sz="0" w:space="0" w:color="auto"/>
        <w:right w:val="none" w:sz="0" w:space="0" w:color="auto"/>
      </w:divBdr>
      <w:divsChild>
        <w:div w:id="1125389902">
          <w:marLeft w:val="0"/>
          <w:marRight w:val="0"/>
          <w:marTop w:val="0"/>
          <w:marBottom w:val="0"/>
          <w:divBdr>
            <w:top w:val="none" w:sz="0" w:space="0" w:color="auto"/>
            <w:left w:val="none" w:sz="0" w:space="0" w:color="auto"/>
            <w:bottom w:val="none" w:sz="0" w:space="0" w:color="auto"/>
            <w:right w:val="none" w:sz="0" w:space="0" w:color="auto"/>
          </w:divBdr>
        </w:div>
      </w:divsChild>
    </w:div>
    <w:div w:id="1085762686">
      <w:bodyDiv w:val="1"/>
      <w:marLeft w:val="0"/>
      <w:marRight w:val="0"/>
      <w:marTop w:val="0"/>
      <w:marBottom w:val="0"/>
      <w:divBdr>
        <w:top w:val="none" w:sz="0" w:space="0" w:color="auto"/>
        <w:left w:val="none" w:sz="0" w:space="0" w:color="auto"/>
        <w:bottom w:val="none" w:sz="0" w:space="0" w:color="auto"/>
        <w:right w:val="none" w:sz="0" w:space="0" w:color="auto"/>
      </w:divBdr>
      <w:divsChild>
        <w:div w:id="116602282">
          <w:marLeft w:val="0"/>
          <w:marRight w:val="0"/>
          <w:marTop w:val="0"/>
          <w:marBottom w:val="0"/>
          <w:divBdr>
            <w:top w:val="none" w:sz="0" w:space="0" w:color="auto"/>
            <w:left w:val="none" w:sz="0" w:space="0" w:color="auto"/>
            <w:bottom w:val="none" w:sz="0" w:space="0" w:color="auto"/>
            <w:right w:val="none" w:sz="0" w:space="0" w:color="auto"/>
          </w:divBdr>
          <w:divsChild>
            <w:div w:id="623266095">
              <w:marLeft w:val="0"/>
              <w:marRight w:val="0"/>
              <w:marTop w:val="120"/>
              <w:marBottom w:val="0"/>
              <w:divBdr>
                <w:top w:val="none" w:sz="0" w:space="0" w:color="auto"/>
                <w:left w:val="none" w:sz="0" w:space="0" w:color="auto"/>
                <w:bottom w:val="none" w:sz="0" w:space="0" w:color="auto"/>
                <w:right w:val="none" w:sz="0" w:space="0" w:color="auto"/>
              </w:divBdr>
            </w:div>
            <w:div w:id="701974146">
              <w:marLeft w:val="0"/>
              <w:marRight w:val="0"/>
              <w:marTop w:val="0"/>
              <w:marBottom w:val="0"/>
              <w:divBdr>
                <w:top w:val="none" w:sz="0" w:space="0" w:color="auto"/>
                <w:left w:val="none" w:sz="0" w:space="0" w:color="auto"/>
                <w:bottom w:val="none" w:sz="0" w:space="0" w:color="auto"/>
                <w:right w:val="none" w:sz="0" w:space="0" w:color="auto"/>
              </w:divBdr>
            </w:div>
          </w:divsChild>
        </w:div>
        <w:div w:id="758671518">
          <w:marLeft w:val="0"/>
          <w:marRight w:val="0"/>
          <w:marTop w:val="0"/>
          <w:marBottom w:val="0"/>
          <w:divBdr>
            <w:top w:val="none" w:sz="0" w:space="0" w:color="auto"/>
            <w:left w:val="none" w:sz="0" w:space="0" w:color="auto"/>
            <w:bottom w:val="none" w:sz="0" w:space="0" w:color="auto"/>
            <w:right w:val="none" w:sz="0" w:space="0" w:color="auto"/>
          </w:divBdr>
          <w:divsChild>
            <w:div w:id="1392580395">
              <w:marLeft w:val="0"/>
              <w:marRight w:val="0"/>
              <w:marTop w:val="120"/>
              <w:marBottom w:val="0"/>
              <w:divBdr>
                <w:top w:val="none" w:sz="0" w:space="0" w:color="auto"/>
                <w:left w:val="none" w:sz="0" w:space="0" w:color="auto"/>
                <w:bottom w:val="none" w:sz="0" w:space="0" w:color="auto"/>
                <w:right w:val="none" w:sz="0" w:space="0" w:color="auto"/>
              </w:divBdr>
            </w:div>
            <w:div w:id="1432972493">
              <w:marLeft w:val="0"/>
              <w:marRight w:val="0"/>
              <w:marTop w:val="0"/>
              <w:marBottom w:val="0"/>
              <w:divBdr>
                <w:top w:val="none" w:sz="0" w:space="0" w:color="auto"/>
                <w:left w:val="none" w:sz="0" w:space="0" w:color="auto"/>
                <w:bottom w:val="none" w:sz="0" w:space="0" w:color="auto"/>
                <w:right w:val="none" w:sz="0" w:space="0" w:color="auto"/>
              </w:divBdr>
            </w:div>
          </w:divsChild>
        </w:div>
        <w:div w:id="1035928360">
          <w:marLeft w:val="0"/>
          <w:marRight w:val="0"/>
          <w:marTop w:val="0"/>
          <w:marBottom w:val="0"/>
          <w:divBdr>
            <w:top w:val="none" w:sz="0" w:space="0" w:color="auto"/>
            <w:left w:val="none" w:sz="0" w:space="0" w:color="auto"/>
            <w:bottom w:val="none" w:sz="0" w:space="0" w:color="auto"/>
            <w:right w:val="none" w:sz="0" w:space="0" w:color="auto"/>
          </w:divBdr>
          <w:divsChild>
            <w:div w:id="1583299143">
              <w:marLeft w:val="0"/>
              <w:marRight w:val="0"/>
              <w:marTop w:val="0"/>
              <w:marBottom w:val="0"/>
              <w:divBdr>
                <w:top w:val="none" w:sz="0" w:space="0" w:color="auto"/>
                <w:left w:val="none" w:sz="0" w:space="0" w:color="auto"/>
                <w:bottom w:val="none" w:sz="0" w:space="0" w:color="auto"/>
                <w:right w:val="none" w:sz="0" w:space="0" w:color="auto"/>
              </w:divBdr>
              <w:divsChild>
                <w:div w:id="315769324">
                  <w:marLeft w:val="0"/>
                  <w:marRight w:val="0"/>
                  <w:marTop w:val="0"/>
                  <w:marBottom w:val="0"/>
                  <w:divBdr>
                    <w:top w:val="none" w:sz="0" w:space="0" w:color="auto"/>
                    <w:left w:val="none" w:sz="0" w:space="0" w:color="auto"/>
                    <w:bottom w:val="none" w:sz="0" w:space="0" w:color="auto"/>
                    <w:right w:val="none" w:sz="0" w:space="0" w:color="auto"/>
                  </w:divBdr>
                  <w:divsChild>
                    <w:div w:id="2079479905">
                      <w:marLeft w:val="0"/>
                      <w:marRight w:val="0"/>
                      <w:marTop w:val="0"/>
                      <w:marBottom w:val="0"/>
                      <w:divBdr>
                        <w:top w:val="none" w:sz="0" w:space="0" w:color="auto"/>
                        <w:left w:val="none" w:sz="0" w:space="0" w:color="auto"/>
                        <w:bottom w:val="none" w:sz="0" w:space="0" w:color="auto"/>
                        <w:right w:val="none" w:sz="0" w:space="0" w:color="auto"/>
                      </w:divBdr>
                    </w:div>
                    <w:div w:id="2124038422">
                      <w:marLeft w:val="0"/>
                      <w:marRight w:val="0"/>
                      <w:marTop w:val="120"/>
                      <w:marBottom w:val="0"/>
                      <w:divBdr>
                        <w:top w:val="none" w:sz="0" w:space="0" w:color="auto"/>
                        <w:left w:val="none" w:sz="0" w:space="0" w:color="auto"/>
                        <w:bottom w:val="none" w:sz="0" w:space="0" w:color="auto"/>
                        <w:right w:val="none" w:sz="0" w:space="0" w:color="auto"/>
                      </w:divBdr>
                    </w:div>
                  </w:divsChild>
                </w:div>
                <w:div w:id="575826267">
                  <w:marLeft w:val="0"/>
                  <w:marRight w:val="0"/>
                  <w:marTop w:val="0"/>
                  <w:marBottom w:val="0"/>
                  <w:divBdr>
                    <w:top w:val="none" w:sz="0" w:space="0" w:color="auto"/>
                    <w:left w:val="none" w:sz="0" w:space="0" w:color="auto"/>
                    <w:bottom w:val="none" w:sz="0" w:space="0" w:color="auto"/>
                    <w:right w:val="none" w:sz="0" w:space="0" w:color="auto"/>
                  </w:divBdr>
                  <w:divsChild>
                    <w:div w:id="730464600">
                      <w:marLeft w:val="0"/>
                      <w:marRight w:val="0"/>
                      <w:marTop w:val="0"/>
                      <w:marBottom w:val="0"/>
                      <w:divBdr>
                        <w:top w:val="none" w:sz="0" w:space="0" w:color="auto"/>
                        <w:left w:val="none" w:sz="0" w:space="0" w:color="auto"/>
                        <w:bottom w:val="none" w:sz="0" w:space="0" w:color="auto"/>
                        <w:right w:val="none" w:sz="0" w:space="0" w:color="auto"/>
                      </w:divBdr>
                    </w:div>
                    <w:div w:id="1449084961">
                      <w:marLeft w:val="0"/>
                      <w:marRight w:val="0"/>
                      <w:marTop w:val="120"/>
                      <w:marBottom w:val="0"/>
                      <w:divBdr>
                        <w:top w:val="none" w:sz="0" w:space="0" w:color="auto"/>
                        <w:left w:val="none" w:sz="0" w:space="0" w:color="auto"/>
                        <w:bottom w:val="none" w:sz="0" w:space="0" w:color="auto"/>
                        <w:right w:val="none" w:sz="0" w:space="0" w:color="auto"/>
                      </w:divBdr>
                    </w:div>
                  </w:divsChild>
                </w:div>
                <w:div w:id="579414475">
                  <w:marLeft w:val="0"/>
                  <w:marRight w:val="0"/>
                  <w:marTop w:val="0"/>
                  <w:marBottom w:val="0"/>
                  <w:divBdr>
                    <w:top w:val="none" w:sz="0" w:space="0" w:color="auto"/>
                    <w:left w:val="none" w:sz="0" w:space="0" w:color="auto"/>
                    <w:bottom w:val="none" w:sz="0" w:space="0" w:color="auto"/>
                    <w:right w:val="none" w:sz="0" w:space="0" w:color="auto"/>
                  </w:divBdr>
                  <w:divsChild>
                    <w:div w:id="984623655">
                      <w:marLeft w:val="0"/>
                      <w:marRight w:val="0"/>
                      <w:marTop w:val="0"/>
                      <w:marBottom w:val="0"/>
                      <w:divBdr>
                        <w:top w:val="none" w:sz="0" w:space="0" w:color="auto"/>
                        <w:left w:val="none" w:sz="0" w:space="0" w:color="auto"/>
                        <w:bottom w:val="none" w:sz="0" w:space="0" w:color="auto"/>
                        <w:right w:val="none" w:sz="0" w:space="0" w:color="auto"/>
                      </w:divBdr>
                    </w:div>
                    <w:div w:id="1937667629">
                      <w:marLeft w:val="0"/>
                      <w:marRight w:val="0"/>
                      <w:marTop w:val="120"/>
                      <w:marBottom w:val="0"/>
                      <w:divBdr>
                        <w:top w:val="none" w:sz="0" w:space="0" w:color="auto"/>
                        <w:left w:val="none" w:sz="0" w:space="0" w:color="auto"/>
                        <w:bottom w:val="none" w:sz="0" w:space="0" w:color="auto"/>
                        <w:right w:val="none" w:sz="0" w:space="0" w:color="auto"/>
                      </w:divBdr>
                    </w:div>
                  </w:divsChild>
                </w:div>
                <w:div w:id="1957520113">
                  <w:marLeft w:val="0"/>
                  <w:marRight w:val="0"/>
                  <w:marTop w:val="0"/>
                  <w:marBottom w:val="0"/>
                  <w:divBdr>
                    <w:top w:val="none" w:sz="0" w:space="0" w:color="auto"/>
                    <w:left w:val="none" w:sz="0" w:space="0" w:color="auto"/>
                    <w:bottom w:val="none" w:sz="0" w:space="0" w:color="auto"/>
                    <w:right w:val="none" w:sz="0" w:space="0" w:color="auto"/>
                  </w:divBdr>
                  <w:divsChild>
                    <w:div w:id="111753049">
                      <w:marLeft w:val="0"/>
                      <w:marRight w:val="0"/>
                      <w:marTop w:val="0"/>
                      <w:marBottom w:val="0"/>
                      <w:divBdr>
                        <w:top w:val="none" w:sz="0" w:space="0" w:color="auto"/>
                        <w:left w:val="none" w:sz="0" w:space="0" w:color="auto"/>
                        <w:bottom w:val="none" w:sz="0" w:space="0" w:color="auto"/>
                        <w:right w:val="none" w:sz="0" w:space="0" w:color="auto"/>
                      </w:divBdr>
                    </w:div>
                    <w:div w:id="2236853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746774">
          <w:marLeft w:val="0"/>
          <w:marRight w:val="0"/>
          <w:marTop w:val="0"/>
          <w:marBottom w:val="0"/>
          <w:divBdr>
            <w:top w:val="none" w:sz="0" w:space="0" w:color="auto"/>
            <w:left w:val="none" w:sz="0" w:space="0" w:color="auto"/>
            <w:bottom w:val="none" w:sz="0" w:space="0" w:color="auto"/>
            <w:right w:val="none" w:sz="0" w:space="0" w:color="auto"/>
          </w:divBdr>
          <w:divsChild>
            <w:div w:id="1510757829">
              <w:marLeft w:val="0"/>
              <w:marRight w:val="0"/>
              <w:marTop w:val="12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sChild>
        </w:div>
        <w:div w:id="1748767217">
          <w:marLeft w:val="0"/>
          <w:marRight w:val="0"/>
          <w:marTop w:val="0"/>
          <w:marBottom w:val="0"/>
          <w:divBdr>
            <w:top w:val="none" w:sz="0" w:space="0" w:color="auto"/>
            <w:left w:val="none" w:sz="0" w:space="0" w:color="auto"/>
            <w:bottom w:val="none" w:sz="0" w:space="0" w:color="auto"/>
            <w:right w:val="none" w:sz="0" w:space="0" w:color="auto"/>
          </w:divBdr>
          <w:divsChild>
            <w:div w:id="351155151">
              <w:marLeft w:val="0"/>
              <w:marRight w:val="0"/>
              <w:marTop w:val="120"/>
              <w:marBottom w:val="0"/>
              <w:divBdr>
                <w:top w:val="none" w:sz="0" w:space="0" w:color="auto"/>
                <w:left w:val="none" w:sz="0" w:space="0" w:color="auto"/>
                <w:bottom w:val="none" w:sz="0" w:space="0" w:color="auto"/>
                <w:right w:val="none" w:sz="0" w:space="0" w:color="auto"/>
              </w:divBdr>
            </w:div>
            <w:div w:id="578363794">
              <w:marLeft w:val="0"/>
              <w:marRight w:val="0"/>
              <w:marTop w:val="0"/>
              <w:marBottom w:val="0"/>
              <w:divBdr>
                <w:top w:val="none" w:sz="0" w:space="0" w:color="auto"/>
                <w:left w:val="none" w:sz="0" w:space="0" w:color="auto"/>
                <w:bottom w:val="none" w:sz="0" w:space="0" w:color="auto"/>
                <w:right w:val="none" w:sz="0" w:space="0" w:color="auto"/>
              </w:divBdr>
              <w:divsChild>
                <w:div w:id="633563227">
                  <w:marLeft w:val="0"/>
                  <w:marRight w:val="0"/>
                  <w:marTop w:val="0"/>
                  <w:marBottom w:val="0"/>
                  <w:divBdr>
                    <w:top w:val="none" w:sz="0" w:space="0" w:color="auto"/>
                    <w:left w:val="none" w:sz="0" w:space="0" w:color="auto"/>
                    <w:bottom w:val="none" w:sz="0" w:space="0" w:color="auto"/>
                    <w:right w:val="none" w:sz="0" w:space="0" w:color="auto"/>
                  </w:divBdr>
                  <w:divsChild>
                    <w:div w:id="472911724">
                      <w:marLeft w:val="0"/>
                      <w:marRight w:val="0"/>
                      <w:marTop w:val="120"/>
                      <w:marBottom w:val="0"/>
                      <w:divBdr>
                        <w:top w:val="none" w:sz="0" w:space="0" w:color="auto"/>
                        <w:left w:val="none" w:sz="0" w:space="0" w:color="auto"/>
                        <w:bottom w:val="none" w:sz="0" w:space="0" w:color="auto"/>
                        <w:right w:val="none" w:sz="0" w:space="0" w:color="auto"/>
                      </w:divBdr>
                    </w:div>
                    <w:div w:id="910457949">
                      <w:marLeft w:val="0"/>
                      <w:marRight w:val="0"/>
                      <w:marTop w:val="0"/>
                      <w:marBottom w:val="0"/>
                      <w:divBdr>
                        <w:top w:val="none" w:sz="0" w:space="0" w:color="auto"/>
                        <w:left w:val="none" w:sz="0" w:space="0" w:color="auto"/>
                        <w:bottom w:val="none" w:sz="0" w:space="0" w:color="auto"/>
                        <w:right w:val="none" w:sz="0" w:space="0" w:color="auto"/>
                      </w:divBdr>
                    </w:div>
                  </w:divsChild>
                </w:div>
                <w:div w:id="1474907109">
                  <w:marLeft w:val="0"/>
                  <w:marRight w:val="0"/>
                  <w:marTop w:val="0"/>
                  <w:marBottom w:val="0"/>
                  <w:divBdr>
                    <w:top w:val="none" w:sz="0" w:space="0" w:color="auto"/>
                    <w:left w:val="none" w:sz="0" w:space="0" w:color="auto"/>
                    <w:bottom w:val="none" w:sz="0" w:space="0" w:color="auto"/>
                    <w:right w:val="none" w:sz="0" w:space="0" w:color="auto"/>
                  </w:divBdr>
                  <w:divsChild>
                    <w:div w:id="891700054">
                      <w:marLeft w:val="0"/>
                      <w:marRight w:val="0"/>
                      <w:marTop w:val="120"/>
                      <w:marBottom w:val="0"/>
                      <w:divBdr>
                        <w:top w:val="none" w:sz="0" w:space="0" w:color="auto"/>
                        <w:left w:val="none" w:sz="0" w:space="0" w:color="auto"/>
                        <w:bottom w:val="none" w:sz="0" w:space="0" w:color="auto"/>
                        <w:right w:val="none" w:sz="0" w:space="0" w:color="auto"/>
                      </w:divBdr>
                    </w:div>
                    <w:div w:id="1253704309">
                      <w:marLeft w:val="0"/>
                      <w:marRight w:val="0"/>
                      <w:marTop w:val="0"/>
                      <w:marBottom w:val="0"/>
                      <w:divBdr>
                        <w:top w:val="none" w:sz="0" w:space="0" w:color="auto"/>
                        <w:left w:val="none" w:sz="0" w:space="0" w:color="auto"/>
                        <w:bottom w:val="none" w:sz="0" w:space="0" w:color="auto"/>
                        <w:right w:val="none" w:sz="0" w:space="0" w:color="auto"/>
                      </w:divBdr>
                    </w:div>
                  </w:divsChild>
                </w:div>
                <w:div w:id="1677659071">
                  <w:marLeft w:val="0"/>
                  <w:marRight w:val="0"/>
                  <w:marTop w:val="0"/>
                  <w:marBottom w:val="0"/>
                  <w:divBdr>
                    <w:top w:val="none" w:sz="0" w:space="0" w:color="auto"/>
                    <w:left w:val="none" w:sz="0" w:space="0" w:color="auto"/>
                    <w:bottom w:val="none" w:sz="0" w:space="0" w:color="auto"/>
                    <w:right w:val="none" w:sz="0" w:space="0" w:color="auto"/>
                  </w:divBdr>
                  <w:divsChild>
                    <w:div w:id="895438406">
                      <w:marLeft w:val="0"/>
                      <w:marRight w:val="0"/>
                      <w:marTop w:val="120"/>
                      <w:marBottom w:val="0"/>
                      <w:divBdr>
                        <w:top w:val="none" w:sz="0" w:space="0" w:color="auto"/>
                        <w:left w:val="none" w:sz="0" w:space="0" w:color="auto"/>
                        <w:bottom w:val="none" w:sz="0" w:space="0" w:color="auto"/>
                        <w:right w:val="none" w:sz="0" w:space="0" w:color="auto"/>
                      </w:divBdr>
                    </w:div>
                    <w:div w:id="17558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2072">
      <w:bodyDiv w:val="1"/>
      <w:marLeft w:val="0"/>
      <w:marRight w:val="0"/>
      <w:marTop w:val="0"/>
      <w:marBottom w:val="0"/>
      <w:divBdr>
        <w:top w:val="none" w:sz="0" w:space="0" w:color="auto"/>
        <w:left w:val="none" w:sz="0" w:space="0" w:color="auto"/>
        <w:bottom w:val="none" w:sz="0" w:space="0" w:color="auto"/>
        <w:right w:val="none" w:sz="0" w:space="0" w:color="auto"/>
      </w:divBdr>
    </w:div>
    <w:div w:id="1091973294">
      <w:bodyDiv w:val="1"/>
      <w:marLeft w:val="0"/>
      <w:marRight w:val="0"/>
      <w:marTop w:val="0"/>
      <w:marBottom w:val="0"/>
      <w:divBdr>
        <w:top w:val="none" w:sz="0" w:space="0" w:color="auto"/>
        <w:left w:val="none" w:sz="0" w:space="0" w:color="auto"/>
        <w:bottom w:val="none" w:sz="0" w:space="0" w:color="auto"/>
        <w:right w:val="none" w:sz="0" w:space="0" w:color="auto"/>
      </w:divBdr>
      <w:divsChild>
        <w:div w:id="2018143905">
          <w:marLeft w:val="0"/>
          <w:marRight w:val="0"/>
          <w:marTop w:val="0"/>
          <w:marBottom w:val="0"/>
          <w:divBdr>
            <w:top w:val="none" w:sz="0" w:space="0" w:color="auto"/>
            <w:left w:val="none" w:sz="0" w:space="0" w:color="auto"/>
            <w:bottom w:val="none" w:sz="0" w:space="0" w:color="auto"/>
            <w:right w:val="none" w:sz="0" w:space="0" w:color="auto"/>
          </w:divBdr>
          <w:divsChild>
            <w:div w:id="16402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1157">
      <w:bodyDiv w:val="1"/>
      <w:marLeft w:val="0"/>
      <w:marRight w:val="0"/>
      <w:marTop w:val="0"/>
      <w:marBottom w:val="0"/>
      <w:divBdr>
        <w:top w:val="none" w:sz="0" w:space="0" w:color="auto"/>
        <w:left w:val="none" w:sz="0" w:space="0" w:color="auto"/>
        <w:bottom w:val="none" w:sz="0" w:space="0" w:color="auto"/>
        <w:right w:val="none" w:sz="0" w:space="0" w:color="auto"/>
      </w:divBdr>
      <w:divsChild>
        <w:div w:id="1926960721">
          <w:marLeft w:val="0"/>
          <w:marRight w:val="0"/>
          <w:marTop w:val="0"/>
          <w:marBottom w:val="0"/>
          <w:divBdr>
            <w:top w:val="none" w:sz="0" w:space="0" w:color="auto"/>
            <w:left w:val="none" w:sz="0" w:space="0" w:color="auto"/>
            <w:bottom w:val="none" w:sz="0" w:space="0" w:color="auto"/>
            <w:right w:val="none" w:sz="0" w:space="0" w:color="auto"/>
          </w:divBdr>
          <w:divsChild>
            <w:div w:id="1979340312">
              <w:marLeft w:val="0"/>
              <w:marRight w:val="0"/>
              <w:marTop w:val="0"/>
              <w:marBottom w:val="0"/>
              <w:divBdr>
                <w:top w:val="none" w:sz="0" w:space="0" w:color="auto"/>
                <w:left w:val="none" w:sz="0" w:space="0" w:color="auto"/>
                <w:bottom w:val="none" w:sz="0" w:space="0" w:color="auto"/>
                <w:right w:val="none" w:sz="0" w:space="0" w:color="auto"/>
              </w:divBdr>
              <w:divsChild>
                <w:div w:id="881553225">
                  <w:marLeft w:val="0"/>
                  <w:marRight w:val="0"/>
                  <w:marTop w:val="0"/>
                  <w:marBottom w:val="0"/>
                  <w:divBdr>
                    <w:top w:val="none" w:sz="0" w:space="0" w:color="auto"/>
                    <w:left w:val="none" w:sz="0" w:space="0" w:color="auto"/>
                    <w:bottom w:val="none" w:sz="0" w:space="0" w:color="auto"/>
                    <w:right w:val="none" w:sz="0" w:space="0" w:color="auto"/>
                  </w:divBdr>
                  <w:divsChild>
                    <w:div w:id="1007712143">
                      <w:marLeft w:val="0"/>
                      <w:marRight w:val="0"/>
                      <w:marTop w:val="120"/>
                      <w:marBottom w:val="0"/>
                      <w:divBdr>
                        <w:top w:val="none" w:sz="0" w:space="0" w:color="auto"/>
                        <w:left w:val="none" w:sz="0" w:space="0" w:color="auto"/>
                        <w:bottom w:val="none" w:sz="0" w:space="0" w:color="auto"/>
                        <w:right w:val="none" w:sz="0" w:space="0" w:color="auto"/>
                      </w:divBdr>
                    </w:div>
                    <w:div w:id="1230968271">
                      <w:marLeft w:val="0"/>
                      <w:marRight w:val="0"/>
                      <w:marTop w:val="0"/>
                      <w:marBottom w:val="0"/>
                      <w:divBdr>
                        <w:top w:val="none" w:sz="0" w:space="0" w:color="auto"/>
                        <w:left w:val="none" w:sz="0" w:space="0" w:color="auto"/>
                        <w:bottom w:val="none" w:sz="0" w:space="0" w:color="auto"/>
                        <w:right w:val="none" w:sz="0" w:space="0" w:color="auto"/>
                      </w:divBdr>
                    </w:div>
                  </w:divsChild>
                </w:div>
                <w:div w:id="1095438607">
                  <w:marLeft w:val="0"/>
                  <w:marRight w:val="0"/>
                  <w:marTop w:val="0"/>
                  <w:marBottom w:val="0"/>
                  <w:divBdr>
                    <w:top w:val="none" w:sz="0" w:space="0" w:color="auto"/>
                    <w:left w:val="none" w:sz="0" w:space="0" w:color="auto"/>
                    <w:bottom w:val="none" w:sz="0" w:space="0" w:color="auto"/>
                    <w:right w:val="none" w:sz="0" w:space="0" w:color="auto"/>
                  </w:divBdr>
                  <w:divsChild>
                    <w:div w:id="48308712">
                      <w:marLeft w:val="0"/>
                      <w:marRight w:val="0"/>
                      <w:marTop w:val="0"/>
                      <w:marBottom w:val="0"/>
                      <w:divBdr>
                        <w:top w:val="none" w:sz="0" w:space="0" w:color="auto"/>
                        <w:left w:val="none" w:sz="0" w:space="0" w:color="auto"/>
                        <w:bottom w:val="none" w:sz="0" w:space="0" w:color="auto"/>
                        <w:right w:val="none" w:sz="0" w:space="0" w:color="auto"/>
                      </w:divBdr>
                    </w:div>
                    <w:div w:id="2006584885">
                      <w:marLeft w:val="0"/>
                      <w:marRight w:val="0"/>
                      <w:marTop w:val="120"/>
                      <w:marBottom w:val="0"/>
                      <w:divBdr>
                        <w:top w:val="none" w:sz="0" w:space="0" w:color="auto"/>
                        <w:left w:val="none" w:sz="0" w:space="0" w:color="auto"/>
                        <w:bottom w:val="none" w:sz="0" w:space="0" w:color="auto"/>
                        <w:right w:val="none" w:sz="0" w:space="0" w:color="auto"/>
                      </w:divBdr>
                    </w:div>
                  </w:divsChild>
                </w:div>
                <w:div w:id="1717388044">
                  <w:marLeft w:val="0"/>
                  <w:marRight w:val="0"/>
                  <w:marTop w:val="0"/>
                  <w:marBottom w:val="0"/>
                  <w:divBdr>
                    <w:top w:val="none" w:sz="0" w:space="0" w:color="auto"/>
                    <w:left w:val="none" w:sz="0" w:space="0" w:color="auto"/>
                    <w:bottom w:val="none" w:sz="0" w:space="0" w:color="auto"/>
                    <w:right w:val="none" w:sz="0" w:space="0" w:color="auto"/>
                  </w:divBdr>
                  <w:divsChild>
                    <w:div w:id="1064261527">
                      <w:marLeft w:val="0"/>
                      <w:marRight w:val="0"/>
                      <w:marTop w:val="120"/>
                      <w:marBottom w:val="0"/>
                      <w:divBdr>
                        <w:top w:val="none" w:sz="0" w:space="0" w:color="auto"/>
                        <w:left w:val="none" w:sz="0" w:space="0" w:color="auto"/>
                        <w:bottom w:val="none" w:sz="0" w:space="0" w:color="auto"/>
                        <w:right w:val="none" w:sz="0" w:space="0" w:color="auto"/>
                      </w:divBdr>
                    </w:div>
                    <w:div w:id="14468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2632">
      <w:bodyDiv w:val="1"/>
      <w:marLeft w:val="0"/>
      <w:marRight w:val="0"/>
      <w:marTop w:val="0"/>
      <w:marBottom w:val="0"/>
      <w:divBdr>
        <w:top w:val="none" w:sz="0" w:space="0" w:color="auto"/>
        <w:left w:val="none" w:sz="0" w:space="0" w:color="auto"/>
        <w:bottom w:val="none" w:sz="0" w:space="0" w:color="auto"/>
        <w:right w:val="none" w:sz="0" w:space="0" w:color="auto"/>
      </w:divBdr>
      <w:divsChild>
        <w:div w:id="1300187890">
          <w:marLeft w:val="0"/>
          <w:marRight w:val="0"/>
          <w:marTop w:val="0"/>
          <w:marBottom w:val="0"/>
          <w:divBdr>
            <w:top w:val="none" w:sz="0" w:space="0" w:color="auto"/>
            <w:left w:val="none" w:sz="0" w:space="0" w:color="auto"/>
            <w:bottom w:val="none" w:sz="0" w:space="0" w:color="auto"/>
            <w:right w:val="none" w:sz="0" w:space="0" w:color="auto"/>
          </w:divBdr>
        </w:div>
      </w:divsChild>
    </w:div>
    <w:div w:id="1133904243">
      <w:bodyDiv w:val="1"/>
      <w:marLeft w:val="0"/>
      <w:marRight w:val="0"/>
      <w:marTop w:val="0"/>
      <w:marBottom w:val="0"/>
      <w:divBdr>
        <w:top w:val="none" w:sz="0" w:space="0" w:color="auto"/>
        <w:left w:val="none" w:sz="0" w:space="0" w:color="auto"/>
        <w:bottom w:val="none" w:sz="0" w:space="0" w:color="auto"/>
        <w:right w:val="none" w:sz="0" w:space="0" w:color="auto"/>
      </w:divBdr>
      <w:divsChild>
        <w:div w:id="1177773837">
          <w:marLeft w:val="0"/>
          <w:marRight w:val="0"/>
          <w:marTop w:val="120"/>
          <w:marBottom w:val="0"/>
          <w:divBdr>
            <w:top w:val="none" w:sz="0" w:space="0" w:color="auto"/>
            <w:left w:val="none" w:sz="0" w:space="0" w:color="auto"/>
            <w:bottom w:val="none" w:sz="0" w:space="0" w:color="auto"/>
            <w:right w:val="none" w:sz="0" w:space="0" w:color="auto"/>
          </w:divBdr>
        </w:div>
        <w:div w:id="2085226051">
          <w:marLeft w:val="0"/>
          <w:marRight w:val="0"/>
          <w:marTop w:val="0"/>
          <w:marBottom w:val="0"/>
          <w:divBdr>
            <w:top w:val="none" w:sz="0" w:space="0" w:color="auto"/>
            <w:left w:val="none" w:sz="0" w:space="0" w:color="auto"/>
            <w:bottom w:val="none" w:sz="0" w:space="0" w:color="auto"/>
            <w:right w:val="none" w:sz="0" w:space="0" w:color="auto"/>
          </w:divBdr>
        </w:div>
      </w:divsChild>
    </w:div>
    <w:div w:id="1134831447">
      <w:bodyDiv w:val="1"/>
      <w:marLeft w:val="0"/>
      <w:marRight w:val="0"/>
      <w:marTop w:val="0"/>
      <w:marBottom w:val="0"/>
      <w:divBdr>
        <w:top w:val="none" w:sz="0" w:space="0" w:color="auto"/>
        <w:left w:val="none" w:sz="0" w:space="0" w:color="auto"/>
        <w:bottom w:val="none" w:sz="0" w:space="0" w:color="auto"/>
        <w:right w:val="none" w:sz="0" w:space="0" w:color="auto"/>
      </w:divBdr>
    </w:div>
    <w:div w:id="1156263536">
      <w:bodyDiv w:val="1"/>
      <w:marLeft w:val="0"/>
      <w:marRight w:val="0"/>
      <w:marTop w:val="0"/>
      <w:marBottom w:val="0"/>
      <w:divBdr>
        <w:top w:val="none" w:sz="0" w:space="0" w:color="auto"/>
        <w:left w:val="none" w:sz="0" w:space="0" w:color="auto"/>
        <w:bottom w:val="none" w:sz="0" w:space="0" w:color="auto"/>
        <w:right w:val="none" w:sz="0" w:space="0" w:color="auto"/>
      </w:divBdr>
      <w:divsChild>
        <w:div w:id="799954825">
          <w:marLeft w:val="0"/>
          <w:marRight w:val="0"/>
          <w:marTop w:val="0"/>
          <w:marBottom w:val="0"/>
          <w:divBdr>
            <w:top w:val="none" w:sz="0" w:space="0" w:color="auto"/>
            <w:left w:val="none" w:sz="0" w:space="0" w:color="auto"/>
            <w:bottom w:val="none" w:sz="0" w:space="0" w:color="auto"/>
            <w:right w:val="none" w:sz="0" w:space="0" w:color="auto"/>
          </w:divBdr>
        </w:div>
      </w:divsChild>
    </w:div>
    <w:div w:id="1176965389">
      <w:bodyDiv w:val="1"/>
      <w:marLeft w:val="0"/>
      <w:marRight w:val="0"/>
      <w:marTop w:val="0"/>
      <w:marBottom w:val="0"/>
      <w:divBdr>
        <w:top w:val="none" w:sz="0" w:space="0" w:color="auto"/>
        <w:left w:val="none" w:sz="0" w:space="0" w:color="auto"/>
        <w:bottom w:val="none" w:sz="0" w:space="0" w:color="auto"/>
        <w:right w:val="none" w:sz="0" w:space="0" w:color="auto"/>
      </w:divBdr>
    </w:div>
    <w:div w:id="1184247300">
      <w:bodyDiv w:val="1"/>
      <w:marLeft w:val="0"/>
      <w:marRight w:val="0"/>
      <w:marTop w:val="0"/>
      <w:marBottom w:val="0"/>
      <w:divBdr>
        <w:top w:val="none" w:sz="0" w:space="0" w:color="auto"/>
        <w:left w:val="none" w:sz="0" w:space="0" w:color="auto"/>
        <w:bottom w:val="none" w:sz="0" w:space="0" w:color="auto"/>
        <w:right w:val="none" w:sz="0" w:space="0" w:color="auto"/>
      </w:divBdr>
    </w:div>
    <w:div w:id="1190029485">
      <w:bodyDiv w:val="1"/>
      <w:marLeft w:val="0"/>
      <w:marRight w:val="0"/>
      <w:marTop w:val="0"/>
      <w:marBottom w:val="0"/>
      <w:divBdr>
        <w:top w:val="none" w:sz="0" w:space="0" w:color="auto"/>
        <w:left w:val="none" w:sz="0" w:space="0" w:color="auto"/>
        <w:bottom w:val="none" w:sz="0" w:space="0" w:color="auto"/>
        <w:right w:val="none" w:sz="0" w:space="0" w:color="auto"/>
      </w:divBdr>
    </w:div>
    <w:div w:id="1191988084">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662392343">
              <w:marLeft w:val="0"/>
              <w:marRight w:val="0"/>
              <w:marTop w:val="0"/>
              <w:marBottom w:val="0"/>
              <w:divBdr>
                <w:top w:val="none" w:sz="0" w:space="0" w:color="auto"/>
                <w:left w:val="none" w:sz="0" w:space="0" w:color="auto"/>
                <w:bottom w:val="none" w:sz="0" w:space="0" w:color="auto"/>
                <w:right w:val="none" w:sz="0" w:space="0" w:color="auto"/>
              </w:divBdr>
              <w:divsChild>
                <w:div w:id="1008479933">
                  <w:marLeft w:val="0"/>
                  <w:marRight w:val="0"/>
                  <w:marTop w:val="0"/>
                  <w:marBottom w:val="0"/>
                  <w:divBdr>
                    <w:top w:val="none" w:sz="0" w:space="0" w:color="auto"/>
                    <w:left w:val="none" w:sz="0" w:space="0" w:color="auto"/>
                    <w:bottom w:val="none" w:sz="0" w:space="0" w:color="auto"/>
                    <w:right w:val="none" w:sz="0" w:space="0" w:color="auto"/>
                  </w:divBdr>
                </w:div>
                <w:div w:id="1593275241">
                  <w:marLeft w:val="0"/>
                  <w:marRight w:val="0"/>
                  <w:marTop w:val="120"/>
                  <w:marBottom w:val="0"/>
                  <w:divBdr>
                    <w:top w:val="none" w:sz="0" w:space="0" w:color="auto"/>
                    <w:left w:val="none" w:sz="0" w:space="0" w:color="auto"/>
                    <w:bottom w:val="none" w:sz="0" w:space="0" w:color="auto"/>
                    <w:right w:val="none" w:sz="0" w:space="0" w:color="auto"/>
                  </w:divBdr>
                </w:div>
              </w:divsChild>
            </w:div>
            <w:div w:id="814219931">
              <w:marLeft w:val="0"/>
              <w:marRight w:val="0"/>
              <w:marTop w:val="0"/>
              <w:marBottom w:val="0"/>
              <w:divBdr>
                <w:top w:val="none" w:sz="0" w:space="0" w:color="auto"/>
                <w:left w:val="none" w:sz="0" w:space="0" w:color="auto"/>
                <w:bottom w:val="none" w:sz="0" w:space="0" w:color="auto"/>
                <w:right w:val="none" w:sz="0" w:space="0" w:color="auto"/>
              </w:divBdr>
              <w:divsChild>
                <w:div w:id="1996950185">
                  <w:marLeft w:val="0"/>
                  <w:marRight w:val="0"/>
                  <w:marTop w:val="120"/>
                  <w:marBottom w:val="0"/>
                  <w:divBdr>
                    <w:top w:val="none" w:sz="0" w:space="0" w:color="auto"/>
                    <w:left w:val="none" w:sz="0" w:space="0" w:color="auto"/>
                    <w:bottom w:val="none" w:sz="0" w:space="0" w:color="auto"/>
                    <w:right w:val="none" w:sz="0" w:space="0" w:color="auto"/>
                  </w:divBdr>
                </w:div>
                <w:div w:id="2108499842">
                  <w:marLeft w:val="0"/>
                  <w:marRight w:val="0"/>
                  <w:marTop w:val="0"/>
                  <w:marBottom w:val="0"/>
                  <w:divBdr>
                    <w:top w:val="none" w:sz="0" w:space="0" w:color="auto"/>
                    <w:left w:val="none" w:sz="0" w:space="0" w:color="auto"/>
                    <w:bottom w:val="none" w:sz="0" w:space="0" w:color="auto"/>
                    <w:right w:val="none" w:sz="0" w:space="0" w:color="auto"/>
                  </w:divBdr>
                </w:div>
              </w:divsChild>
            </w:div>
            <w:div w:id="2140105769">
              <w:marLeft w:val="0"/>
              <w:marRight w:val="0"/>
              <w:marTop w:val="0"/>
              <w:marBottom w:val="0"/>
              <w:divBdr>
                <w:top w:val="none" w:sz="0" w:space="0" w:color="auto"/>
                <w:left w:val="none" w:sz="0" w:space="0" w:color="auto"/>
                <w:bottom w:val="none" w:sz="0" w:space="0" w:color="auto"/>
                <w:right w:val="none" w:sz="0" w:space="0" w:color="auto"/>
              </w:divBdr>
              <w:divsChild>
                <w:div w:id="49698869">
                  <w:marLeft w:val="0"/>
                  <w:marRight w:val="0"/>
                  <w:marTop w:val="0"/>
                  <w:marBottom w:val="0"/>
                  <w:divBdr>
                    <w:top w:val="none" w:sz="0" w:space="0" w:color="auto"/>
                    <w:left w:val="none" w:sz="0" w:space="0" w:color="auto"/>
                    <w:bottom w:val="none" w:sz="0" w:space="0" w:color="auto"/>
                    <w:right w:val="none" w:sz="0" w:space="0" w:color="auto"/>
                  </w:divBdr>
                </w:div>
                <w:div w:id="20565391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98356082">
      <w:bodyDiv w:val="1"/>
      <w:marLeft w:val="0"/>
      <w:marRight w:val="0"/>
      <w:marTop w:val="0"/>
      <w:marBottom w:val="0"/>
      <w:divBdr>
        <w:top w:val="none" w:sz="0" w:space="0" w:color="auto"/>
        <w:left w:val="none" w:sz="0" w:space="0" w:color="auto"/>
        <w:bottom w:val="none" w:sz="0" w:space="0" w:color="auto"/>
        <w:right w:val="none" w:sz="0" w:space="0" w:color="auto"/>
      </w:divBdr>
      <w:divsChild>
        <w:div w:id="305093040">
          <w:marLeft w:val="0"/>
          <w:marRight w:val="0"/>
          <w:marTop w:val="0"/>
          <w:marBottom w:val="0"/>
          <w:divBdr>
            <w:top w:val="none" w:sz="0" w:space="0" w:color="auto"/>
            <w:left w:val="none" w:sz="0" w:space="0" w:color="auto"/>
            <w:bottom w:val="none" w:sz="0" w:space="0" w:color="auto"/>
            <w:right w:val="none" w:sz="0" w:space="0" w:color="auto"/>
          </w:divBdr>
          <w:divsChild>
            <w:div w:id="63991114">
              <w:marLeft w:val="0"/>
              <w:marRight w:val="0"/>
              <w:marTop w:val="0"/>
              <w:marBottom w:val="0"/>
              <w:divBdr>
                <w:top w:val="none" w:sz="0" w:space="0" w:color="auto"/>
                <w:left w:val="none" w:sz="0" w:space="0" w:color="auto"/>
                <w:bottom w:val="none" w:sz="0" w:space="0" w:color="auto"/>
                <w:right w:val="none" w:sz="0" w:space="0" w:color="auto"/>
              </w:divBdr>
              <w:divsChild>
                <w:div w:id="276522071">
                  <w:marLeft w:val="0"/>
                  <w:marRight w:val="0"/>
                  <w:marTop w:val="0"/>
                  <w:marBottom w:val="0"/>
                  <w:divBdr>
                    <w:top w:val="none" w:sz="0" w:space="0" w:color="auto"/>
                    <w:left w:val="none" w:sz="0" w:space="0" w:color="auto"/>
                    <w:bottom w:val="none" w:sz="0" w:space="0" w:color="auto"/>
                    <w:right w:val="none" w:sz="0" w:space="0" w:color="auto"/>
                  </w:divBdr>
                </w:div>
                <w:div w:id="364795697">
                  <w:marLeft w:val="0"/>
                  <w:marRight w:val="0"/>
                  <w:marTop w:val="120"/>
                  <w:marBottom w:val="0"/>
                  <w:divBdr>
                    <w:top w:val="none" w:sz="0" w:space="0" w:color="auto"/>
                    <w:left w:val="none" w:sz="0" w:space="0" w:color="auto"/>
                    <w:bottom w:val="none" w:sz="0" w:space="0" w:color="auto"/>
                    <w:right w:val="none" w:sz="0" w:space="0" w:color="auto"/>
                  </w:divBdr>
                </w:div>
              </w:divsChild>
            </w:div>
            <w:div w:id="190581187">
              <w:marLeft w:val="0"/>
              <w:marRight w:val="0"/>
              <w:marTop w:val="0"/>
              <w:marBottom w:val="0"/>
              <w:divBdr>
                <w:top w:val="none" w:sz="0" w:space="0" w:color="auto"/>
                <w:left w:val="none" w:sz="0" w:space="0" w:color="auto"/>
                <w:bottom w:val="none" w:sz="0" w:space="0" w:color="auto"/>
                <w:right w:val="none" w:sz="0" w:space="0" w:color="auto"/>
              </w:divBdr>
              <w:divsChild>
                <w:div w:id="653607150">
                  <w:marLeft w:val="0"/>
                  <w:marRight w:val="0"/>
                  <w:marTop w:val="0"/>
                  <w:marBottom w:val="0"/>
                  <w:divBdr>
                    <w:top w:val="none" w:sz="0" w:space="0" w:color="auto"/>
                    <w:left w:val="none" w:sz="0" w:space="0" w:color="auto"/>
                    <w:bottom w:val="none" w:sz="0" w:space="0" w:color="auto"/>
                    <w:right w:val="none" w:sz="0" w:space="0" w:color="auto"/>
                  </w:divBdr>
                </w:div>
                <w:div w:id="1819032141">
                  <w:marLeft w:val="0"/>
                  <w:marRight w:val="0"/>
                  <w:marTop w:val="120"/>
                  <w:marBottom w:val="0"/>
                  <w:divBdr>
                    <w:top w:val="none" w:sz="0" w:space="0" w:color="auto"/>
                    <w:left w:val="none" w:sz="0" w:space="0" w:color="auto"/>
                    <w:bottom w:val="none" w:sz="0" w:space="0" w:color="auto"/>
                    <w:right w:val="none" w:sz="0" w:space="0" w:color="auto"/>
                  </w:divBdr>
                </w:div>
              </w:divsChild>
            </w:div>
            <w:div w:id="422457791">
              <w:marLeft w:val="0"/>
              <w:marRight w:val="0"/>
              <w:marTop w:val="0"/>
              <w:marBottom w:val="0"/>
              <w:divBdr>
                <w:top w:val="none" w:sz="0" w:space="0" w:color="auto"/>
                <w:left w:val="none" w:sz="0" w:space="0" w:color="auto"/>
                <w:bottom w:val="none" w:sz="0" w:space="0" w:color="auto"/>
                <w:right w:val="none" w:sz="0" w:space="0" w:color="auto"/>
              </w:divBdr>
              <w:divsChild>
                <w:div w:id="890844017">
                  <w:marLeft w:val="0"/>
                  <w:marRight w:val="0"/>
                  <w:marTop w:val="0"/>
                  <w:marBottom w:val="0"/>
                  <w:divBdr>
                    <w:top w:val="none" w:sz="0" w:space="0" w:color="auto"/>
                    <w:left w:val="none" w:sz="0" w:space="0" w:color="auto"/>
                    <w:bottom w:val="none" w:sz="0" w:space="0" w:color="auto"/>
                    <w:right w:val="none" w:sz="0" w:space="0" w:color="auto"/>
                  </w:divBdr>
                </w:div>
                <w:div w:id="1626081375">
                  <w:marLeft w:val="0"/>
                  <w:marRight w:val="0"/>
                  <w:marTop w:val="120"/>
                  <w:marBottom w:val="0"/>
                  <w:divBdr>
                    <w:top w:val="none" w:sz="0" w:space="0" w:color="auto"/>
                    <w:left w:val="none" w:sz="0" w:space="0" w:color="auto"/>
                    <w:bottom w:val="none" w:sz="0" w:space="0" w:color="auto"/>
                    <w:right w:val="none" w:sz="0" w:space="0" w:color="auto"/>
                  </w:divBdr>
                </w:div>
              </w:divsChild>
            </w:div>
            <w:div w:id="789320345">
              <w:marLeft w:val="0"/>
              <w:marRight w:val="0"/>
              <w:marTop w:val="0"/>
              <w:marBottom w:val="0"/>
              <w:divBdr>
                <w:top w:val="none" w:sz="0" w:space="0" w:color="auto"/>
                <w:left w:val="none" w:sz="0" w:space="0" w:color="auto"/>
                <w:bottom w:val="none" w:sz="0" w:space="0" w:color="auto"/>
                <w:right w:val="none" w:sz="0" w:space="0" w:color="auto"/>
              </w:divBdr>
              <w:divsChild>
                <w:div w:id="229194681">
                  <w:marLeft w:val="0"/>
                  <w:marRight w:val="0"/>
                  <w:marTop w:val="0"/>
                  <w:marBottom w:val="0"/>
                  <w:divBdr>
                    <w:top w:val="none" w:sz="0" w:space="0" w:color="auto"/>
                    <w:left w:val="none" w:sz="0" w:space="0" w:color="auto"/>
                    <w:bottom w:val="none" w:sz="0" w:space="0" w:color="auto"/>
                    <w:right w:val="none" w:sz="0" w:space="0" w:color="auto"/>
                  </w:divBdr>
                </w:div>
                <w:div w:id="908423860">
                  <w:marLeft w:val="0"/>
                  <w:marRight w:val="0"/>
                  <w:marTop w:val="120"/>
                  <w:marBottom w:val="0"/>
                  <w:divBdr>
                    <w:top w:val="none" w:sz="0" w:space="0" w:color="auto"/>
                    <w:left w:val="none" w:sz="0" w:space="0" w:color="auto"/>
                    <w:bottom w:val="none" w:sz="0" w:space="0" w:color="auto"/>
                    <w:right w:val="none" w:sz="0" w:space="0" w:color="auto"/>
                  </w:divBdr>
                </w:div>
              </w:divsChild>
            </w:div>
            <w:div w:id="1178346504">
              <w:marLeft w:val="0"/>
              <w:marRight w:val="0"/>
              <w:marTop w:val="0"/>
              <w:marBottom w:val="0"/>
              <w:divBdr>
                <w:top w:val="none" w:sz="0" w:space="0" w:color="auto"/>
                <w:left w:val="none" w:sz="0" w:space="0" w:color="auto"/>
                <w:bottom w:val="none" w:sz="0" w:space="0" w:color="auto"/>
                <w:right w:val="none" w:sz="0" w:space="0" w:color="auto"/>
              </w:divBdr>
              <w:divsChild>
                <w:div w:id="1234587507">
                  <w:marLeft w:val="0"/>
                  <w:marRight w:val="0"/>
                  <w:marTop w:val="120"/>
                  <w:marBottom w:val="0"/>
                  <w:divBdr>
                    <w:top w:val="none" w:sz="0" w:space="0" w:color="auto"/>
                    <w:left w:val="none" w:sz="0" w:space="0" w:color="auto"/>
                    <w:bottom w:val="none" w:sz="0" w:space="0" w:color="auto"/>
                    <w:right w:val="none" w:sz="0" w:space="0" w:color="auto"/>
                  </w:divBdr>
                </w:div>
                <w:div w:id="1573197667">
                  <w:marLeft w:val="0"/>
                  <w:marRight w:val="0"/>
                  <w:marTop w:val="0"/>
                  <w:marBottom w:val="0"/>
                  <w:divBdr>
                    <w:top w:val="none" w:sz="0" w:space="0" w:color="auto"/>
                    <w:left w:val="none" w:sz="0" w:space="0" w:color="auto"/>
                    <w:bottom w:val="none" w:sz="0" w:space="0" w:color="auto"/>
                    <w:right w:val="none" w:sz="0" w:space="0" w:color="auto"/>
                  </w:divBdr>
                  <w:divsChild>
                    <w:div w:id="1241601926">
                      <w:marLeft w:val="0"/>
                      <w:marRight w:val="0"/>
                      <w:marTop w:val="0"/>
                      <w:marBottom w:val="0"/>
                      <w:divBdr>
                        <w:top w:val="none" w:sz="0" w:space="0" w:color="auto"/>
                        <w:left w:val="none" w:sz="0" w:space="0" w:color="auto"/>
                        <w:bottom w:val="none" w:sz="0" w:space="0" w:color="auto"/>
                        <w:right w:val="none" w:sz="0" w:space="0" w:color="auto"/>
                      </w:divBdr>
                      <w:divsChild>
                        <w:div w:id="149637911">
                          <w:marLeft w:val="0"/>
                          <w:marRight w:val="0"/>
                          <w:marTop w:val="120"/>
                          <w:marBottom w:val="0"/>
                          <w:divBdr>
                            <w:top w:val="none" w:sz="0" w:space="0" w:color="auto"/>
                            <w:left w:val="none" w:sz="0" w:space="0" w:color="auto"/>
                            <w:bottom w:val="none" w:sz="0" w:space="0" w:color="auto"/>
                            <w:right w:val="none" w:sz="0" w:space="0" w:color="auto"/>
                          </w:divBdr>
                        </w:div>
                        <w:div w:id="1317417879">
                          <w:marLeft w:val="0"/>
                          <w:marRight w:val="0"/>
                          <w:marTop w:val="0"/>
                          <w:marBottom w:val="0"/>
                          <w:divBdr>
                            <w:top w:val="none" w:sz="0" w:space="0" w:color="auto"/>
                            <w:left w:val="none" w:sz="0" w:space="0" w:color="auto"/>
                            <w:bottom w:val="none" w:sz="0" w:space="0" w:color="auto"/>
                            <w:right w:val="none" w:sz="0" w:space="0" w:color="auto"/>
                          </w:divBdr>
                        </w:div>
                      </w:divsChild>
                    </w:div>
                    <w:div w:id="1347756124">
                      <w:marLeft w:val="0"/>
                      <w:marRight w:val="0"/>
                      <w:marTop w:val="0"/>
                      <w:marBottom w:val="0"/>
                      <w:divBdr>
                        <w:top w:val="none" w:sz="0" w:space="0" w:color="auto"/>
                        <w:left w:val="none" w:sz="0" w:space="0" w:color="auto"/>
                        <w:bottom w:val="none" w:sz="0" w:space="0" w:color="auto"/>
                        <w:right w:val="none" w:sz="0" w:space="0" w:color="auto"/>
                      </w:divBdr>
                      <w:divsChild>
                        <w:div w:id="133526216">
                          <w:marLeft w:val="0"/>
                          <w:marRight w:val="0"/>
                          <w:marTop w:val="120"/>
                          <w:marBottom w:val="0"/>
                          <w:divBdr>
                            <w:top w:val="none" w:sz="0" w:space="0" w:color="auto"/>
                            <w:left w:val="none" w:sz="0" w:space="0" w:color="auto"/>
                            <w:bottom w:val="none" w:sz="0" w:space="0" w:color="auto"/>
                            <w:right w:val="none" w:sz="0" w:space="0" w:color="auto"/>
                          </w:divBdr>
                        </w:div>
                        <w:div w:id="451945313">
                          <w:marLeft w:val="0"/>
                          <w:marRight w:val="0"/>
                          <w:marTop w:val="0"/>
                          <w:marBottom w:val="0"/>
                          <w:divBdr>
                            <w:top w:val="none" w:sz="0" w:space="0" w:color="auto"/>
                            <w:left w:val="none" w:sz="0" w:space="0" w:color="auto"/>
                            <w:bottom w:val="none" w:sz="0" w:space="0" w:color="auto"/>
                            <w:right w:val="none" w:sz="0" w:space="0" w:color="auto"/>
                          </w:divBdr>
                        </w:div>
                      </w:divsChild>
                    </w:div>
                    <w:div w:id="2042317868">
                      <w:marLeft w:val="0"/>
                      <w:marRight w:val="0"/>
                      <w:marTop w:val="0"/>
                      <w:marBottom w:val="0"/>
                      <w:divBdr>
                        <w:top w:val="none" w:sz="0" w:space="0" w:color="auto"/>
                        <w:left w:val="none" w:sz="0" w:space="0" w:color="auto"/>
                        <w:bottom w:val="none" w:sz="0" w:space="0" w:color="auto"/>
                        <w:right w:val="none" w:sz="0" w:space="0" w:color="auto"/>
                      </w:divBdr>
                      <w:divsChild>
                        <w:div w:id="708385116">
                          <w:marLeft w:val="0"/>
                          <w:marRight w:val="0"/>
                          <w:marTop w:val="0"/>
                          <w:marBottom w:val="0"/>
                          <w:divBdr>
                            <w:top w:val="none" w:sz="0" w:space="0" w:color="auto"/>
                            <w:left w:val="none" w:sz="0" w:space="0" w:color="auto"/>
                            <w:bottom w:val="none" w:sz="0" w:space="0" w:color="auto"/>
                            <w:right w:val="none" w:sz="0" w:space="0" w:color="auto"/>
                          </w:divBdr>
                        </w:div>
                        <w:div w:id="12601373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9806291">
              <w:marLeft w:val="0"/>
              <w:marRight w:val="0"/>
              <w:marTop w:val="0"/>
              <w:marBottom w:val="0"/>
              <w:divBdr>
                <w:top w:val="none" w:sz="0" w:space="0" w:color="auto"/>
                <w:left w:val="none" w:sz="0" w:space="0" w:color="auto"/>
                <w:bottom w:val="none" w:sz="0" w:space="0" w:color="auto"/>
                <w:right w:val="none" w:sz="0" w:space="0" w:color="auto"/>
              </w:divBdr>
              <w:divsChild>
                <w:div w:id="1944873776">
                  <w:marLeft w:val="0"/>
                  <w:marRight w:val="0"/>
                  <w:marTop w:val="120"/>
                  <w:marBottom w:val="0"/>
                  <w:divBdr>
                    <w:top w:val="none" w:sz="0" w:space="0" w:color="auto"/>
                    <w:left w:val="none" w:sz="0" w:space="0" w:color="auto"/>
                    <w:bottom w:val="none" w:sz="0" w:space="0" w:color="auto"/>
                    <w:right w:val="none" w:sz="0" w:space="0" w:color="auto"/>
                  </w:divBdr>
                </w:div>
                <w:div w:id="1999531926">
                  <w:marLeft w:val="0"/>
                  <w:marRight w:val="0"/>
                  <w:marTop w:val="0"/>
                  <w:marBottom w:val="0"/>
                  <w:divBdr>
                    <w:top w:val="none" w:sz="0" w:space="0" w:color="auto"/>
                    <w:left w:val="none" w:sz="0" w:space="0" w:color="auto"/>
                    <w:bottom w:val="none" w:sz="0" w:space="0" w:color="auto"/>
                    <w:right w:val="none" w:sz="0" w:space="0" w:color="auto"/>
                  </w:divBdr>
                  <w:divsChild>
                    <w:div w:id="767697962">
                      <w:marLeft w:val="0"/>
                      <w:marRight w:val="0"/>
                      <w:marTop w:val="0"/>
                      <w:marBottom w:val="0"/>
                      <w:divBdr>
                        <w:top w:val="none" w:sz="0" w:space="0" w:color="auto"/>
                        <w:left w:val="none" w:sz="0" w:space="0" w:color="auto"/>
                        <w:bottom w:val="none" w:sz="0" w:space="0" w:color="auto"/>
                        <w:right w:val="none" w:sz="0" w:space="0" w:color="auto"/>
                      </w:divBdr>
                      <w:divsChild>
                        <w:div w:id="167407330">
                          <w:marLeft w:val="0"/>
                          <w:marRight w:val="0"/>
                          <w:marTop w:val="120"/>
                          <w:marBottom w:val="0"/>
                          <w:divBdr>
                            <w:top w:val="none" w:sz="0" w:space="0" w:color="auto"/>
                            <w:left w:val="none" w:sz="0" w:space="0" w:color="auto"/>
                            <w:bottom w:val="none" w:sz="0" w:space="0" w:color="auto"/>
                            <w:right w:val="none" w:sz="0" w:space="0" w:color="auto"/>
                          </w:divBdr>
                        </w:div>
                        <w:div w:id="257644121">
                          <w:marLeft w:val="0"/>
                          <w:marRight w:val="0"/>
                          <w:marTop w:val="0"/>
                          <w:marBottom w:val="0"/>
                          <w:divBdr>
                            <w:top w:val="none" w:sz="0" w:space="0" w:color="auto"/>
                            <w:left w:val="none" w:sz="0" w:space="0" w:color="auto"/>
                            <w:bottom w:val="none" w:sz="0" w:space="0" w:color="auto"/>
                            <w:right w:val="none" w:sz="0" w:space="0" w:color="auto"/>
                          </w:divBdr>
                        </w:div>
                      </w:divsChild>
                    </w:div>
                    <w:div w:id="1716541613">
                      <w:marLeft w:val="0"/>
                      <w:marRight w:val="0"/>
                      <w:marTop w:val="0"/>
                      <w:marBottom w:val="0"/>
                      <w:divBdr>
                        <w:top w:val="none" w:sz="0" w:space="0" w:color="auto"/>
                        <w:left w:val="none" w:sz="0" w:space="0" w:color="auto"/>
                        <w:bottom w:val="none" w:sz="0" w:space="0" w:color="auto"/>
                        <w:right w:val="none" w:sz="0" w:space="0" w:color="auto"/>
                      </w:divBdr>
                      <w:divsChild>
                        <w:div w:id="1090127394">
                          <w:marLeft w:val="0"/>
                          <w:marRight w:val="0"/>
                          <w:marTop w:val="120"/>
                          <w:marBottom w:val="0"/>
                          <w:divBdr>
                            <w:top w:val="none" w:sz="0" w:space="0" w:color="auto"/>
                            <w:left w:val="none" w:sz="0" w:space="0" w:color="auto"/>
                            <w:bottom w:val="none" w:sz="0" w:space="0" w:color="auto"/>
                            <w:right w:val="none" w:sz="0" w:space="0" w:color="auto"/>
                          </w:divBdr>
                        </w:div>
                        <w:div w:id="11911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19175">
              <w:marLeft w:val="0"/>
              <w:marRight w:val="0"/>
              <w:marTop w:val="0"/>
              <w:marBottom w:val="0"/>
              <w:divBdr>
                <w:top w:val="none" w:sz="0" w:space="0" w:color="auto"/>
                <w:left w:val="none" w:sz="0" w:space="0" w:color="auto"/>
                <w:bottom w:val="none" w:sz="0" w:space="0" w:color="auto"/>
                <w:right w:val="none" w:sz="0" w:space="0" w:color="auto"/>
              </w:divBdr>
              <w:divsChild>
                <w:div w:id="582834621">
                  <w:marLeft w:val="0"/>
                  <w:marRight w:val="0"/>
                  <w:marTop w:val="120"/>
                  <w:marBottom w:val="0"/>
                  <w:divBdr>
                    <w:top w:val="none" w:sz="0" w:space="0" w:color="auto"/>
                    <w:left w:val="none" w:sz="0" w:space="0" w:color="auto"/>
                    <w:bottom w:val="none" w:sz="0" w:space="0" w:color="auto"/>
                    <w:right w:val="none" w:sz="0" w:space="0" w:color="auto"/>
                  </w:divBdr>
                </w:div>
                <w:div w:id="1078163647">
                  <w:marLeft w:val="0"/>
                  <w:marRight w:val="0"/>
                  <w:marTop w:val="0"/>
                  <w:marBottom w:val="0"/>
                  <w:divBdr>
                    <w:top w:val="none" w:sz="0" w:space="0" w:color="auto"/>
                    <w:left w:val="none" w:sz="0" w:space="0" w:color="auto"/>
                    <w:bottom w:val="none" w:sz="0" w:space="0" w:color="auto"/>
                    <w:right w:val="none" w:sz="0" w:space="0" w:color="auto"/>
                  </w:divBdr>
                </w:div>
              </w:divsChild>
            </w:div>
            <w:div w:id="2122187841">
              <w:marLeft w:val="0"/>
              <w:marRight w:val="0"/>
              <w:marTop w:val="0"/>
              <w:marBottom w:val="0"/>
              <w:divBdr>
                <w:top w:val="none" w:sz="0" w:space="0" w:color="auto"/>
                <w:left w:val="none" w:sz="0" w:space="0" w:color="auto"/>
                <w:bottom w:val="none" w:sz="0" w:space="0" w:color="auto"/>
                <w:right w:val="none" w:sz="0" w:space="0" w:color="auto"/>
              </w:divBdr>
              <w:divsChild>
                <w:div w:id="811170077">
                  <w:marLeft w:val="0"/>
                  <w:marRight w:val="0"/>
                  <w:marTop w:val="0"/>
                  <w:marBottom w:val="0"/>
                  <w:divBdr>
                    <w:top w:val="none" w:sz="0" w:space="0" w:color="auto"/>
                    <w:left w:val="none" w:sz="0" w:space="0" w:color="auto"/>
                    <w:bottom w:val="none" w:sz="0" w:space="0" w:color="auto"/>
                    <w:right w:val="none" w:sz="0" w:space="0" w:color="auto"/>
                  </w:divBdr>
                </w:div>
                <w:div w:id="1918594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3401566">
      <w:bodyDiv w:val="1"/>
      <w:marLeft w:val="0"/>
      <w:marRight w:val="0"/>
      <w:marTop w:val="0"/>
      <w:marBottom w:val="0"/>
      <w:divBdr>
        <w:top w:val="none" w:sz="0" w:space="0" w:color="auto"/>
        <w:left w:val="none" w:sz="0" w:space="0" w:color="auto"/>
        <w:bottom w:val="none" w:sz="0" w:space="0" w:color="auto"/>
        <w:right w:val="none" w:sz="0" w:space="0" w:color="auto"/>
      </w:divBdr>
      <w:divsChild>
        <w:div w:id="923149051">
          <w:marLeft w:val="0"/>
          <w:marRight w:val="0"/>
          <w:marTop w:val="120"/>
          <w:marBottom w:val="0"/>
          <w:divBdr>
            <w:top w:val="none" w:sz="0" w:space="0" w:color="auto"/>
            <w:left w:val="none" w:sz="0" w:space="0" w:color="auto"/>
            <w:bottom w:val="none" w:sz="0" w:space="0" w:color="auto"/>
            <w:right w:val="none" w:sz="0" w:space="0" w:color="auto"/>
          </w:divBdr>
        </w:div>
        <w:div w:id="2004241071">
          <w:marLeft w:val="0"/>
          <w:marRight w:val="0"/>
          <w:marTop w:val="0"/>
          <w:marBottom w:val="0"/>
          <w:divBdr>
            <w:top w:val="none" w:sz="0" w:space="0" w:color="auto"/>
            <w:left w:val="none" w:sz="0" w:space="0" w:color="auto"/>
            <w:bottom w:val="none" w:sz="0" w:space="0" w:color="auto"/>
            <w:right w:val="none" w:sz="0" w:space="0" w:color="auto"/>
          </w:divBdr>
        </w:div>
      </w:divsChild>
    </w:div>
    <w:div w:id="1208680508">
      <w:bodyDiv w:val="1"/>
      <w:marLeft w:val="0"/>
      <w:marRight w:val="0"/>
      <w:marTop w:val="0"/>
      <w:marBottom w:val="0"/>
      <w:divBdr>
        <w:top w:val="none" w:sz="0" w:space="0" w:color="auto"/>
        <w:left w:val="none" w:sz="0" w:space="0" w:color="auto"/>
        <w:bottom w:val="none" w:sz="0" w:space="0" w:color="auto"/>
        <w:right w:val="none" w:sz="0" w:space="0" w:color="auto"/>
      </w:divBdr>
      <w:divsChild>
        <w:div w:id="1360549899">
          <w:marLeft w:val="0"/>
          <w:marRight w:val="0"/>
          <w:marTop w:val="0"/>
          <w:marBottom w:val="0"/>
          <w:divBdr>
            <w:top w:val="none" w:sz="0" w:space="0" w:color="auto"/>
            <w:left w:val="none" w:sz="0" w:space="0" w:color="auto"/>
            <w:bottom w:val="none" w:sz="0" w:space="0" w:color="auto"/>
            <w:right w:val="none" w:sz="0" w:space="0" w:color="auto"/>
          </w:divBdr>
        </w:div>
      </w:divsChild>
    </w:div>
    <w:div w:id="1215967529">
      <w:bodyDiv w:val="1"/>
      <w:marLeft w:val="0"/>
      <w:marRight w:val="0"/>
      <w:marTop w:val="0"/>
      <w:marBottom w:val="0"/>
      <w:divBdr>
        <w:top w:val="none" w:sz="0" w:space="0" w:color="auto"/>
        <w:left w:val="none" w:sz="0" w:space="0" w:color="auto"/>
        <w:bottom w:val="none" w:sz="0" w:space="0" w:color="auto"/>
        <w:right w:val="none" w:sz="0" w:space="0" w:color="auto"/>
      </w:divBdr>
      <w:divsChild>
        <w:div w:id="1404717994">
          <w:marLeft w:val="0"/>
          <w:marRight w:val="0"/>
          <w:marTop w:val="0"/>
          <w:marBottom w:val="0"/>
          <w:divBdr>
            <w:top w:val="none" w:sz="0" w:space="0" w:color="auto"/>
            <w:left w:val="none" w:sz="0" w:space="0" w:color="auto"/>
            <w:bottom w:val="none" w:sz="0" w:space="0" w:color="auto"/>
            <w:right w:val="none" w:sz="0" w:space="0" w:color="auto"/>
          </w:divBdr>
        </w:div>
      </w:divsChild>
    </w:div>
    <w:div w:id="1216812654">
      <w:bodyDiv w:val="1"/>
      <w:marLeft w:val="0"/>
      <w:marRight w:val="0"/>
      <w:marTop w:val="0"/>
      <w:marBottom w:val="0"/>
      <w:divBdr>
        <w:top w:val="none" w:sz="0" w:space="0" w:color="auto"/>
        <w:left w:val="none" w:sz="0" w:space="0" w:color="auto"/>
        <w:bottom w:val="none" w:sz="0" w:space="0" w:color="auto"/>
        <w:right w:val="none" w:sz="0" w:space="0" w:color="auto"/>
      </w:divBdr>
      <w:divsChild>
        <w:div w:id="1178959252">
          <w:marLeft w:val="0"/>
          <w:marRight w:val="0"/>
          <w:marTop w:val="0"/>
          <w:marBottom w:val="0"/>
          <w:divBdr>
            <w:top w:val="none" w:sz="0" w:space="0" w:color="auto"/>
            <w:left w:val="none" w:sz="0" w:space="0" w:color="auto"/>
            <w:bottom w:val="none" w:sz="0" w:space="0" w:color="auto"/>
            <w:right w:val="none" w:sz="0" w:space="0" w:color="auto"/>
          </w:divBdr>
        </w:div>
      </w:divsChild>
    </w:div>
    <w:div w:id="1227373486">
      <w:bodyDiv w:val="1"/>
      <w:marLeft w:val="0"/>
      <w:marRight w:val="0"/>
      <w:marTop w:val="0"/>
      <w:marBottom w:val="0"/>
      <w:divBdr>
        <w:top w:val="none" w:sz="0" w:space="0" w:color="auto"/>
        <w:left w:val="none" w:sz="0" w:space="0" w:color="auto"/>
        <w:bottom w:val="none" w:sz="0" w:space="0" w:color="auto"/>
        <w:right w:val="none" w:sz="0" w:space="0" w:color="auto"/>
      </w:divBdr>
      <w:divsChild>
        <w:div w:id="260525621">
          <w:marLeft w:val="0"/>
          <w:marRight w:val="0"/>
          <w:marTop w:val="0"/>
          <w:marBottom w:val="0"/>
          <w:divBdr>
            <w:top w:val="none" w:sz="0" w:space="0" w:color="auto"/>
            <w:left w:val="none" w:sz="0" w:space="0" w:color="auto"/>
            <w:bottom w:val="none" w:sz="0" w:space="0" w:color="auto"/>
            <w:right w:val="none" w:sz="0" w:space="0" w:color="auto"/>
          </w:divBdr>
          <w:divsChild>
            <w:div w:id="733620637">
              <w:marLeft w:val="0"/>
              <w:marRight w:val="0"/>
              <w:marTop w:val="0"/>
              <w:marBottom w:val="0"/>
              <w:divBdr>
                <w:top w:val="none" w:sz="0" w:space="0" w:color="auto"/>
                <w:left w:val="none" w:sz="0" w:space="0" w:color="auto"/>
                <w:bottom w:val="none" w:sz="0" w:space="0" w:color="auto"/>
                <w:right w:val="none" w:sz="0" w:space="0" w:color="auto"/>
              </w:divBdr>
            </w:div>
          </w:divsChild>
        </w:div>
        <w:div w:id="1300844461">
          <w:marLeft w:val="0"/>
          <w:marRight w:val="0"/>
          <w:marTop w:val="0"/>
          <w:marBottom w:val="0"/>
          <w:divBdr>
            <w:top w:val="none" w:sz="0" w:space="0" w:color="auto"/>
            <w:left w:val="none" w:sz="0" w:space="0" w:color="auto"/>
            <w:bottom w:val="none" w:sz="0" w:space="0" w:color="auto"/>
            <w:right w:val="none" w:sz="0" w:space="0" w:color="auto"/>
          </w:divBdr>
          <w:divsChild>
            <w:div w:id="14927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8940">
      <w:bodyDiv w:val="1"/>
      <w:marLeft w:val="0"/>
      <w:marRight w:val="0"/>
      <w:marTop w:val="0"/>
      <w:marBottom w:val="0"/>
      <w:divBdr>
        <w:top w:val="none" w:sz="0" w:space="0" w:color="auto"/>
        <w:left w:val="none" w:sz="0" w:space="0" w:color="auto"/>
        <w:bottom w:val="none" w:sz="0" w:space="0" w:color="auto"/>
        <w:right w:val="none" w:sz="0" w:space="0" w:color="auto"/>
      </w:divBdr>
      <w:divsChild>
        <w:div w:id="1070156302">
          <w:marLeft w:val="0"/>
          <w:marRight w:val="0"/>
          <w:marTop w:val="0"/>
          <w:marBottom w:val="0"/>
          <w:divBdr>
            <w:top w:val="none" w:sz="0" w:space="0" w:color="auto"/>
            <w:left w:val="none" w:sz="0" w:space="0" w:color="auto"/>
            <w:bottom w:val="none" w:sz="0" w:space="0" w:color="auto"/>
            <w:right w:val="none" w:sz="0" w:space="0" w:color="auto"/>
          </w:divBdr>
          <w:divsChild>
            <w:div w:id="1406686379">
              <w:marLeft w:val="0"/>
              <w:marRight w:val="0"/>
              <w:marTop w:val="0"/>
              <w:marBottom w:val="0"/>
              <w:divBdr>
                <w:top w:val="none" w:sz="0" w:space="0" w:color="auto"/>
                <w:left w:val="none" w:sz="0" w:space="0" w:color="auto"/>
                <w:bottom w:val="none" w:sz="0" w:space="0" w:color="auto"/>
                <w:right w:val="none" w:sz="0" w:space="0" w:color="auto"/>
              </w:divBdr>
            </w:div>
            <w:div w:id="2089229132">
              <w:marLeft w:val="0"/>
              <w:marRight w:val="0"/>
              <w:marTop w:val="120"/>
              <w:marBottom w:val="0"/>
              <w:divBdr>
                <w:top w:val="none" w:sz="0" w:space="0" w:color="auto"/>
                <w:left w:val="none" w:sz="0" w:space="0" w:color="auto"/>
                <w:bottom w:val="none" w:sz="0" w:space="0" w:color="auto"/>
                <w:right w:val="none" w:sz="0" w:space="0" w:color="auto"/>
              </w:divBdr>
            </w:div>
          </w:divsChild>
        </w:div>
        <w:div w:id="1352954089">
          <w:marLeft w:val="0"/>
          <w:marRight w:val="0"/>
          <w:marTop w:val="0"/>
          <w:marBottom w:val="0"/>
          <w:divBdr>
            <w:top w:val="none" w:sz="0" w:space="0" w:color="auto"/>
            <w:left w:val="none" w:sz="0" w:space="0" w:color="auto"/>
            <w:bottom w:val="none" w:sz="0" w:space="0" w:color="auto"/>
            <w:right w:val="none" w:sz="0" w:space="0" w:color="auto"/>
          </w:divBdr>
          <w:divsChild>
            <w:div w:id="532154351">
              <w:marLeft w:val="0"/>
              <w:marRight w:val="0"/>
              <w:marTop w:val="120"/>
              <w:marBottom w:val="0"/>
              <w:divBdr>
                <w:top w:val="none" w:sz="0" w:space="0" w:color="auto"/>
                <w:left w:val="none" w:sz="0" w:space="0" w:color="auto"/>
                <w:bottom w:val="none" w:sz="0" w:space="0" w:color="auto"/>
                <w:right w:val="none" w:sz="0" w:space="0" w:color="auto"/>
              </w:divBdr>
            </w:div>
            <w:div w:id="1417635099">
              <w:marLeft w:val="0"/>
              <w:marRight w:val="0"/>
              <w:marTop w:val="0"/>
              <w:marBottom w:val="0"/>
              <w:divBdr>
                <w:top w:val="none" w:sz="0" w:space="0" w:color="auto"/>
                <w:left w:val="none" w:sz="0" w:space="0" w:color="auto"/>
                <w:bottom w:val="none" w:sz="0" w:space="0" w:color="auto"/>
                <w:right w:val="none" w:sz="0" w:space="0" w:color="auto"/>
              </w:divBdr>
            </w:div>
          </w:divsChild>
        </w:div>
        <w:div w:id="1397630514">
          <w:marLeft w:val="0"/>
          <w:marRight w:val="0"/>
          <w:marTop w:val="0"/>
          <w:marBottom w:val="0"/>
          <w:divBdr>
            <w:top w:val="none" w:sz="0" w:space="0" w:color="auto"/>
            <w:left w:val="none" w:sz="0" w:space="0" w:color="auto"/>
            <w:bottom w:val="none" w:sz="0" w:space="0" w:color="auto"/>
            <w:right w:val="none" w:sz="0" w:space="0" w:color="auto"/>
          </w:divBdr>
          <w:divsChild>
            <w:div w:id="1055277400">
              <w:marLeft w:val="0"/>
              <w:marRight w:val="0"/>
              <w:marTop w:val="120"/>
              <w:marBottom w:val="0"/>
              <w:divBdr>
                <w:top w:val="none" w:sz="0" w:space="0" w:color="auto"/>
                <w:left w:val="none" w:sz="0" w:space="0" w:color="auto"/>
                <w:bottom w:val="none" w:sz="0" w:space="0" w:color="auto"/>
                <w:right w:val="none" w:sz="0" w:space="0" w:color="auto"/>
              </w:divBdr>
            </w:div>
            <w:div w:id="1960911386">
              <w:marLeft w:val="0"/>
              <w:marRight w:val="0"/>
              <w:marTop w:val="0"/>
              <w:marBottom w:val="0"/>
              <w:divBdr>
                <w:top w:val="none" w:sz="0" w:space="0" w:color="auto"/>
                <w:left w:val="none" w:sz="0" w:space="0" w:color="auto"/>
                <w:bottom w:val="none" w:sz="0" w:space="0" w:color="auto"/>
                <w:right w:val="none" w:sz="0" w:space="0" w:color="auto"/>
              </w:divBdr>
            </w:div>
          </w:divsChild>
        </w:div>
        <w:div w:id="1535271087">
          <w:marLeft w:val="0"/>
          <w:marRight w:val="0"/>
          <w:marTop w:val="0"/>
          <w:marBottom w:val="0"/>
          <w:divBdr>
            <w:top w:val="none" w:sz="0" w:space="0" w:color="auto"/>
            <w:left w:val="none" w:sz="0" w:space="0" w:color="auto"/>
            <w:bottom w:val="none" w:sz="0" w:space="0" w:color="auto"/>
            <w:right w:val="none" w:sz="0" w:space="0" w:color="auto"/>
          </w:divBdr>
          <w:divsChild>
            <w:div w:id="1467352167">
              <w:marLeft w:val="0"/>
              <w:marRight w:val="0"/>
              <w:marTop w:val="120"/>
              <w:marBottom w:val="0"/>
              <w:divBdr>
                <w:top w:val="none" w:sz="0" w:space="0" w:color="auto"/>
                <w:left w:val="none" w:sz="0" w:space="0" w:color="auto"/>
                <w:bottom w:val="none" w:sz="0" w:space="0" w:color="auto"/>
                <w:right w:val="none" w:sz="0" w:space="0" w:color="auto"/>
              </w:divBdr>
            </w:div>
            <w:div w:id="1887109249">
              <w:marLeft w:val="0"/>
              <w:marRight w:val="0"/>
              <w:marTop w:val="0"/>
              <w:marBottom w:val="0"/>
              <w:divBdr>
                <w:top w:val="none" w:sz="0" w:space="0" w:color="auto"/>
                <w:left w:val="none" w:sz="0" w:space="0" w:color="auto"/>
                <w:bottom w:val="none" w:sz="0" w:space="0" w:color="auto"/>
                <w:right w:val="none" w:sz="0" w:space="0" w:color="auto"/>
              </w:divBdr>
            </w:div>
          </w:divsChild>
        </w:div>
        <w:div w:id="1549142831">
          <w:marLeft w:val="0"/>
          <w:marRight w:val="0"/>
          <w:marTop w:val="0"/>
          <w:marBottom w:val="0"/>
          <w:divBdr>
            <w:top w:val="none" w:sz="0" w:space="0" w:color="auto"/>
            <w:left w:val="none" w:sz="0" w:space="0" w:color="auto"/>
            <w:bottom w:val="none" w:sz="0" w:space="0" w:color="auto"/>
            <w:right w:val="none" w:sz="0" w:space="0" w:color="auto"/>
          </w:divBdr>
          <w:divsChild>
            <w:div w:id="268701673">
              <w:marLeft w:val="0"/>
              <w:marRight w:val="0"/>
              <w:marTop w:val="0"/>
              <w:marBottom w:val="0"/>
              <w:divBdr>
                <w:top w:val="none" w:sz="0" w:space="0" w:color="auto"/>
                <w:left w:val="none" w:sz="0" w:space="0" w:color="auto"/>
                <w:bottom w:val="none" w:sz="0" w:space="0" w:color="auto"/>
                <w:right w:val="none" w:sz="0" w:space="0" w:color="auto"/>
              </w:divBdr>
            </w:div>
            <w:div w:id="6015720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0306985">
      <w:bodyDiv w:val="1"/>
      <w:marLeft w:val="0"/>
      <w:marRight w:val="0"/>
      <w:marTop w:val="0"/>
      <w:marBottom w:val="0"/>
      <w:divBdr>
        <w:top w:val="none" w:sz="0" w:space="0" w:color="auto"/>
        <w:left w:val="none" w:sz="0" w:space="0" w:color="auto"/>
        <w:bottom w:val="none" w:sz="0" w:space="0" w:color="auto"/>
        <w:right w:val="none" w:sz="0" w:space="0" w:color="auto"/>
      </w:divBdr>
    </w:div>
    <w:div w:id="1250382828">
      <w:bodyDiv w:val="1"/>
      <w:marLeft w:val="0"/>
      <w:marRight w:val="0"/>
      <w:marTop w:val="0"/>
      <w:marBottom w:val="0"/>
      <w:divBdr>
        <w:top w:val="none" w:sz="0" w:space="0" w:color="auto"/>
        <w:left w:val="none" w:sz="0" w:space="0" w:color="auto"/>
        <w:bottom w:val="none" w:sz="0" w:space="0" w:color="auto"/>
        <w:right w:val="none" w:sz="0" w:space="0" w:color="auto"/>
      </w:divBdr>
    </w:div>
    <w:div w:id="1254633416">
      <w:bodyDiv w:val="1"/>
      <w:marLeft w:val="0"/>
      <w:marRight w:val="0"/>
      <w:marTop w:val="0"/>
      <w:marBottom w:val="0"/>
      <w:divBdr>
        <w:top w:val="none" w:sz="0" w:space="0" w:color="auto"/>
        <w:left w:val="none" w:sz="0" w:space="0" w:color="auto"/>
        <w:bottom w:val="none" w:sz="0" w:space="0" w:color="auto"/>
        <w:right w:val="none" w:sz="0" w:space="0" w:color="auto"/>
      </w:divBdr>
      <w:divsChild>
        <w:div w:id="436219859">
          <w:marLeft w:val="0"/>
          <w:marRight w:val="0"/>
          <w:marTop w:val="0"/>
          <w:marBottom w:val="0"/>
          <w:divBdr>
            <w:top w:val="none" w:sz="0" w:space="0" w:color="auto"/>
            <w:left w:val="none" w:sz="0" w:space="0" w:color="auto"/>
            <w:bottom w:val="none" w:sz="0" w:space="0" w:color="auto"/>
            <w:right w:val="none" w:sz="0" w:space="0" w:color="auto"/>
          </w:divBdr>
        </w:div>
      </w:divsChild>
    </w:div>
    <w:div w:id="1255746854">
      <w:bodyDiv w:val="1"/>
      <w:marLeft w:val="0"/>
      <w:marRight w:val="0"/>
      <w:marTop w:val="0"/>
      <w:marBottom w:val="0"/>
      <w:divBdr>
        <w:top w:val="none" w:sz="0" w:space="0" w:color="auto"/>
        <w:left w:val="none" w:sz="0" w:space="0" w:color="auto"/>
        <w:bottom w:val="none" w:sz="0" w:space="0" w:color="auto"/>
        <w:right w:val="none" w:sz="0" w:space="0" w:color="auto"/>
      </w:divBdr>
      <w:divsChild>
        <w:div w:id="753085188">
          <w:marLeft w:val="0"/>
          <w:marRight w:val="0"/>
          <w:marTop w:val="0"/>
          <w:marBottom w:val="0"/>
          <w:divBdr>
            <w:top w:val="none" w:sz="0" w:space="0" w:color="auto"/>
            <w:left w:val="none" w:sz="0" w:space="0" w:color="auto"/>
            <w:bottom w:val="none" w:sz="0" w:space="0" w:color="auto"/>
            <w:right w:val="none" w:sz="0" w:space="0" w:color="auto"/>
          </w:divBdr>
        </w:div>
      </w:divsChild>
    </w:div>
    <w:div w:id="1256939927">
      <w:bodyDiv w:val="1"/>
      <w:marLeft w:val="0"/>
      <w:marRight w:val="0"/>
      <w:marTop w:val="0"/>
      <w:marBottom w:val="0"/>
      <w:divBdr>
        <w:top w:val="none" w:sz="0" w:space="0" w:color="auto"/>
        <w:left w:val="none" w:sz="0" w:space="0" w:color="auto"/>
        <w:bottom w:val="none" w:sz="0" w:space="0" w:color="auto"/>
        <w:right w:val="none" w:sz="0" w:space="0" w:color="auto"/>
      </w:divBdr>
      <w:divsChild>
        <w:div w:id="1597250570">
          <w:marLeft w:val="0"/>
          <w:marRight w:val="0"/>
          <w:marTop w:val="0"/>
          <w:marBottom w:val="0"/>
          <w:divBdr>
            <w:top w:val="none" w:sz="0" w:space="0" w:color="auto"/>
            <w:left w:val="none" w:sz="0" w:space="0" w:color="auto"/>
            <w:bottom w:val="none" w:sz="0" w:space="0" w:color="auto"/>
            <w:right w:val="none" w:sz="0" w:space="0" w:color="auto"/>
          </w:divBdr>
          <w:divsChild>
            <w:div w:id="1324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7280">
      <w:bodyDiv w:val="1"/>
      <w:marLeft w:val="0"/>
      <w:marRight w:val="0"/>
      <w:marTop w:val="0"/>
      <w:marBottom w:val="0"/>
      <w:divBdr>
        <w:top w:val="none" w:sz="0" w:space="0" w:color="auto"/>
        <w:left w:val="none" w:sz="0" w:space="0" w:color="auto"/>
        <w:bottom w:val="none" w:sz="0" w:space="0" w:color="auto"/>
        <w:right w:val="none" w:sz="0" w:space="0" w:color="auto"/>
      </w:divBdr>
      <w:divsChild>
        <w:div w:id="2100372014">
          <w:marLeft w:val="0"/>
          <w:marRight w:val="0"/>
          <w:marTop w:val="0"/>
          <w:marBottom w:val="0"/>
          <w:divBdr>
            <w:top w:val="none" w:sz="0" w:space="0" w:color="auto"/>
            <w:left w:val="none" w:sz="0" w:space="0" w:color="auto"/>
            <w:bottom w:val="none" w:sz="0" w:space="0" w:color="auto"/>
            <w:right w:val="none" w:sz="0" w:space="0" w:color="auto"/>
          </w:divBdr>
        </w:div>
        <w:div w:id="2113280068">
          <w:marLeft w:val="0"/>
          <w:marRight w:val="0"/>
          <w:marTop w:val="0"/>
          <w:marBottom w:val="0"/>
          <w:divBdr>
            <w:top w:val="none" w:sz="0" w:space="0" w:color="auto"/>
            <w:left w:val="none" w:sz="0" w:space="0" w:color="auto"/>
            <w:bottom w:val="none" w:sz="0" w:space="0" w:color="auto"/>
            <w:right w:val="none" w:sz="0" w:space="0" w:color="auto"/>
          </w:divBdr>
          <w:divsChild>
            <w:div w:id="1081950966">
              <w:marLeft w:val="0"/>
              <w:marRight w:val="0"/>
              <w:marTop w:val="0"/>
              <w:marBottom w:val="0"/>
              <w:divBdr>
                <w:top w:val="none" w:sz="0" w:space="0" w:color="auto"/>
                <w:left w:val="none" w:sz="0" w:space="0" w:color="auto"/>
                <w:bottom w:val="none" w:sz="0" w:space="0" w:color="auto"/>
                <w:right w:val="none" w:sz="0" w:space="0" w:color="auto"/>
              </w:divBdr>
              <w:divsChild>
                <w:div w:id="5118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1714">
      <w:bodyDiv w:val="1"/>
      <w:marLeft w:val="0"/>
      <w:marRight w:val="0"/>
      <w:marTop w:val="0"/>
      <w:marBottom w:val="0"/>
      <w:divBdr>
        <w:top w:val="none" w:sz="0" w:space="0" w:color="auto"/>
        <w:left w:val="none" w:sz="0" w:space="0" w:color="auto"/>
        <w:bottom w:val="none" w:sz="0" w:space="0" w:color="auto"/>
        <w:right w:val="none" w:sz="0" w:space="0" w:color="auto"/>
      </w:divBdr>
      <w:divsChild>
        <w:div w:id="1537236530">
          <w:marLeft w:val="0"/>
          <w:marRight w:val="0"/>
          <w:marTop w:val="0"/>
          <w:marBottom w:val="0"/>
          <w:divBdr>
            <w:top w:val="none" w:sz="0" w:space="0" w:color="auto"/>
            <w:left w:val="none" w:sz="0" w:space="0" w:color="auto"/>
            <w:bottom w:val="none" w:sz="0" w:space="0" w:color="auto"/>
            <w:right w:val="none" w:sz="0" w:space="0" w:color="auto"/>
          </w:divBdr>
        </w:div>
      </w:divsChild>
    </w:div>
    <w:div w:id="1265460421">
      <w:bodyDiv w:val="1"/>
      <w:marLeft w:val="0"/>
      <w:marRight w:val="0"/>
      <w:marTop w:val="0"/>
      <w:marBottom w:val="0"/>
      <w:divBdr>
        <w:top w:val="none" w:sz="0" w:space="0" w:color="auto"/>
        <w:left w:val="none" w:sz="0" w:space="0" w:color="auto"/>
        <w:bottom w:val="none" w:sz="0" w:space="0" w:color="auto"/>
        <w:right w:val="none" w:sz="0" w:space="0" w:color="auto"/>
      </w:divBdr>
      <w:divsChild>
        <w:div w:id="1852378258">
          <w:marLeft w:val="0"/>
          <w:marRight w:val="0"/>
          <w:marTop w:val="0"/>
          <w:marBottom w:val="0"/>
          <w:divBdr>
            <w:top w:val="none" w:sz="0" w:space="0" w:color="auto"/>
            <w:left w:val="none" w:sz="0" w:space="0" w:color="auto"/>
            <w:bottom w:val="none" w:sz="0" w:space="0" w:color="auto"/>
            <w:right w:val="none" w:sz="0" w:space="0" w:color="auto"/>
          </w:divBdr>
          <w:divsChild>
            <w:div w:id="1752002614">
              <w:marLeft w:val="0"/>
              <w:marRight w:val="0"/>
              <w:marTop w:val="0"/>
              <w:marBottom w:val="0"/>
              <w:divBdr>
                <w:top w:val="none" w:sz="0" w:space="0" w:color="auto"/>
                <w:left w:val="none" w:sz="0" w:space="0" w:color="auto"/>
                <w:bottom w:val="none" w:sz="0" w:space="0" w:color="auto"/>
                <w:right w:val="none" w:sz="0" w:space="0" w:color="auto"/>
              </w:divBdr>
              <w:divsChild>
                <w:div w:id="1702243140">
                  <w:marLeft w:val="0"/>
                  <w:marRight w:val="0"/>
                  <w:marTop w:val="0"/>
                  <w:marBottom w:val="0"/>
                  <w:divBdr>
                    <w:top w:val="none" w:sz="0" w:space="0" w:color="auto"/>
                    <w:left w:val="none" w:sz="0" w:space="0" w:color="auto"/>
                    <w:bottom w:val="none" w:sz="0" w:space="0" w:color="auto"/>
                    <w:right w:val="none" w:sz="0" w:space="0" w:color="auto"/>
                  </w:divBdr>
                  <w:divsChild>
                    <w:div w:id="1216357207">
                      <w:marLeft w:val="0"/>
                      <w:marRight w:val="0"/>
                      <w:marTop w:val="0"/>
                      <w:marBottom w:val="0"/>
                      <w:divBdr>
                        <w:top w:val="none" w:sz="0" w:space="0" w:color="auto"/>
                        <w:left w:val="none" w:sz="0" w:space="0" w:color="auto"/>
                        <w:bottom w:val="none" w:sz="0" w:space="0" w:color="auto"/>
                        <w:right w:val="none" w:sz="0" w:space="0" w:color="auto"/>
                      </w:divBdr>
                    </w:div>
                    <w:div w:id="1609309408">
                      <w:marLeft w:val="0"/>
                      <w:marRight w:val="0"/>
                      <w:marTop w:val="120"/>
                      <w:marBottom w:val="0"/>
                      <w:divBdr>
                        <w:top w:val="none" w:sz="0" w:space="0" w:color="auto"/>
                        <w:left w:val="none" w:sz="0" w:space="0" w:color="auto"/>
                        <w:bottom w:val="none" w:sz="0" w:space="0" w:color="auto"/>
                        <w:right w:val="none" w:sz="0" w:space="0" w:color="auto"/>
                      </w:divBdr>
                    </w:div>
                  </w:divsChild>
                </w:div>
                <w:div w:id="2064719947">
                  <w:marLeft w:val="0"/>
                  <w:marRight w:val="0"/>
                  <w:marTop w:val="0"/>
                  <w:marBottom w:val="0"/>
                  <w:divBdr>
                    <w:top w:val="none" w:sz="0" w:space="0" w:color="auto"/>
                    <w:left w:val="none" w:sz="0" w:space="0" w:color="auto"/>
                    <w:bottom w:val="none" w:sz="0" w:space="0" w:color="auto"/>
                    <w:right w:val="none" w:sz="0" w:space="0" w:color="auto"/>
                  </w:divBdr>
                  <w:divsChild>
                    <w:div w:id="1233396341">
                      <w:marLeft w:val="0"/>
                      <w:marRight w:val="0"/>
                      <w:marTop w:val="0"/>
                      <w:marBottom w:val="0"/>
                      <w:divBdr>
                        <w:top w:val="none" w:sz="0" w:space="0" w:color="auto"/>
                        <w:left w:val="none" w:sz="0" w:space="0" w:color="auto"/>
                        <w:bottom w:val="none" w:sz="0" w:space="0" w:color="auto"/>
                        <w:right w:val="none" w:sz="0" w:space="0" w:color="auto"/>
                      </w:divBdr>
                    </w:div>
                    <w:div w:id="13433891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67075388">
      <w:bodyDiv w:val="1"/>
      <w:marLeft w:val="0"/>
      <w:marRight w:val="0"/>
      <w:marTop w:val="0"/>
      <w:marBottom w:val="0"/>
      <w:divBdr>
        <w:top w:val="none" w:sz="0" w:space="0" w:color="auto"/>
        <w:left w:val="none" w:sz="0" w:space="0" w:color="auto"/>
        <w:bottom w:val="none" w:sz="0" w:space="0" w:color="auto"/>
        <w:right w:val="none" w:sz="0" w:space="0" w:color="auto"/>
      </w:divBdr>
      <w:divsChild>
        <w:div w:id="166528639">
          <w:marLeft w:val="0"/>
          <w:marRight w:val="0"/>
          <w:marTop w:val="0"/>
          <w:marBottom w:val="0"/>
          <w:divBdr>
            <w:top w:val="none" w:sz="0" w:space="0" w:color="auto"/>
            <w:left w:val="none" w:sz="0" w:space="0" w:color="auto"/>
            <w:bottom w:val="none" w:sz="0" w:space="0" w:color="auto"/>
            <w:right w:val="none" w:sz="0" w:space="0" w:color="auto"/>
          </w:divBdr>
          <w:divsChild>
            <w:div w:id="214202440">
              <w:marLeft w:val="0"/>
              <w:marRight w:val="0"/>
              <w:marTop w:val="0"/>
              <w:marBottom w:val="0"/>
              <w:divBdr>
                <w:top w:val="none" w:sz="0" w:space="0" w:color="auto"/>
                <w:left w:val="none" w:sz="0" w:space="0" w:color="auto"/>
                <w:bottom w:val="none" w:sz="0" w:space="0" w:color="auto"/>
                <w:right w:val="none" w:sz="0" w:space="0" w:color="auto"/>
              </w:divBdr>
              <w:divsChild>
                <w:div w:id="127936525">
                  <w:marLeft w:val="0"/>
                  <w:marRight w:val="0"/>
                  <w:marTop w:val="120"/>
                  <w:marBottom w:val="0"/>
                  <w:divBdr>
                    <w:top w:val="none" w:sz="0" w:space="0" w:color="auto"/>
                    <w:left w:val="none" w:sz="0" w:space="0" w:color="auto"/>
                    <w:bottom w:val="none" w:sz="0" w:space="0" w:color="auto"/>
                    <w:right w:val="none" w:sz="0" w:space="0" w:color="auto"/>
                  </w:divBdr>
                </w:div>
                <w:div w:id="293756431">
                  <w:marLeft w:val="0"/>
                  <w:marRight w:val="0"/>
                  <w:marTop w:val="0"/>
                  <w:marBottom w:val="0"/>
                  <w:divBdr>
                    <w:top w:val="none" w:sz="0" w:space="0" w:color="auto"/>
                    <w:left w:val="none" w:sz="0" w:space="0" w:color="auto"/>
                    <w:bottom w:val="none" w:sz="0" w:space="0" w:color="auto"/>
                    <w:right w:val="none" w:sz="0" w:space="0" w:color="auto"/>
                  </w:divBdr>
                </w:div>
              </w:divsChild>
            </w:div>
            <w:div w:id="1054082487">
              <w:marLeft w:val="0"/>
              <w:marRight w:val="0"/>
              <w:marTop w:val="0"/>
              <w:marBottom w:val="0"/>
              <w:divBdr>
                <w:top w:val="none" w:sz="0" w:space="0" w:color="auto"/>
                <w:left w:val="none" w:sz="0" w:space="0" w:color="auto"/>
                <w:bottom w:val="none" w:sz="0" w:space="0" w:color="auto"/>
                <w:right w:val="none" w:sz="0" w:space="0" w:color="auto"/>
              </w:divBdr>
              <w:divsChild>
                <w:div w:id="380786135">
                  <w:marLeft w:val="0"/>
                  <w:marRight w:val="0"/>
                  <w:marTop w:val="120"/>
                  <w:marBottom w:val="0"/>
                  <w:divBdr>
                    <w:top w:val="none" w:sz="0" w:space="0" w:color="auto"/>
                    <w:left w:val="none" w:sz="0" w:space="0" w:color="auto"/>
                    <w:bottom w:val="none" w:sz="0" w:space="0" w:color="auto"/>
                    <w:right w:val="none" w:sz="0" w:space="0" w:color="auto"/>
                  </w:divBdr>
                </w:div>
                <w:div w:id="954018053">
                  <w:marLeft w:val="0"/>
                  <w:marRight w:val="0"/>
                  <w:marTop w:val="0"/>
                  <w:marBottom w:val="0"/>
                  <w:divBdr>
                    <w:top w:val="none" w:sz="0" w:space="0" w:color="auto"/>
                    <w:left w:val="none" w:sz="0" w:space="0" w:color="auto"/>
                    <w:bottom w:val="none" w:sz="0" w:space="0" w:color="auto"/>
                    <w:right w:val="none" w:sz="0" w:space="0" w:color="auto"/>
                  </w:divBdr>
                </w:div>
              </w:divsChild>
            </w:div>
            <w:div w:id="1174540539">
              <w:marLeft w:val="0"/>
              <w:marRight w:val="0"/>
              <w:marTop w:val="0"/>
              <w:marBottom w:val="0"/>
              <w:divBdr>
                <w:top w:val="none" w:sz="0" w:space="0" w:color="auto"/>
                <w:left w:val="none" w:sz="0" w:space="0" w:color="auto"/>
                <w:bottom w:val="none" w:sz="0" w:space="0" w:color="auto"/>
                <w:right w:val="none" w:sz="0" w:space="0" w:color="auto"/>
              </w:divBdr>
              <w:divsChild>
                <w:div w:id="734668814">
                  <w:marLeft w:val="0"/>
                  <w:marRight w:val="0"/>
                  <w:marTop w:val="0"/>
                  <w:marBottom w:val="0"/>
                  <w:divBdr>
                    <w:top w:val="none" w:sz="0" w:space="0" w:color="auto"/>
                    <w:left w:val="none" w:sz="0" w:space="0" w:color="auto"/>
                    <w:bottom w:val="none" w:sz="0" w:space="0" w:color="auto"/>
                    <w:right w:val="none" w:sz="0" w:space="0" w:color="auto"/>
                  </w:divBdr>
                </w:div>
                <w:div w:id="1037202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72861691">
      <w:bodyDiv w:val="1"/>
      <w:marLeft w:val="0"/>
      <w:marRight w:val="0"/>
      <w:marTop w:val="0"/>
      <w:marBottom w:val="0"/>
      <w:divBdr>
        <w:top w:val="none" w:sz="0" w:space="0" w:color="auto"/>
        <w:left w:val="none" w:sz="0" w:space="0" w:color="auto"/>
        <w:bottom w:val="none" w:sz="0" w:space="0" w:color="auto"/>
        <w:right w:val="none" w:sz="0" w:space="0" w:color="auto"/>
      </w:divBdr>
      <w:divsChild>
        <w:div w:id="14500070">
          <w:marLeft w:val="0"/>
          <w:marRight w:val="0"/>
          <w:marTop w:val="0"/>
          <w:marBottom w:val="0"/>
          <w:divBdr>
            <w:top w:val="none" w:sz="0" w:space="0" w:color="auto"/>
            <w:left w:val="none" w:sz="0" w:space="0" w:color="auto"/>
            <w:bottom w:val="none" w:sz="0" w:space="0" w:color="auto"/>
            <w:right w:val="none" w:sz="0" w:space="0" w:color="auto"/>
          </w:divBdr>
          <w:divsChild>
            <w:div w:id="658312520">
              <w:marLeft w:val="0"/>
              <w:marRight w:val="0"/>
              <w:marTop w:val="0"/>
              <w:marBottom w:val="0"/>
              <w:divBdr>
                <w:top w:val="none" w:sz="0" w:space="0" w:color="auto"/>
                <w:left w:val="none" w:sz="0" w:space="0" w:color="auto"/>
                <w:bottom w:val="none" w:sz="0" w:space="0" w:color="auto"/>
                <w:right w:val="none" w:sz="0" w:space="0" w:color="auto"/>
              </w:divBdr>
              <w:divsChild>
                <w:div w:id="568426322">
                  <w:marLeft w:val="0"/>
                  <w:marRight w:val="0"/>
                  <w:marTop w:val="0"/>
                  <w:marBottom w:val="0"/>
                  <w:divBdr>
                    <w:top w:val="none" w:sz="0" w:space="0" w:color="auto"/>
                    <w:left w:val="none" w:sz="0" w:space="0" w:color="auto"/>
                    <w:bottom w:val="none" w:sz="0" w:space="0" w:color="auto"/>
                    <w:right w:val="none" w:sz="0" w:space="0" w:color="auto"/>
                  </w:divBdr>
                  <w:divsChild>
                    <w:div w:id="127600279">
                      <w:marLeft w:val="0"/>
                      <w:marRight w:val="0"/>
                      <w:marTop w:val="120"/>
                      <w:marBottom w:val="0"/>
                      <w:divBdr>
                        <w:top w:val="none" w:sz="0" w:space="0" w:color="auto"/>
                        <w:left w:val="none" w:sz="0" w:space="0" w:color="auto"/>
                        <w:bottom w:val="none" w:sz="0" w:space="0" w:color="auto"/>
                        <w:right w:val="none" w:sz="0" w:space="0" w:color="auto"/>
                      </w:divBdr>
                    </w:div>
                    <w:div w:id="1705522931">
                      <w:marLeft w:val="0"/>
                      <w:marRight w:val="0"/>
                      <w:marTop w:val="0"/>
                      <w:marBottom w:val="0"/>
                      <w:divBdr>
                        <w:top w:val="none" w:sz="0" w:space="0" w:color="auto"/>
                        <w:left w:val="none" w:sz="0" w:space="0" w:color="auto"/>
                        <w:bottom w:val="none" w:sz="0" w:space="0" w:color="auto"/>
                        <w:right w:val="none" w:sz="0" w:space="0" w:color="auto"/>
                      </w:divBdr>
                    </w:div>
                  </w:divsChild>
                </w:div>
                <w:div w:id="1616060889">
                  <w:marLeft w:val="0"/>
                  <w:marRight w:val="0"/>
                  <w:marTop w:val="0"/>
                  <w:marBottom w:val="0"/>
                  <w:divBdr>
                    <w:top w:val="none" w:sz="0" w:space="0" w:color="auto"/>
                    <w:left w:val="none" w:sz="0" w:space="0" w:color="auto"/>
                    <w:bottom w:val="none" w:sz="0" w:space="0" w:color="auto"/>
                    <w:right w:val="none" w:sz="0" w:space="0" w:color="auto"/>
                  </w:divBdr>
                  <w:divsChild>
                    <w:div w:id="1267075889">
                      <w:marLeft w:val="0"/>
                      <w:marRight w:val="0"/>
                      <w:marTop w:val="0"/>
                      <w:marBottom w:val="0"/>
                      <w:divBdr>
                        <w:top w:val="none" w:sz="0" w:space="0" w:color="auto"/>
                        <w:left w:val="none" w:sz="0" w:space="0" w:color="auto"/>
                        <w:bottom w:val="none" w:sz="0" w:space="0" w:color="auto"/>
                        <w:right w:val="none" w:sz="0" w:space="0" w:color="auto"/>
                      </w:divBdr>
                    </w:div>
                    <w:div w:id="2145657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9412177">
      <w:bodyDiv w:val="1"/>
      <w:marLeft w:val="0"/>
      <w:marRight w:val="0"/>
      <w:marTop w:val="0"/>
      <w:marBottom w:val="0"/>
      <w:divBdr>
        <w:top w:val="none" w:sz="0" w:space="0" w:color="auto"/>
        <w:left w:val="none" w:sz="0" w:space="0" w:color="auto"/>
        <w:bottom w:val="none" w:sz="0" w:space="0" w:color="auto"/>
        <w:right w:val="none" w:sz="0" w:space="0" w:color="auto"/>
      </w:divBdr>
      <w:divsChild>
        <w:div w:id="391732880">
          <w:marLeft w:val="0"/>
          <w:marRight w:val="0"/>
          <w:marTop w:val="0"/>
          <w:marBottom w:val="0"/>
          <w:divBdr>
            <w:top w:val="none" w:sz="0" w:space="0" w:color="auto"/>
            <w:left w:val="none" w:sz="0" w:space="0" w:color="auto"/>
            <w:bottom w:val="none" w:sz="0" w:space="0" w:color="auto"/>
            <w:right w:val="none" w:sz="0" w:space="0" w:color="auto"/>
          </w:divBdr>
          <w:divsChild>
            <w:div w:id="833105081">
              <w:marLeft w:val="0"/>
              <w:marRight w:val="0"/>
              <w:marTop w:val="120"/>
              <w:marBottom w:val="0"/>
              <w:divBdr>
                <w:top w:val="none" w:sz="0" w:space="0" w:color="auto"/>
                <w:left w:val="none" w:sz="0" w:space="0" w:color="auto"/>
                <w:bottom w:val="none" w:sz="0" w:space="0" w:color="auto"/>
                <w:right w:val="none" w:sz="0" w:space="0" w:color="auto"/>
              </w:divBdr>
            </w:div>
            <w:div w:id="1493447801">
              <w:marLeft w:val="0"/>
              <w:marRight w:val="0"/>
              <w:marTop w:val="0"/>
              <w:marBottom w:val="0"/>
              <w:divBdr>
                <w:top w:val="none" w:sz="0" w:space="0" w:color="auto"/>
                <w:left w:val="none" w:sz="0" w:space="0" w:color="auto"/>
                <w:bottom w:val="none" w:sz="0" w:space="0" w:color="auto"/>
                <w:right w:val="none" w:sz="0" w:space="0" w:color="auto"/>
              </w:divBdr>
            </w:div>
          </w:divsChild>
        </w:div>
        <w:div w:id="801843862">
          <w:marLeft w:val="0"/>
          <w:marRight w:val="0"/>
          <w:marTop w:val="0"/>
          <w:marBottom w:val="0"/>
          <w:divBdr>
            <w:top w:val="none" w:sz="0" w:space="0" w:color="auto"/>
            <w:left w:val="none" w:sz="0" w:space="0" w:color="auto"/>
            <w:bottom w:val="none" w:sz="0" w:space="0" w:color="auto"/>
            <w:right w:val="none" w:sz="0" w:space="0" w:color="auto"/>
          </w:divBdr>
          <w:divsChild>
            <w:div w:id="1540623475">
              <w:marLeft w:val="0"/>
              <w:marRight w:val="0"/>
              <w:marTop w:val="0"/>
              <w:marBottom w:val="0"/>
              <w:divBdr>
                <w:top w:val="none" w:sz="0" w:space="0" w:color="auto"/>
                <w:left w:val="none" w:sz="0" w:space="0" w:color="auto"/>
                <w:bottom w:val="none" w:sz="0" w:space="0" w:color="auto"/>
                <w:right w:val="none" w:sz="0" w:space="0" w:color="auto"/>
              </w:divBdr>
            </w:div>
            <w:div w:id="18705336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9431075">
      <w:bodyDiv w:val="1"/>
      <w:marLeft w:val="0"/>
      <w:marRight w:val="0"/>
      <w:marTop w:val="0"/>
      <w:marBottom w:val="0"/>
      <w:divBdr>
        <w:top w:val="none" w:sz="0" w:space="0" w:color="auto"/>
        <w:left w:val="none" w:sz="0" w:space="0" w:color="auto"/>
        <w:bottom w:val="none" w:sz="0" w:space="0" w:color="auto"/>
        <w:right w:val="none" w:sz="0" w:space="0" w:color="auto"/>
      </w:divBdr>
      <w:divsChild>
        <w:div w:id="2105492950">
          <w:marLeft w:val="0"/>
          <w:marRight w:val="0"/>
          <w:marTop w:val="0"/>
          <w:marBottom w:val="0"/>
          <w:divBdr>
            <w:top w:val="none" w:sz="0" w:space="0" w:color="auto"/>
            <w:left w:val="none" w:sz="0" w:space="0" w:color="auto"/>
            <w:bottom w:val="none" w:sz="0" w:space="0" w:color="auto"/>
            <w:right w:val="none" w:sz="0" w:space="0" w:color="auto"/>
          </w:divBdr>
          <w:divsChild>
            <w:div w:id="447746733">
              <w:marLeft w:val="0"/>
              <w:marRight w:val="0"/>
              <w:marTop w:val="0"/>
              <w:marBottom w:val="0"/>
              <w:divBdr>
                <w:top w:val="none" w:sz="0" w:space="0" w:color="auto"/>
                <w:left w:val="none" w:sz="0" w:space="0" w:color="auto"/>
                <w:bottom w:val="none" w:sz="0" w:space="0" w:color="auto"/>
                <w:right w:val="none" w:sz="0" w:space="0" w:color="auto"/>
              </w:divBdr>
              <w:divsChild>
                <w:div w:id="958217968">
                  <w:marLeft w:val="0"/>
                  <w:marRight w:val="0"/>
                  <w:marTop w:val="0"/>
                  <w:marBottom w:val="0"/>
                  <w:divBdr>
                    <w:top w:val="none" w:sz="0" w:space="0" w:color="auto"/>
                    <w:left w:val="none" w:sz="0" w:space="0" w:color="auto"/>
                    <w:bottom w:val="none" w:sz="0" w:space="0" w:color="auto"/>
                    <w:right w:val="none" w:sz="0" w:space="0" w:color="auto"/>
                  </w:divBdr>
                  <w:divsChild>
                    <w:div w:id="1060858660">
                      <w:marLeft w:val="0"/>
                      <w:marRight w:val="0"/>
                      <w:marTop w:val="120"/>
                      <w:marBottom w:val="0"/>
                      <w:divBdr>
                        <w:top w:val="none" w:sz="0" w:space="0" w:color="auto"/>
                        <w:left w:val="none" w:sz="0" w:space="0" w:color="auto"/>
                        <w:bottom w:val="none" w:sz="0" w:space="0" w:color="auto"/>
                        <w:right w:val="none" w:sz="0" w:space="0" w:color="auto"/>
                      </w:divBdr>
                    </w:div>
                    <w:div w:id="1895121169">
                      <w:marLeft w:val="0"/>
                      <w:marRight w:val="0"/>
                      <w:marTop w:val="0"/>
                      <w:marBottom w:val="0"/>
                      <w:divBdr>
                        <w:top w:val="none" w:sz="0" w:space="0" w:color="auto"/>
                        <w:left w:val="none" w:sz="0" w:space="0" w:color="auto"/>
                        <w:bottom w:val="none" w:sz="0" w:space="0" w:color="auto"/>
                        <w:right w:val="none" w:sz="0" w:space="0" w:color="auto"/>
                      </w:divBdr>
                    </w:div>
                  </w:divsChild>
                </w:div>
                <w:div w:id="1264995228">
                  <w:marLeft w:val="0"/>
                  <w:marRight w:val="0"/>
                  <w:marTop w:val="0"/>
                  <w:marBottom w:val="0"/>
                  <w:divBdr>
                    <w:top w:val="none" w:sz="0" w:space="0" w:color="auto"/>
                    <w:left w:val="none" w:sz="0" w:space="0" w:color="auto"/>
                    <w:bottom w:val="none" w:sz="0" w:space="0" w:color="auto"/>
                    <w:right w:val="none" w:sz="0" w:space="0" w:color="auto"/>
                  </w:divBdr>
                  <w:divsChild>
                    <w:div w:id="678778981">
                      <w:marLeft w:val="0"/>
                      <w:marRight w:val="0"/>
                      <w:marTop w:val="120"/>
                      <w:marBottom w:val="0"/>
                      <w:divBdr>
                        <w:top w:val="none" w:sz="0" w:space="0" w:color="auto"/>
                        <w:left w:val="none" w:sz="0" w:space="0" w:color="auto"/>
                        <w:bottom w:val="none" w:sz="0" w:space="0" w:color="auto"/>
                        <w:right w:val="none" w:sz="0" w:space="0" w:color="auto"/>
                      </w:divBdr>
                    </w:div>
                    <w:div w:id="7032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4356">
      <w:bodyDiv w:val="1"/>
      <w:marLeft w:val="0"/>
      <w:marRight w:val="0"/>
      <w:marTop w:val="0"/>
      <w:marBottom w:val="0"/>
      <w:divBdr>
        <w:top w:val="none" w:sz="0" w:space="0" w:color="auto"/>
        <w:left w:val="none" w:sz="0" w:space="0" w:color="auto"/>
        <w:bottom w:val="none" w:sz="0" w:space="0" w:color="auto"/>
        <w:right w:val="none" w:sz="0" w:space="0" w:color="auto"/>
      </w:divBdr>
    </w:div>
    <w:div w:id="1294091917">
      <w:bodyDiv w:val="1"/>
      <w:marLeft w:val="0"/>
      <w:marRight w:val="0"/>
      <w:marTop w:val="0"/>
      <w:marBottom w:val="0"/>
      <w:divBdr>
        <w:top w:val="none" w:sz="0" w:space="0" w:color="auto"/>
        <w:left w:val="none" w:sz="0" w:space="0" w:color="auto"/>
        <w:bottom w:val="none" w:sz="0" w:space="0" w:color="auto"/>
        <w:right w:val="none" w:sz="0" w:space="0" w:color="auto"/>
      </w:divBdr>
      <w:divsChild>
        <w:div w:id="1282806754">
          <w:marLeft w:val="0"/>
          <w:marRight w:val="0"/>
          <w:marTop w:val="0"/>
          <w:marBottom w:val="0"/>
          <w:divBdr>
            <w:top w:val="none" w:sz="0" w:space="0" w:color="auto"/>
            <w:left w:val="none" w:sz="0" w:space="0" w:color="auto"/>
            <w:bottom w:val="none" w:sz="0" w:space="0" w:color="auto"/>
            <w:right w:val="none" w:sz="0" w:space="0" w:color="auto"/>
          </w:divBdr>
        </w:div>
      </w:divsChild>
    </w:div>
    <w:div w:id="12958724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606">
          <w:marLeft w:val="0"/>
          <w:marRight w:val="0"/>
          <w:marTop w:val="0"/>
          <w:marBottom w:val="0"/>
          <w:divBdr>
            <w:top w:val="none" w:sz="0" w:space="0" w:color="auto"/>
            <w:left w:val="none" w:sz="0" w:space="0" w:color="auto"/>
            <w:bottom w:val="none" w:sz="0" w:space="0" w:color="auto"/>
            <w:right w:val="none" w:sz="0" w:space="0" w:color="auto"/>
          </w:divBdr>
          <w:divsChild>
            <w:div w:id="1077288248">
              <w:marLeft w:val="0"/>
              <w:marRight w:val="0"/>
              <w:marTop w:val="0"/>
              <w:marBottom w:val="0"/>
              <w:divBdr>
                <w:top w:val="none" w:sz="0" w:space="0" w:color="auto"/>
                <w:left w:val="none" w:sz="0" w:space="0" w:color="auto"/>
                <w:bottom w:val="none" w:sz="0" w:space="0" w:color="auto"/>
                <w:right w:val="none" w:sz="0" w:space="0" w:color="auto"/>
              </w:divBdr>
              <w:divsChild>
                <w:div w:id="146481500">
                  <w:marLeft w:val="0"/>
                  <w:marRight w:val="0"/>
                  <w:marTop w:val="120"/>
                  <w:marBottom w:val="0"/>
                  <w:divBdr>
                    <w:top w:val="none" w:sz="0" w:space="0" w:color="auto"/>
                    <w:left w:val="none" w:sz="0" w:space="0" w:color="auto"/>
                    <w:bottom w:val="none" w:sz="0" w:space="0" w:color="auto"/>
                    <w:right w:val="none" w:sz="0" w:space="0" w:color="auto"/>
                  </w:divBdr>
                </w:div>
                <w:div w:id="1501264883">
                  <w:marLeft w:val="0"/>
                  <w:marRight w:val="0"/>
                  <w:marTop w:val="0"/>
                  <w:marBottom w:val="0"/>
                  <w:divBdr>
                    <w:top w:val="none" w:sz="0" w:space="0" w:color="auto"/>
                    <w:left w:val="none" w:sz="0" w:space="0" w:color="auto"/>
                    <w:bottom w:val="none" w:sz="0" w:space="0" w:color="auto"/>
                    <w:right w:val="none" w:sz="0" w:space="0" w:color="auto"/>
                  </w:divBdr>
                </w:div>
              </w:divsChild>
            </w:div>
            <w:div w:id="1387753136">
              <w:marLeft w:val="0"/>
              <w:marRight w:val="0"/>
              <w:marTop w:val="0"/>
              <w:marBottom w:val="0"/>
              <w:divBdr>
                <w:top w:val="none" w:sz="0" w:space="0" w:color="auto"/>
                <w:left w:val="none" w:sz="0" w:space="0" w:color="auto"/>
                <w:bottom w:val="none" w:sz="0" w:space="0" w:color="auto"/>
                <w:right w:val="none" w:sz="0" w:space="0" w:color="auto"/>
              </w:divBdr>
              <w:divsChild>
                <w:div w:id="1328284040">
                  <w:marLeft w:val="0"/>
                  <w:marRight w:val="0"/>
                  <w:marTop w:val="0"/>
                  <w:marBottom w:val="0"/>
                  <w:divBdr>
                    <w:top w:val="none" w:sz="0" w:space="0" w:color="auto"/>
                    <w:left w:val="none" w:sz="0" w:space="0" w:color="auto"/>
                    <w:bottom w:val="none" w:sz="0" w:space="0" w:color="auto"/>
                    <w:right w:val="none" w:sz="0" w:space="0" w:color="auto"/>
                  </w:divBdr>
                </w:div>
                <w:div w:id="1870022079">
                  <w:marLeft w:val="0"/>
                  <w:marRight w:val="0"/>
                  <w:marTop w:val="120"/>
                  <w:marBottom w:val="0"/>
                  <w:divBdr>
                    <w:top w:val="none" w:sz="0" w:space="0" w:color="auto"/>
                    <w:left w:val="none" w:sz="0" w:space="0" w:color="auto"/>
                    <w:bottom w:val="none" w:sz="0" w:space="0" w:color="auto"/>
                    <w:right w:val="none" w:sz="0" w:space="0" w:color="auto"/>
                  </w:divBdr>
                </w:div>
              </w:divsChild>
            </w:div>
            <w:div w:id="1636065800">
              <w:marLeft w:val="0"/>
              <w:marRight w:val="0"/>
              <w:marTop w:val="0"/>
              <w:marBottom w:val="0"/>
              <w:divBdr>
                <w:top w:val="none" w:sz="0" w:space="0" w:color="auto"/>
                <w:left w:val="none" w:sz="0" w:space="0" w:color="auto"/>
                <w:bottom w:val="none" w:sz="0" w:space="0" w:color="auto"/>
                <w:right w:val="none" w:sz="0" w:space="0" w:color="auto"/>
              </w:divBdr>
              <w:divsChild>
                <w:div w:id="1170370901">
                  <w:marLeft w:val="0"/>
                  <w:marRight w:val="0"/>
                  <w:marTop w:val="0"/>
                  <w:marBottom w:val="0"/>
                  <w:divBdr>
                    <w:top w:val="none" w:sz="0" w:space="0" w:color="auto"/>
                    <w:left w:val="none" w:sz="0" w:space="0" w:color="auto"/>
                    <w:bottom w:val="none" w:sz="0" w:space="0" w:color="auto"/>
                    <w:right w:val="none" w:sz="0" w:space="0" w:color="auto"/>
                  </w:divBdr>
                </w:div>
                <w:div w:id="1347632724">
                  <w:marLeft w:val="0"/>
                  <w:marRight w:val="0"/>
                  <w:marTop w:val="120"/>
                  <w:marBottom w:val="0"/>
                  <w:divBdr>
                    <w:top w:val="none" w:sz="0" w:space="0" w:color="auto"/>
                    <w:left w:val="none" w:sz="0" w:space="0" w:color="auto"/>
                    <w:bottom w:val="none" w:sz="0" w:space="0" w:color="auto"/>
                    <w:right w:val="none" w:sz="0" w:space="0" w:color="auto"/>
                  </w:divBdr>
                </w:div>
              </w:divsChild>
            </w:div>
            <w:div w:id="1955012092">
              <w:marLeft w:val="0"/>
              <w:marRight w:val="0"/>
              <w:marTop w:val="0"/>
              <w:marBottom w:val="0"/>
              <w:divBdr>
                <w:top w:val="none" w:sz="0" w:space="0" w:color="auto"/>
                <w:left w:val="none" w:sz="0" w:space="0" w:color="auto"/>
                <w:bottom w:val="none" w:sz="0" w:space="0" w:color="auto"/>
                <w:right w:val="none" w:sz="0" w:space="0" w:color="auto"/>
              </w:divBdr>
              <w:divsChild>
                <w:div w:id="1761486553">
                  <w:marLeft w:val="0"/>
                  <w:marRight w:val="0"/>
                  <w:marTop w:val="0"/>
                  <w:marBottom w:val="0"/>
                  <w:divBdr>
                    <w:top w:val="none" w:sz="0" w:space="0" w:color="auto"/>
                    <w:left w:val="none" w:sz="0" w:space="0" w:color="auto"/>
                    <w:bottom w:val="none" w:sz="0" w:space="0" w:color="auto"/>
                    <w:right w:val="none" w:sz="0" w:space="0" w:color="auto"/>
                  </w:divBdr>
                </w:div>
                <w:div w:id="1767993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98562971">
      <w:bodyDiv w:val="1"/>
      <w:marLeft w:val="0"/>
      <w:marRight w:val="0"/>
      <w:marTop w:val="0"/>
      <w:marBottom w:val="0"/>
      <w:divBdr>
        <w:top w:val="none" w:sz="0" w:space="0" w:color="auto"/>
        <w:left w:val="none" w:sz="0" w:space="0" w:color="auto"/>
        <w:bottom w:val="none" w:sz="0" w:space="0" w:color="auto"/>
        <w:right w:val="none" w:sz="0" w:space="0" w:color="auto"/>
      </w:divBdr>
      <w:divsChild>
        <w:div w:id="530999192">
          <w:marLeft w:val="0"/>
          <w:marRight w:val="0"/>
          <w:marTop w:val="0"/>
          <w:marBottom w:val="0"/>
          <w:divBdr>
            <w:top w:val="none" w:sz="0" w:space="0" w:color="auto"/>
            <w:left w:val="none" w:sz="0" w:space="0" w:color="auto"/>
            <w:bottom w:val="none" w:sz="0" w:space="0" w:color="auto"/>
            <w:right w:val="none" w:sz="0" w:space="0" w:color="auto"/>
          </w:divBdr>
        </w:div>
      </w:divsChild>
    </w:div>
    <w:div w:id="1310790859">
      <w:bodyDiv w:val="1"/>
      <w:marLeft w:val="0"/>
      <w:marRight w:val="0"/>
      <w:marTop w:val="0"/>
      <w:marBottom w:val="0"/>
      <w:divBdr>
        <w:top w:val="none" w:sz="0" w:space="0" w:color="auto"/>
        <w:left w:val="none" w:sz="0" w:space="0" w:color="auto"/>
        <w:bottom w:val="none" w:sz="0" w:space="0" w:color="auto"/>
        <w:right w:val="none" w:sz="0" w:space="0" w:color="auto"/>
      </w:divBdr>
      <w:divsChild>
        <w:div w:id="1276210706">
          <w:marLeft w:val="0"/>
          <w:marRight w:val="0"/>
          <w:marTop w:val="0"/>
          <w:marBottom w:val="0"/>
          <w:divBdr>
            <w:top w:val="none" w:sz="0" w:space="0" w:color="auto"/>
            <w:left w:val="none" w:sz="0" w:space="0" w:color="auto"/>
            <w:bottom w:val="none" w:sz="0" w:space="0" w:color="auto"/>
            <w:right w:val="none" w:sz="0" w:space="0" w:color="auto"/>
          </w:divBdr>
        </w:div>
      </w:divsChild>
    </w:div>
    <w:div w:id="1343316158">
      <w:bodyDiv w:val="1"/>
      <w:marLeft w:val="0"/>
      <w:marRight w:val="0"/>
      <w:marTop w:val="0"/>
      <w:marBottom w:val="0"/>
      <w:divBdr>
        <w:top w:val="none" w:sz="0" w:space="0" w:color="auto"/>
        <w:left w:val="none" w:sz="0" w:space="0" w:color="auto"/>
        <w:bottom w:val="none" w:sz="0" w:space="0" w:color="auto"/>
        <w:right w:val="none" w:sz="0" w:space="0" w:color="auto"/>
      </w:divBdr>
    </w:div>
    <w:div w:id="1344235971">
      <w:bodyDiv w:val="1"/>
      <w:marLeft w:val="0"/>
      <w:marRight w:val="0"/>
      <w:marTop w:val="0"/>
      <w:marBottom w:val="0"/>
      <w:divBdr>
        <w:top w:val="none" w:sz="0" w:space="0" w:color="auto"/>
        <w:left w:val="none" w:sz="0" w:space="0" w:color="auto"/>
        <w:bottom w:val="none" w:sz="0" w:space="0" w:color="auto"/>
        <w:right w:val="none" w:sz="0" w:space="0" w:color="auto"/>
      </w:divBdr>
      <w:divsChild>
        <w:div w:id="280260374">
          <w:marLeft w:val="0"/>
          <w:marRight w:val="0"/>
          <w:marTop w:val="0"/>
          <w:marBottom w:val="0"/>
          <w:divBdr>
            <w:top w:val="none" w:sz="0" w:space="0" w:color="auto"/>
            <w:left w:val="none" w:sz="0" w:space="0" w:color="auto"/>
            <w:bottom w:val="none" w:sz="0" w:space="0" w:color="auto"/>
            <w:right w:val="none" w:sz="0" w:space="0" w:color="auto"/>
          </w:divBdr>
          <w:divsChild>
            <w:div w:id="1944263472">
              <w:marLeft w:val="0"/>
              <w:marRight w:val="0"/>
              <w:marTop w:val="0"/>
              <w:marBottom w:val="0"/>
              <w:divBdr>
                <w:top w:val="none" w:sz="0" w:space="0" w:color="auto"/>
                <w:left w:val="none" w:sz="0" w:space="0" w:color="auto"/>
                <w:bottom w:val="none" w:sz="0" w:space="0" w:color="auto"/>
                <w:right w:val="none" w:sz="0" w:space="0" w:color="auto"/>
              </w:divBdr>
              <w:divsChild>
                <w:div w:id="730494984">
                  <w:marLeft w:val="0"/>
                  <w:marRight w:val="0"/>
                  <w:marTop w:val="0"/>
                  <w:marBottom w:val="0"/>
                  <w:divBdr>
                    <w:top w:val="none" w:sz="0" w:space="0" w:color="auto"/>
                    <w:left w:val="none" w:sz="0" w:space="0" w:color="auto"/>
                    <w:bottom w:val="none" w:sz="0" w:space="0" w:color="auto"/>
                    <w:right w:val="none" w:sz="0" w:space="0" w:color="auto"/>
                  </w:divBdr>
                  <w:divsChild>
                    <w:div w:id="741371165">
                      <w:marLeft w:val="0"/>
                      <w:marRight w:val="0"/>
                      <w:marTop w:val="0"/>
                      <w:marBottom w:val="0"/>
                      <w:divBdr>
                        <w:top w:val="none" w:sz="0" w:space="0" w:color="auto"/>
                        <w:left w:val="none" w:sz="0" w:space="0" w:color="auto"/>
                        <w:bottom w:val="none" w:sz="0" w:space="0" w:color="auto"/>
                        <w:right w:val="none" w:sz="0" w:space="0" w:color="auto"/>
                      </w:divBdr>
                    </w:div>
                    <w:div w:id="1830755725">
                      <w:marLeft w:val="0"/>
                      <w:marRight w:val="0"/>
                      <w:marTop w:val="120"/>
                      <w:marBottom w:val="0"/>
                      <w:divBdr>
                        <w:top w:val="none" w:sz="0" w:space="0" w:color="auto"/>
                        <w:left w:val="none" w:sz="0" w:space="0" w:color="auto"/>
                        <w:bottom w:val="none" w:sz="0" w:space="0" w:color="auto"/>
                        <w:right w:val="none" w:sz="0" w:space="0" w:color="auto"/>
                      </w:divBdr>
                    </w:div>
                  </w:divsChild>
                </w:div>
                <w:div w:id="2046708914">
                  <w:marLeft w:val="0"/>
                  <w:marRight w:val="0"/>
                  <w:marTop w:val="0"/>
                  <w:marBottom w:val="0"/>
                  <w:divBdr>
                    <w:top w:val="none" w:sz="0" w:space="0" w:color="auto"/>
                    <w:left w:val="none" w:sz="0" w:space="0" w:color="auto"/>
                    <w:bottom w:val="none" w:sz="0" w:space="0" w:color="auto"/>
                    <w:right w:val="none" w:sz="0" w:space="0" w:color="auto"/>
                  </w:divBdr>
                  <w:divsChild>
                    <w:div w:id="1839540393">
                      <w:marLeft w:val="0"/>
                      <w:marRight w:val="0"/>
                      <w:marTop w:val="120"/>
                      <w:marBottom w:val="0"/>
                      <w:divBdr>
                        <w:top w:val="none" w:sz="0" w:space="0" w:color="auto"/>
                        <w:left w:val="none" w:sz="0" w:space="0" w:color="auto"/>
                        <w:bottom w:val="none" w:sz="0" w:space="0" w:color="auto"/>
                        <w:right w:val="none" w:sz="0" w:space="0" w:color="auto"/>
                      </w:divBdr>
                    </w:div>
                    <w:div w:id="19315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3827">
          <w:marLeft w:val="0"/>
          <w:marRight w:val="0"/>
          <w:marTop w:val="0"/>
          <w:marBottom w:val="0"/>
          <w:divBdr>
            <w:top w:val="none" w:sz="0" w:space="0" w:color="auto"/>
            <w:left w:val="none" w:sz="0" w:space="0" w:color="auto"/>
            <w:bottom w:val="none" w:sz="0" w:space="0" w:color="auto"/>
            <w:right w:val="none" w:sz="0" w:space="0" w:color="auto"/>
          </w:divBdr>
        </w:div>
        <w:div w:id="1867400366">
          <w:marLeft w:val="0"/>
          <w:marRight w:val="0"/>
          <w:marTop w:val="0"/>
          <w:marBottom w:val="0"/>
          <w:divBdr>
            <w:top w:val="none" w:sz="0" w:space="0" w:color="auto"/>
            <w:left w:val="none" w:sz="0" w:space="0" w:color="auto"/>
            <w:bottom w:val="none" w:sz="0" w:space="0" w:color="auto"/>
            <w:right w:val="none" w:sz="0" w:space="0" w:color="auto"/>
          </w:divBdr>
          <w:divsChild>
            <w:div w:id="1320309515">
              <w:marLeft w:val="0"/>
              <w:marRight w:val="0"/>
              <w:marTop w:val="0"/>
              <w:marBottom w:val="0"/>
              <w:divBdr>
                <w:top w:val="none" w:sz="0" w:space="0" w:color="auto"/>
                <w:left w:val="none" w:sz="0" w:space="0" w:color="auto"/>
                <w:bottom w:val="none" w:sz="0" w:space="0" w:color="auto"/>
                <w:right w:val="none" w:sz="0" w:space="0" w:color="auto"/>
              </w:divBdr>
            </w:div>
          </w:divsChild>
        </w:div>
        <w:div w:id="2020616137">
          <w:marLeft w:val="0"/>
          <w:marRight w:val="0"/>
          <w:marTop w:val="0"/>
          <w:marBottom w:val="0"/>
          <w:divBdr>
            <w:top w:val="none" w:sz="0" w:space="0" w:color="auto"/>
            <w:left w:val="none" w:sz="0" w:space="0" w:color="auto"/>
            <w:bottom w:val="none" w:sz="0" w:space="0" w:color="auto"/>
            <w:right w:val="none" w:sz="0" w:space="0" w:color="auto"/>
          </w:divBdr>
          <w:divsChild>
            <w:div w:id="1401248344">
              <w:marLeft w:val="0"/>
              <w:marRight w:val="0"/>
              <w:marTop w:val="0"/>
              <w:marBottom w:val="0"/>
              <w:divBdr>
                <w:top w:val="none" w:sz="0" w:space="0" w:color="auto"/>
                <w:left w:val="none" w:sz="0" w:space="0" w:color="auto"/>
                <w:bottom w:val="none" w:sz="0" w:space="0" w:color="auto"/>
                <w:right w:val="none" w:sz="0" w:space="0" w:color="auto"/>
              </w:divBdr>
            </w:div>
          </w:divsChild>
        </w:div>
        <w:div w:id="2079089426">
          <w:marLeft w:val="0"/>
          <w:marRight w:val="0"/>
          <w:marTop w:val="0"/>
          <w:marBottom w:val="0"/>
          <w:divBdr>
            <w:top w:val="none" w:sz="0" w:space="0" w:color="auto"/>
            <w:left w:val="none" w:sz="0" w:space="0" w:color="auto"/>
            <w:bottom w:val="none" w:sz="0" w:space="0" w:color="auto"/>
            <w:right w:val="none" w:sz="0" w:space="0" w:color="auto"/>
          </w:divBdr>
          <w:divsChild>
            <w:div w:id="13644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44">
      <w:bodyDiv w:val="1"/>
      <w:marLeft w:val="0"/>
      <w:marRight w:val="0"/>
      <w:marTop w:val="0"/>
      <w:marBottom w:val="0"/>
      <w:divBdr>
        <w:top w:val="none" w:sz="0" w:space="0" w:color="auto"/>
        <w:left w:val="none" w:sz="0" w:space="0" w:color="auto"/>
        <w:bottom w:val="none" w:sz="0" w:space="0" w:color="auto"/>
        <w:right w:val="none" w:sz="0" w:space="0" w:color="auto"/>
      </w:divBdr>
      <w:divsChild>
        <w:div w:id="1294553916">
          <w:marLeft w:val="0"/>
          <w:marRight w:val="0"/>
          <w:marTop w:val="0"/>
          <w:marBottom w:val="0"/>
          <w:divBdr>
            <w:top w:val="none" w:sz="0" w:space="0" w:color="auto"/>
            <w:left w:val="none" w:sz="0" w:space="0" w:color="auto"/>
            <w:bottom w:val="none" w:sz="0" w:space="0" w:color="auto"/>
            <w:right w:val="none" w:sz="0" w:space="0" w:color="auto"/>
          </w:divBdr>
        </w:div>
      </w:divsChild>
    </w:div>
    <w:div w:id="1347369549">
      <w:bodyDiv w:val="1"/>
      <w:marLeft w:val="0"/>
      <w:marRight w:val="0"/>
      <w:marTop w:val="0"/>
      <w:marBottom w:val="0"/>
      <w:divBdr>
        <w:top w:val="none" w:sz="0" w:space="0" w:color="auto"/>
        <w:left w:val="none" w:sz="0" w:space="0" w:color="auto"/>
        <w:bottom w:val="none" w:sz="0" w:space="0" w:color="auto"/>
        <w:right w:val="none" w:sz="0" w:space="0" w:color="auto"/>
      </w:divBdr>
      <w:divsChild>
        <w:div w:id="558173844">
          <w:marLeft w:val="0"/>
          <w:marRight w:val="0"/>
          <w:marTop w:val="0"/>
          <w:marBottom w:val="0"/>
          <w:divBdr>
            <w:top w:val="none" w:sz="0" w:space="0" w:color="auto"/>
            <w:left w:val="none" w:sz="0" w:space="0" w:color="auto"/>
            <w:bottom w:val="none" w:sz="0" w:space="0" w:color="auto"/>
            <w:right w:val="none" w:sz="0" w:space="0" w:color="auto"/>
          </w:divBdr>
          <w:divsChild>
            <w:div w:id="608587826">
              <w:marLeft w:val="0"/>
              <w:marRight w:val="0"/>
              <w:marTop w:val="0"/>
              <w:marBottom w:val="0"/>
              <w:divBdr>
                <w:top w:val="none" w:sz="0" w:space="0" w:color="auto"/>
                <w:left w:val="none" w:sz="0" w:space="0" w:color="auto"/>
                <w:bottom w:val="none" w:sz="0" w:space="0" w:color="auto"/>
                <w:right w:val="none" w:sz="0" w:space="0" w:color="auto"/>
              </w:divBdr>
              <w:divsChild>
                <w:div w:id="1032537756">
                  <w:marLeft w:val="0"/>
                  <w:marRight w:val="0"/>
                  <w:marTop w:val="120"/>
                  <w:marBottom w:val="0"/>
                  <w:divBdr>
                    <w:top w:val="none" w:sz="0" w:space="0" w:color="auto"/>
                    <w:left w:val="none" w:sz="0" w:space="0" w:color="auto"/>
                    <w:bottom w:val="none" w:sz="0" w:space="0" w:color="auto"/>
                    <w:right w:val="none" w:sz="0" w:space="0" w:color="auto"/>
                  </w:divBdr>
                </w:div>
                <w:div w:id="1926911793">
                  <w:marLeft w:val="0"/>
                  <w:marRight w:val="0"/>
                  <w:marTop w:val="0"/>
                  <w:marBottom w:val="0"/>
                  <w:divBdr>
                    <w:top w:val="none" w:sz="0" w:space="0" w:color="auto"/>
                    <w:left w:val="none" w:sz="0" w:space="0" w:color="auto"/>
                    <w:bottom w:val="none" w:sz="0" w:space="0" w:color="auto"/>
                    <w:right w:val="none" w:sz="0" w:space="0" w:color="auto"/>
                  </w:divBdr>
                </w:div>
              </w:divsChild>
            </w:div>
            <w:div w:id="633751685">
              <w:marLeft w:val="0"/>
              <w:marRight w:val="0"/>
              <w:marTop w:val="0"/>
              <w:marBottom w:val="0"/>
              <w:divBdr>
                <w:top w:val="none" w:sz="0" w:space="0" w:color="auto"/>
                <w:left w:val="none" w:sz="0" w:space="0" w:color="auto"/>
                <w:bottom w:val="none" w:sz="0" w:space="0" w:color="auto"/>
                <w:right w:val="none" w:sz="0" w:space="0" w:color="auto"/>
              </w:divBdr>
              <w:divsChild>
                <w:div w:id="143737656">
                  <w:marLeft w:val="0"/>
                  <w:marRight w:val="0"/>
                  <w:marTop w:val="120"/>
                  <w:marBottom w:val="0"/>
                  <w:divBdr>
                    <w:top w:val="none" w:sz="0" w:space="0" w:color="auto"/>
                    <w:left w:val="none" w:sz="0" w:space="0" w:color="auto"/>
                    <w:bottom w:val="none" w:sz="0" w:space="0" w:color="auto"/>
                    <w:right w:val="none" w:sz="0" w:space="0" w:color="auto"/>
                  </w:divBdr>
                </w:div>
                <w:div w:id="1327854578">
                  <w:marLeft w:val="0"/>
                  <w:marRight w:val="0"/>
                  <w:marTop w:val="0"/>
                  <w:marBottom w:val="0"/>
                  <w:divBdr>
                    <w:top w:val="none" w:sz="0" w:space="0" w:color="auto"/>
                    <w:left w:val="none" w:sz="0" w:space="0" w:color="auto"/>
                    <w:bottom w:val="none" w:sz="0" w:space="0" w:color="auto"/>
                    <w:right w:val="none" w:sz="0" w:space="0" w:color="auto"/>
                  </w:divBdr>
                </w:div>
              </w:divsChild>
            </w:div>
            <w:div w:id="1054045719">
              <w:marLeft w:val="0"/>
              <w:marRight w:val="0"/>
              <w:marTop w:val="0"/>
              <w:marBottom w:val="0"/>
              <w:divBdr>
                <w:top w:val="none" w:sz="0" w:space="0" w:color="auto"/>
                <w:left w:val="none" w:sz="0" w:space="0" w:color="auto"/>
                <w:bottom w:val="none" w:sz="0" w:space="0" w:color="auto"/>
                <w:right w:val="none" w:sz="0" w:space="0" w:color="auto"/>
              </w:divBdr>
              <w:divsChild>
                <w:div w:id="1529442388">
                  <w:marLeft w:val="0"/>
                  <w:marRight w:val="0"/>
                  <w:marTop w:val="120"/>
                  <w:marBottom w:val="0"/>
                  <w:divBdr>
                    <w:top w:val="none" w:sz="0" w:space="0" w:color="auto"/>
                    <w:left w:val="none" w:sz="0" w:space="0" w:color="auto"/>
                    <w:bottom w:val="none" w:sz="0" w:space="0" w:color="auto"/>
                    <w:right w:val="none" w:sz="0" w:space="0" w:color="auto"/>
                  </w:divBdr>
                </w:div>
                <w:div w:id="2070685704">
                  <w:marLeft w:val="0"/>
                  <w:marRight w:val="0"/>
                  <w:marTop w:val="0"/>
                  <w:marBottom w:val="0"/>
                  <w:divBdr>
                    <w:top w:val="none" w:sz="0" w:space="0" w:color="auto"/>
                    <w:left w:val="none" w:sz="0" w:space="0" w:color="auto"/>
                    <w:bottom w:val="none" w:sz="0" w:space="0" w:color="auto"/>
                    <w:right w:val="none" w:sz="0" w:space="0" w:color="auto"/>
                  </w:divBdr>
                </w:div>
              </w:divsChild>
            </w:div>
            <w:div w:id="1357927315">
              <w:marLeft w:val="0"/>
              <w:marRight w:val="0"/>
              <w:marTop w:val="0"/>
              <w:marBottom w:val="0"/>
              <w:divBdr>
                <w:top w:val="none" w:sz="0" w:space="0" w:color="auto"/>
                <w:left w:val="none" w:sz="0" w:space="0" w:color="auto"/>
                <w:bottom w:val="none" w:sz="0" w:space="0" w:color="auto"/>
                <w:right w:val="none" w:sz="0" w:space="0" w:color="auto"/>
              </w:divBdr>
              <w:divsChild>
                <w:div w:id="343096903">
                  <w:marLeft w:val="0"/>
                  <w:marRight w:val="0"/>
                  <w:marTop w:val="0"/>
                  <w:marBottom w:val="0"/>
                  <w:divBdr>
                    <w:top w:val="none" w:sz="0" w:space="0" w:color="auto"/>
                    <w:left w:val="none" w:sz="0" w:space="0" w:color="auto"/>
                    <w:bottom w:val="none" w:sz="0" w:space="0" w:color="auto"/>
                    <w:right w:val="none" w:sz="0" w:space="0" w:color="auto"/>
                  </w:divBdr>
                </w:div>
                <w:div w:id="1643466915">
                  <w:marLeft w:val="0"/>
                  <w:marRight w:val="0"/>
                  <w:marTop w:val="120"/>
                  <w:marBottom w:val="0"/>
                  <w:divBdr>
                    <w:top w:val="none" w:sz="0" w:space="0" w:color="auto"/>
                    <w:left w:val="none" w:sz="0" w:space="0" w:color="auto"/>
                    <w:bottom w:val="none" w:sz="0" w:space="0" w:color="auto"/>
                    <w:right w:val="none" w:sz="0" w:space="0" w:color="auto"/>
                  </w:divBdr>
                </w:div>
              </w:divsChild>
            </w:div>
            <w:div w:id="2110662011">
              <w:marLeft w:val="0"/>
              <w:marRight w:val="0"/>
              <w:marTop w:val="0"/>
              <w:marBottom w:val="0"/>
              <w:divBdr>
                <w:top w:val="none" w:sz="0" w:space="0" w:color="auto"/>
                <w:left w:val="none" w:sz="0" w:space="0" w:color="auto"/>
                <w:bottom w:val="none" w:sz="0" w:space="0" w:color="auto"/>
                <w:right w:val="none" w:sz="0" w:space="0" w:color="auto"/>
              </w:divBdr>
              <w:divsChild>
                <w:div w:id="235170239">
                  <w:marLeft w:val="0"/>
                  <w:marRight w:val="0"/>
                  <w:marTop w:val="0"/>
                  <w:marBottom w:val="0"/>
                  <w:divBdr>
                    <w:top w:val="none" w:sz="0" w:space="0" w:color="auto"/>
                    <w:left w:val="none" w:sz="0" w:space="0" w:color="auto"/>
                    <w:bottom w:val="none" w:sz="0" w:space="0" w:color="auto"/>
                    <w:right w:val="none" w:sz="0" w:space="0" w:color="auto"/>
                  </w:divBdr>
                </w:div>
                <w:div w:id="3524167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8653199">
      <w:bodyDiv w:val="1"/>
      <w:marLeft w:val="0"/>
      <w:marRight w:val="0"/>
      <w:marTop w:val="0"/>
      <w:marBottom w:val="0"/>
      <w:divBdr>
        <w:top w:val="none" w:sz="0" w:space="0" w:color="auto"/>
        <w:left w:val="none" w:sz="0" w:space="0" w:color="auto"/>
        <w:bottom w:val="none" w:sz="0" w:space="0" w:color="auto"/>
        <w:right w:val="none" w:sz="0" w:space="0" w:color="auto"/>
      </w:divBdr>
      <w:divsChild>
        <w:div w:id="1335885943">
          <w:marLeft w:val="0"/>
          <w:marRight w:val="0"/>
          <w:marTop w:val="0"/>
          <w:marBottom w:val="0"/>
          <w:divBdr>
            <w:top w:val="none" w:sz="0" w:space="0" w:color="auto"/>
            <w:left w:val="none" w:sz="0" w:space="0" w:color="auto"/>
            <w:bottom w:val="none" w:sz="0" w:space="0" w:color="auto"/>
            <w:right w:val="none" w:sz="0" w:space="0" w:color="auto"/>
          </w:divBdr>
        </w:div>
      </w:divsChild>
    </w:div>
    <w:div w:id="1359506893">
      <w:bodyDiv w:val="1"/>
      <w:marLeft w:val="0"/>
      <w:marRight w:val="0"/>
      <w:marTop w:val="0"/>
      <w:marBottom w:val="0"/>
      <w:divBdr>
        <w:top w:val="none" w:sz="0" w:space="0" w:color="auto"/>
        <w:left w:val="none" w:sz="0" w:space="0" w:color="auto"/>
        <w:bottom w:val="none" w:sz="0" w:space="0" w:color="auto"/>
        <w:right w:val="none" w:sz="0" w:space="0" w:color="auto"/>
      </w:divBdr>
      <w:divsChild>
        <w:div w:id="1631011910">
          <w:marLeft w:val="0"/>
          <w:marRight w:val="0"/>
          <w:marTop w:val="0"/>
          <w:marBottom w:val="0"/>
          <w:divBdr>
            <w:top w:val="none" w:sz="0" w:space="0" w:color="auto"/>
            <w:left w:val="none" w:sz="0" w:space="0" w:color="auto"/>
            <w:bottom w:val="none" w:sz="0" w:space="0" w:color="auto"/>
            <w:right w:val="none" w:sz="0" w:space="0" w:color="auto"/>
          </w:divBdr>
          <w:divsChild>
            <w:div w:id="283850208">
              <w:marLeft w:val="0"/>
              <w:marRight w:val="0"/>
              <w:marTop w:val="0"/>
              <w:marBottom w:val="0"/>
              <w:divBdr>
                <w:top w:val="none" w:sz="0" w:space="0" w:color="auto"/>
                <w:left w:val="none" w:sz="0" w:space="0" w:color="auto"/>
                <w:bottom w:val="none" w:sz="0" w:space="0" w:color="auto"/>
                <w:right w:val="none" w:sz="0" w:space="0" w:color="auto"/>
              </w:divBdr>
              <w:divsChild>
                <w:div w:id="938608389">
                  <w:marLeft w:val="0"/>
                  <w:marRight w:val="0"/>
                  <w:marTop w:val="120"/>
                  <w:marBottom w:val="0"/>
                  <w:divBdr>
                    <w:top w:val="none" w:sz="0" w:space="0" w:color="auto"/>
                    <w:left w:val="none" w:sz="0" w:space="0" w:color="auto"/>
                    <w:bottom w:val="none" w:sz="0" w:space="0" w:color="auto"/>
                    <w:right w:val="none" w:sz="0" w:space="0" w:color="auto"/>
                  </w:divBdr>
                </w:div>
                <w:div w:id="1597132142">
                  <w:marLeft w:val="0"/>
                  <w:marRight w:val="0"/>
                  <w:marTop w:val="0"/>
                  <w:marBottom w:val="0"/>
                  <w:divBdr>
                    <w:top w:val="none" w:sz="0" w:space="0" w:color="auto"/>
                    <w:left w:val="none" w:sz="0" w:space="0" w:color="auto"/>
                    <w:bottom w:val="none" w:sz="0" w:space="0" w:color="auto"/>
                    <w:right w:val="none" w:sz="0" w:space="0" w:color="auto"/>
                  </w:divBdr>
                </w:div>
              </w:divsChild>
            </w:div>
            <w:div w:id="565379489">
              <w:marLeft w:val="0"/>
              <w:marRight w:val="0"/>
              <w:marTop w:val="0"/>
              <w:marBottom w:val="0"/>
              <w:divBdr>
                <w:top w:val="none" w:sz="0" w:space="0" w:color="auto"/>
                <w:left w:val="none" w:sz="0" w:space="0" w:color="auto"/>
                <w:bottom w:val="none" w:sz="0" w:space="0" w:color="auto"/>
                <w:right w:val="none" w:sz="0" w:space="0" w:color="auto"/>
              </w:divBdr>
              <w:divsChild>
                <w:div w:id="630550613">
                  <w:marLeft w:val="0"/>
                  <w:marRight w:val="0"/>
                  <w:marTop w:val="0"/>
                  <w:marBottom w:val="0"/>
                  <w:divBdr>
                    <w:top w:val="none" w:sz="0" w:space="0" w:color="auto"/>
                    <w:left w:val="none" w:sz="0" w:space="0" w:color="auto"/>
                    <w:bottom w:val="none" w:sz="0" w:space="0" w:color="auto"/>
                    <w:right w:val="none" w:sz="0" w:space="0" w:color="auto"/>
                  </w:divBdr>
                </w:div>
                <w:div w:id="1965886479">
                  <w:marLeft w:val="0"/>
                  <w:marRight w:val="0"/>
                  <w:marTop w:val="120"/>
                  <w:marBottom w:val="0"/>
                  <w:divBdr>
                    <w:top w:val="none" w:sz="0" w:space="0" w:color="auto"/>
                    <w:left w:val="none" w:sz="0" w:space="0" w:color="auto"/>
                    <w:bottom w:val="none" w:sz="0" w:space="0" w:color="auto"/>
                    <w:right w:val="none" w:sz="0" w:space="0" w:color="auto"/>
                  </w:divBdr>
                </w:div>
              </w:divsChild>
            </w:div>
            <w:div w:id="1460101560">
              <w:marLeft w:val="0"/>
              <w:marRight w:val="0"/>
              <w:marTop w:val="0"/>
              <w:marBottom w:val="0"/>
              <w:divBdr>
                <w:top w:val="none" w:sz="0" w:space="0" w:color="auto"/>
                <w:left w:val="none" w:sz="0" w:space="0" w:color="auto"/>
                <w:bottom w:val="none" w:sz="0" w:space="0" w:color="auto"/>
                <w:right w:val="none" w:sz="0" w:space="0" w:color="auto"/>
              </w:divBdr>
              <w:divsChild>
                <w:div w:id="143863807">
                  <w:marLeft w:val="0"/>
                  <w:marRight w:val="0"/>
                  <w:marTop w:val="0"/>
                  <w:marBottom w:val="0"/>
                  <w:divBdr>
                    <w:top w:val="none" w:sz="0" w:space="0" w:color="auto"/>
                    <w:left w:val="none" w:sz="0" w:space="0" w:color="auto"/>
                    <w:bottom w:val="none" w:sz="0" w:space="0" w:color="auto"/>
                    <w:right w:val="none" w:sz="0" w:space="0" w:color="auto"/>
                  </w:divBdr>
                </w:div>
                <w:div w:id="2027829696">
                  <w:marLeft w:val="0"/>
                  <w:marRight w:val="0"/>
                  <w:marTop w:val="120"/>
                  <w:marBottom w:val="0"/>
                  <w:divBdr>
                    <w:top w:val="none" w:sz="0" w:space="0" w:color="auto"/>
                    <w:left w:val="none" w:sz="0" w:space="0" w:color="auto"/>
                    <w:bottom w:val="none" w:sz="0" w:space="0" w:color="auto"/>
                    <w:right w:val="none" w:sz="0" w:space="0" w:color="auto"/>
                  </w:divBdr>
                </w:div>
              </w:divsChild>
            </w:div>
            <w:div w:id="1553347566">
              <w:marLeft w:val="0"/>
              <w:marRight w:val="0"/>
              <w:marTop w:val="0"/>
              <w:marBottom w:val="0"/>
              <w:divBdr>
                <w:top w:val="none" w:sz="0" w:space="0" w:color="auto"/>
                <w:left w:val="none" w:sz="0" w:space="0" w:color="auto"/>
                <w:bottom w:val="none" w:sz="0" w:space="0" w:color="auto"/>
                <w:right w:val="none" w:sz="0" w:space="0" w:color="auto"/>
              </w:divBdr>
              <w:divsChild>
                <w:div w:id="62602470">
                  <w:marLeft w:val="0"/>
                  <w:marRight w:val="0"/>
                  <w:marTop w:val="120"/>
                  <w:marBottom w:val="0"/>
                  <w:divBdr>
                    <w:top w:val="none" w:sz="0" w:space="0" w:color="auto"/>
                    <w:left w:val="none" w:sz="0" w:space="0" w:color="auto"/>
                    <w:bottom w:val="none" w:sz="0" w:space="0" w:color="auto"/>
                    <w:right w:val="none" w:sz="0" w:space="0" w:color="auto"/>
                  </w:divBdr>
                </w:div>
                <w:div w:id="16796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2301">
      <w:bodyDiv w:val="1"/>
      <w:marLeft w:val="0"/>
      <w:marRight w:val="0"/>
      <w:marTop w:val="0"/>
      <w:marBottom w:val="0"/>
      <w:divBdr>
        <w:top w:val="none" w:sz="0" w:space="0" w:color="auto"/>
        <w:left w:val="none" w:sz="0" w:space="0" w:color="auto"/>
        <w:bottom w:val="none" w:sz="0" w:space="0" w:color="auto"/>
        <w:right w:val="none" w:sz="0" w:space="0" w:color="auto"/>
      </w:divBdr>
      <w:divsChild>
        <w:div w:id="86001748">
          <w:marLeft w:val="0"/>
          <w:marRight w:val="0"/>
          <w:marTop w:val="0"/>
          <w:marBottom w:val="0"/>
          <w:divBdr>
            <w:top w:val="none" w:sz="0" w:space="0" w:color="auto"/>
            <w:left w:val="none" w:sz="0" w:space="0" w:color="auto"/>
            <w:bottom w:val="none" w:sz="0" w:space="0" w:color="auto"/>
            <w:right w:val="none" w:sz="0" w:space="0" w:color="auto"/>
          </w:divBdr>
        </w:div>
      </w:divsChild>
    </w:div>
    <w:div w:id="1362198221">
      <w:bodyDiv w:val="1"/>
      <w:marLeft w:val="0"/>
      <w:marRight w:val="0"/>
      <w:marTop w:val="0"/>
      <w:marBottom w:val="0"/>
      <w:divBdr>
        <w:top w:val="none" w:sz="0" w:space="0" w:color="auto"/>
        <w:left w:val="none" w:sz="0" w:space="0" w:color="auto"/>
        <w:bottom w:val="none" w:sz="0" w:space="0" w:color="auto"/>
        <w:right w:val="none" w:sz="0" w:space="0" w:color="auto"/>
      </w:divBdr>
      <w:divsChild>
        <w:div w:id="1451246805">
          <w:marLeft w:val="0"/>
          <w:marRight w:val="0"/>
          <w:marTop w:val="0"/>
          <w:marBottom w:val="0"/>
          <w:divBdr>
            <w:top w:val="none" w:sz="0" w:space="0" w:color="auto"/>
            <w:left w:val="none" w:sz="0" w:space="0" w:color="auto"/>
            <w:bottom w:val="none" w:sz="0" w:space="0" w:color="auto"/>
            <w:right w:val="none" w:sz="0" w:space="0" w:color="auto"/>
          </w:divBdr>
          <w:divsChild>
            <w:div w:id="348724242">
              <w:marLeft w:val="0"/>
              <w:marRight w:val="0"/>
              <w:marTop w:val="120"/>
              <w:marBottom w:val="0"/>
              <w:divBdr>
                <w:top w:val="none" w:sz="0" w:space="0" w:color="auto"/>
                <w:left w:val="none" w:sz="0" w:space="0" w:color="auto"/>
                <w:bottom w:val="none" w:sz="0" w:space="0" w:color="auto"/>
                <w:right w:val="none" w:sz="0" w:space="0" w:color="auto"/>
              </w:divBdr>
            </w:div>
            <w:div w:id="1598899664">
              <w:marLeft w:val="0"/>
              <w:marRight w:val="0"/>
              <w:marTop w:val="0"/>
              <w:marBottom w:val="0"/>
              <w:divBdr>
                <w:top w:val="none" w:sz="0" w:space="0" w:color="auto"/>
                <w:left w:val="none" w:sz="0" w:space="0" w:color="auto"/>
                <w:bottom w:val="none" w:sz="0" w:space="0" w:color="auto"/>
                <w:right w:val="none" w:sz="0" w:space="0" w:color="auto"/>
              </w:divBdr>
            </w:div>
          </w:divsChild>
        </w:div>
        <w:div w:id="1673409815">
          <w:marLeft w:val="0"/>
          <w:marRight w:val="0"/>
          <w:marTop w:val="0"/>
          <w:marBottom w:val="0"/>
          <w:divBdr>
            <w:top w:val="none" w:sz="0" w:space="0" w:color="auto"/>
            <w:left w:val="none" w:sz="0" w:space="0" w:color="auto"/>
            <w:bottom w:val="none" w:sz="0" w:space="0" w:color="auto"/>
            <w:right w:val="none" w:sz="0" w:space="0" w:color="auto"/>
          </w:divBdr>
          <w:divsChild>
            <w:div w:id="1150439770">
              <w:marLeft w:val="0"/>
              <w:marRight w:val="0"/>
              <w:marTop w:val="120"/>
              <w:marBottom w:val="0"/>
              <w:divBdr>
                <w:top w:val="none" w:sz="0" w:space="0" w:color="auto"/>
                <w:left w:val="none" w:sz="0" w:space="0" w:color="auto"/>
                <w:bottom w:val="none" w:sz="0" w:space="0" w:color="auto"/>
                <w:right w:val="none" w:sz="0" w:space="0" w:color="auto"/>
              </w:divBdr>
            </w:div>
            <w:div w:id="20227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6066">
      <w:bodyDiv w:val="1"/>
      <w:marLeft w:val="0"/>
      <w:marRight w:val="0"/>
      <w:marTop w:val="0"/>
      <w:marBottom w:val="0"/>
      <w:divBdr>
        <w:top w:val="none" w:sz="0" w:space="0" w:color="auto"/>
        <w:left w:val="none" w:sz="0" w:space="0" w:color="auto"/>
        <w:bottom w:val="none" w:sz="0" w:space="0" w:color="auto"/>
        <w:right w:val="none" w:sz="0" w:space="0" w:color="auto"/>
      </w:divBdr>
    </w:div>
    <w:div w:id="1363745649">
      <w:bodyDiv w:val="1"/>
      <w:marLeft w:val="0"/>
      <w:marRight w:val="0"/>
      <w:marTop w:val="0"/>
      <w:marBottom w:val="0"/>
      <w:divBdr>
        <w:top w:val="none" w:sz="0" w:space="0" w:color="auto"/>
        <w:left w:val="none" w:sz="0" w:space="0" w:color="auto"/>
        <w:bottom w:val="none" w:sz="0" w:space="0" w:color="auto"/>
        <w:right w:val="none" w:sz="0" w:space="0" w:color="auto"/>
      </w:divBdr>
      <w:divsChild>
        <w:div w:id="276180093">
          <w:marLeft w:val="0"/>
          <w:marRight w:val="0"/>
          <w:marTop w:val="0"/>
          <w:marBottom w:val="0"/>
          <w:divBdr>
            <w:top w:val="none" w:sz="0" w:space="0" w:color="auto"/>
            <w:left w:val="none" w:sz="0" w:space="0" w:color="auto"/>
            <w:bottom w:val="none" w:sz="0" w:space="0" w:color="auto"/>
            <w:right w:val="none" w:sz="0" w:space="0" w:color="auto"/>
          </w:divBdr>
          <w:divsChild>
            <w:div w:id="173613874">
              <w:marLeft w:val="0"/>
              <w:marRight w:val="0"/>
              <w:marTop w:val="120"/>
              <w:marBottom w:val="0"/>
              <w:divBdr>
                <w:top w:val="none" w:sz="0" w:space="0" w:color="auto"/>
                <w:left w:val="none" w:sz="0" w:space="0" w:color="auto"/>
                <w:bottom w:val="none" w:sz="0" w:space="0" w:color="auto"/>
                <w:right w:val="none" w:sz="0" w:space="0" w:color="auto"/>
              </w:divBdr>
            </w:div>
            <w:div w:id="1103762133">
              <w:marLeft w:val="0"/>
              <w:marRight w:val="0"/>
              <w:marTop w:val="0"/>
              <w:marBottom w:val="0"/>
              <w:divBdr>
                <w:top w:val="none" w:sz="0" w:space="0" w:color="auto"/>
                <w:left w:val="none" w:sz="0" w:space="0" w:color="auto"/>
                <w:bottom w:val="none" w:sz="0" w:space="0" w:color="auto"/>
                <w:right w:val="none" w:sz="0" w:space="0" w:color="auto"/>
              </w:divBdr>
            </w:div>
          </w:divsChild>
        </w:div>
        <w:div w:id="1418093275">
          <w:marLeft w:val="0"/>
          <w:marRight w:val="0"/>
          <w:marTop w:val="0"/>
          <w:marBottom w:val="0"/>
          <w:divBdr>
            <w:top w:val="none" w:sz="0" w:space="0" w:color="auto"/>
            <w:left w:val="none" w:sz="0" w:space="0" w:color="auto"/>
            <w:bottom w:val="none" w:sz="0" w:space="0" w:color="auto"/>
            <w:right w:val="none" w:sz="0" w:space="0" w:color="auto"/>
          </w:divBdr>
          <w:divsChild>
            <w:div w:id="557714482">
              <w:marLeft w:val="0"/>
              <w:marRight w:val="0"/>
              <w:marTop w:val="0"/>
              <w:marBottom w:val="0"/>
              <w:divBdr>
                <w:top w:val="none" w:sz="0" w:space="0" w:color="auto"/>
                <w:left w:val="none" w:sz="0" w:space="0" w:color="auto"/>
                <w:bottom w:val="none" w:sz="0" w:space="0" w:color="auto"/>
                <w:right w:val="none" w:sz="0" w:space="0" w:color="auto"/>
              </w:divBdr>
            </w:div>
            <w:div w:id="861091404">
              <w:marLeft w:val="0"/>
              <w:marRight w:val="0"/>
              <w:marTop w:val="120"/>
              <w:marBottom w:val="0"/>
              <w:divBdr>
                <w:top w:val="none" w:sz="0" w:space="0" w:color="auto"/>
                <w:left w:val="none" w:sz="0" w:space="0" w:color="auto"/>
                <w:bottom w:val="none" w:sz="0" w:space="0" w:color="auto"/>
                <w:right w:val="none" w:sz="0" w:space="0" w:color="auto"/>
              </w:divBdr>
            </w:div>
          </w:divsChild>
        </w:div>
        <w:div w:id="2077118524">
          <w:marLeft w:val="0"/>
          <w:marRight w:val="0"/>
          <w:marTop w:val="0"/>
          <w:marBottom w:val="0"/>
          <w:divBdr>
            <w:top w:val="none" w:sz="0" w:space="0" w:color="auto"/>
            <w:left w:val="none" w:sz="0" w:space="0" w:color="auto"/>
            <w:bottom w:val="none" w:sz="0" w:space="0" w:color="auto"/>
            <w:right w:val="none" w:sz="0" w:space="0" w:color="auto"/>
          </w:divBdr>
          <w:divsChild>
            <w:div w:id="753548836">
              <w:marLeft w:val="0"/>
              <w:marRight w:val="0"/>
              <w:marTop w:val="0"/>
              <w:marBottom w:val="0"/>
              <w:divBdr>
                <w:top w:val="none" w:sz="0" w:space="0" w:color="auto"/>
                <w:left w:val="none" w:sz="0" w:space="0" w:color="auto"/>
                <w:bottom w:val="none" w:sz="0" w:space="0" w:color="auto"/>
                <w:right w:val="none" w:sz="0" w:space="0" w:color="auto"/>
              </w:divBdr>
            </w:div>
            <w:div w:id="7650742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8551753">
      <w:bodyDiv w:val="1"/>
      <w:marLeft w:val="0"/>
      <w:marRight w:val="0"/>
      <w:marTop w:val="0"/>
      <w:marBottom w:val="0"/>
      <w:divBdr>
        <w:top w:val="none" w:sz="0" w:space="0" w:color="auto"/>
        <w:left w:val="none" w:sz="0" w:space="0" w:color="auto"/>
        <w:bottom w:val="none" w:sz="0" w:space="0" w:color="auto"/>
        <w:right w:val="none" w:sz="0" w:space="0" w:color="auto"/>
      </w:divBdr>
      <w:divsChild>
        <w:div w:id="125320242">
          <w:marLeft w:val="0"/>
          <w:marRight w:val="0"/>
          <w:marTop w:val="0"/>
          <w:marBottom w:val="0"/>
          <w:divBdr>
            <w:top w:val="none" w:sz="0" w:space="0" w:color="auto"/>
            <w:left w:val="none" w:sz="0" w:space="0" w:color="auto"/>
            <w:bottom w:val="none" w:sz="0" w:space="0" w:color="auto"/>
            <w:right w:val="none" w:sz="0" w:space="0" w:color="auto"/>
          </w:divBdr>
          <w:divsChild>
            <w:div w:id="1007489024">
              <w:marLeft w:val="0"/>
              <w:marRight w:val="0"/>
              <w:marTop w:val="120"/>
              <w:marBottom w:val="0"/>
              <w:divBdr>
                <w:top w:val="none" w:sz="0" w:space="0" w:color="auto"/>
                <w:left w:val="none" w:sz="0" w:space="0" w:color="auto"/>
                <w:bottom w:val="none" w:sz="0" w:space="0" w:color="auto"/>
                <w:right w:val="none" w:sz="0" w:space="0" w:color="auto"/>
              </w:divBdr>
            </w:div>
            <w:div w:id="1456633838">
              <w:marLeft w:val="0"/>
              <w:marRight w:val="0"/>
              <w:marTop w:val="0"/>
              <w:marBottom w:val="0"/>
              <w:divBdr>
                <w:top w:val="none" w:sz="0" w:space="0" w:color="auto"/>
                <w:left w:val="none" w:sz="0" w:space="0" w:color="auto"/>
                <w:bottom w:val="none" w:sz="0" w:space="0" w:color="auto"/>
                <w:right w:val="none" w:sz="0" w:space="0" w:color="auto"/>
              </w:divBdr>
            </w:div>
          </w:divsChild>
        </w:div>
        <w:div w:id="374624315">
          <w:marLeft w:val="0"/>
          <w:marRight w:val="0"/>
          <w:marTop w:val="0"/>
          <w:marBottom w:val="0"/>
          <w:divBdr>
            <w:top w:val="none" w:sz="0" w:space="0" w:color="auto"/>
            <w:left w:val="none" w:sz="0" w:space="0" w:color="auto"/>
            <w:bottom w:val="none" w:sz="0" w:space="0" w:color="auto"/>
            <w:right w:val="none" w:sz="0" w:space="0" w:color="auto"/>
          </w:divBdr>
          <w:divsChild>
            <w:div w:id="1231960412">
              <w:marLeft w:val="0"/>
              <w:marRight w:val="0"/>
              <w:marTop w:val="0"/>
              <w:marBottom w:val="0"/>
              <w:divBdr>
                <w:top w:val="none" w:sz="0" w:space="0" w:color="auto"/>
                <w:left w:val="none" w:sz="0" w:space="0" w:color="auto"/>
                <w:bottom w:val="none" w:sz="0" w:space="0" w:color="auto"/>
                <w:right w:val="none" w:sz="0" w:space="0" w:color="auto"/>
              </w:divBdr>
            </w:div>
            <w:div w:id="1406101033">
              <w:marLeft w:val="0"/>
              <w:marRight w:val="0"/>
              <w:marTop w:val="120"/>
              <w:marBottom w:val="0"/>
              <w:divBdr>
                <w:top w:val="none" w:sz="0" w:space="0" w:color="auto"/>
                <w:left w:val="none" w:sz="0" w:space="0" w:color="auto"/>
                <w:bottom w:val="none" w:sz="0" w:space="0" w:color="auto"/>
                <w:right w:val="none" w:sz="0" w:space="0" w:color="auto"/>
              </w:divBdr>
            </w:div>
          </w:divsChild>
        </w:div>
        <w:div w:id="696782854">
          <w:marLeft w:val="0"/>
          <w:marRight w:val="0"/>
          <w:marTop w:val="0"/>
          <w:marBottom w:val="0"/>
          <w:divBdr>
            <w:top w:val="none" w:sz="0" w:space="0" w:color="auto"/>
            <w:left w:val="none" w:sz="0" w:space="0" w:color="auto"/>
            <w:bottom w:val="none" w:sz="0" w:space="0" w:color="auto"/>
            <w:right w:val="none" w:sz="0" w:space="0" w:color="auto"/>
          </w:divBdr>
          <w:divsChild>
            <w:div w:id="615723473">
              <w:marLeft w:val="0"/>
              <w:marRight w:val="0"/>
              <w:marTop w:val="0"/>
              <w:marBottom w:val="0"/>
              <w:divBdr>
                <w:top w:val="none" w:sz="0" w:space="0" w:color="auto"/>
                <w:left w:val="none" w:sz="0" w:space="0" w:color="auto"/>
                <w:bottom w:val="none" w:sz="0" w:space="0" w:color="auto"/>
                <w:right w:val="none" w:sz="0" w:space="0" w:color="auto"/>
              </w:divBdr>
            </w:div>
            <w:div w:id="869225892">
              <w:marLeft w:val="0"/>
              <w:marRight w:val="0"/>
              <w:marTop w:val="120"/>
              <w:marBottom w:val="0"/>
              <w:divBdr>
                <w:top w:val="none" w:sz="0" w:space="0" w:color="auto"/>
                <w:left w:val="none" w:sz="0" w:space="0" w:color="auto"/>
                <w:bottom w:val="none" w:sz="0" w:space="0" w:color="auto"/>
                <w:right w:val="none" w:sz="0" w:space="0" w:color="auto"/>
              </w:divBdr>
            </w:div>
          </w:divsChild>
        </w:div>
        <w:div w:id="1247572802">
          <w:marLeft w:val="0"/>
          <w:marRight w:val="0"/>
          <w:marTop w:val="0"/>
          <w:marBottom w:val="0"/>
          <w:divBdr>
            <w:top w:val="none" w:sz="0" w:space="0" w:color="auto"/>
            <w:left w:val="none" w:sz="0" w:space="0" w:color="auto"/>
            <w:bottom w:val="none" w:sz="0" w:space="0" w:color="auto"/>
            <w:right w:val="none" w:sz="0" w:space="0" w:color="auto"/>
          </w:divBdr>
          <w:divsChild>
            <w:div w:id="674187027">
              <w:marLeft w:val="0"/>
              <w:marRight w:val="0"/>
              <w:marTop w:val="0"/>
              <w:marBottom w:val="0"/>
              <w:divBdr>
                <w:top w:val="none" w:sz="0" w:space="0" w:color="auto"/>
                <w:left w:val="none" w:sz="0" w:space="0" w:color="auto"/>
                <w:bottom w:val="none" w:sz="0" w:space="0" w:color="auto"/>
                <w:right w:val="none" w:sz="0" w:space="0" w:color="auto"/>
              </w:divBdr>
            </w:div>
            <w:div w:id="1992519662">
              <w:marLeft w:val="0"/>
              <w:marRight w:val="0"/>
              <w:marTop w:val="120"/>
              <w:marBottom w:val="0"/>
              <w:divBdr>
                <w:top w:val="none" w:sz="0" w:space="0" w:color="auto"/>
                <w:left w:val="none" w:sz="0" w:space="0" w:color="auto"/>
                <w:bottom w:val="none" w:sz="0" w:space="0" w:color="auto"/>
                <w:right w:val="none" w:sz="0" w:space="0" w:color="auto"/>
              </w:divBdr>
            </w:div>
          </w:divsChild>
        </w:div>
        <w:div w:id="1341350171">
          <w:marLeft w:val="0"/>
          <w:marRight w:val="0"/>
          <w:marTop w:val="0"/>
          <w:marBottom w:val="0"/>
          <w:divBdr>
            <w:top w:val="none" w:sz="0" w:space="0" w:color="auto"/>
            <w:left w:val="none" w:sz="0" w:space="0" w:color="auto"/>
            <w:bottom w:val="none" w:sz="0" w:space="0" w:color="auto"/>
            <w:right w:val="none" w:sz="0" w:space="0" w:color="auto"/>
          </w:divBdr>
          <w:divsChild>
            <w:div w:id="1255362044">
              <w:marLeft w:val="0"/>
              <w:marRight w:val="0"/>
              <w:marTop w:val="120"/>
              <w:marBottom w:val="0"/>
              <w:divBdr>
                <w:top w:val="none" w:sz="0" w:space="0" w:color="auto"/>
                <w:left w:val="none" w:sz="0" w:space="0" w:color="auto"/>
                <w:bottom w:val="none" w:sz="0" w:space="0" w:color="auto"/>
                <w:right w:val="none" w:sz="0" w:space="0" w:color="auto"/>
              </w:divBdr>
            </w:div>
            <w:div w:id="1860850689">
              <w:marLeft w:val="0"/>
              <w:marRight w:val="0"/>
              <w:marTop w:val="0"/>
              <w:marBottom w:val="0"/>
              <w:divBdr>
                <w:top w:val="none" w:sz="0" w:space="0" w:color="auto"/>
                <w:left w:val="none" w:sz="0" w:space="0" w:color="auto"/>
                <w:bottom w:val="none" w:sz="0" w:space="0" w:color="auto"/>
                <w:right w:val="none" w:sz="0" w:space="0" w:color="auto"/>
              </w:divBdr>
            </w:div>
          </w:divsChild>
        </w:div>
        <w:div w:id="1717968683">
          <w:marLeft w:val="0"/>
          <w:marRight w:val="0"/>
          <w:marTop w:val="0"/>
          <w:marBottom w:val="0"/>
          <w:divBdr>
            <w:top w:val="none" w:sz="0" w:space="0" w:color="auto"/>
            <w:left w:val="none" w:sz="0" w:space="0" w:color="auto"/>
            <w:bottom w:val="none" w:sz="0" w:space="0" w:color="auto"/>
            <w:right w:val="none" w:sz="0" w:space="0" w:color="auto"/>
          </w:divBdr>
          <w:divsChild>
            <w:div w:id="921796483">
              <w:marLeft w:val="0"/>
              <w:marRight w:val="0"/>
              <w:marTop w:val="0"/>
              <w:marBottom w:val="0"/>
              <w:divBdr>
                <w:top w:val="none" w:sz="0" w:space="0" w:color="auto"/>
                <w:left w:val="none" w:sz="0" w:space="0" w:color="auto"/>
                <w:bottom w:val="none" w:sz="0" w:space="0" w:color="auto"/>
                <w:right w:val="none" w:sz="0" w:space="0" w:color="auto"/>
              </w:divBdr>
            </w:div>
            <w:div w:id="15265962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8259408">
      <w:bodyDiv w:val="1"/>
      <w:marLeft w:val="0"/>
      <w:marRight w:val="0"/>
      <w:marTop w:val="0"/>
      <w:marBottom w:val="0"/>
      <w:divBdr>
        <w:top w:val="none" w:sz="0" w:space="0" w:color="auto"/>
        <w:left w:val="none" w:sz="0" w:space="0" w:color="auto"/>
        <w:bottom w:val="none" w:sz="0" w:space="0" w:color="auto"/>
        <w:right w:val="none" w:sz="0" w:space="0" w:color="auto"/>
      </w:divBdr>
      <w:divsChild>
        <w:div w:id="2076928867">
          <w:marLeft w:val="0"/>
          <w:marRight w:val="0"/>
          <w:marTop w:val="0"/>
          <w:marBottom w:val="0"/>
          <w:divBdr>
            <w:top w:val="none" w:sz="0" w:space="0" w:color="auto"/>
            <w:left w:val="none" w:sz="0" w:space="0" w:color="auto"/>
            <w:bottom w:val="none" w:sz="0" w:space="0" w:color="auto"/>
            <w:right w:val="none" w:sz="0" w:space="0" w:color="auto"/>
          </w:divBdr>
          <w:divsChild>
            <w:div w:id="551959771">
              <w:marLeft w:val="0"/>
              <w:marRight w:val="0"/>
              <w:marTop w:val="0"/>
              <w:marBottom w:val="0"/>
              <w:divBdr>
                <w:top w:val="none" w:sz="0" w:space="0" w:color="auto"/>
                <w:left w:val="none" w:sz="0" w:space="0" w:color="auto"/>
                <w:bottom w:val="none" w:sz="0" w:space="0" w:color="auto"/>
                <w:right w:val="none" w:sz="0" w:space="0" w:color="auto"/>
              </w:divBdr>
              <w:divsChild>
                <w:div w:id="726687234">
                  <w:marLeft w:val="0"/>
                  <w:marRight w:val="0"/>
                  <w:marTop w:val="0"/>
                  <w:marBottom w:val="0"/>
                  <w:divBdr>
                    <w:top w:val="none" w:sz="0" w:space="0" w:color="auto"/>
                    <w:left w:val="none" w:sz="0" w:space="0" w:color="auto"/>
                    <w:bottom w:val="none" w:sz="0" w:space="0" w:color="auto"/>
                    <w:right w:val="none" w:sz="0" w:space="0" w:color="auto"/>
                  </w:divBdr>
                </w:div>
                <w:div w:id="983391893">
                  <w:marLeft w:val="0"/>
                  <w:marRight w:val="0"/>
                  <w:marTop w:val="120"/>
                  <w:marBottom w:val="0"/>
                  <w:divBdr>
                    <w:top w:val="none" w:sz="0" w:space="0" w:color="auto"/>
                    <w:left w:val="none" w:sz="0" w:space="0" w:color="auto"/>
                    <w:bottom w:val="none" w:sz="0" w:space="0" w:color="auto"/>
                    <w:right w:val="none" w:sz="0" w:space="0" w:color="auto"/>
                  </w:divBdr>
                </w:div>
              </w:divsChild>
            </w:div>
            <w:div w:id="1999840942">
              <w:marLeft w:val="0"/>
              <w:marRight w:val="0"/>
              <w:marTop w:val="0"/>
              <w:marBottom w:val="0"/>
              <w:divBdr>
                <w:top w:val="none" w:sz="0" w:space="0" w:color="auto"/>
                <w:left w:val="none" w:sz="0" w:space="0" w:color="auto"/>
                <w:bottom w:val="none" w:sz="0" w:space="0" w:color="auto"/>
                <w:right w:val="none" w:sz="0" w:space="0" w:color="auto"/>
              </w:divBdr>
              <w:divsChild>
                <w:div w:id="963384198">
                  <w:marLeft w:val="0"/>
                  <w:marRight w:val="0"/>
                  <w:marTop w:val="0"/>
                  <w:marBottom w:val="0"/>
                  <w:divBdr>
                    <w:top w:val="none" w:sz="0" w:space="0" w:color="auto"/>
                    <w:left w:val="none" w:sz="0" w:space="0" w:color="auto"/>
                    <w:bottom w:val="none" w:sz="0" w:space="0" w:color="auto"/>
                    <w:right w:val="none" w:sz="0" w:space="0" w:color="auto"/>
                  </w:divBdr>
                </w:div>
                <w:div w:id="11296670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166774">
      <w:bodyDiv w:val="1"/>
      <w:marLeft w:val="0"/>
      <w:marRight w:val="0"/>
      <w:marTop w:val="0"/>
      <w:marBottom w:val="0"/>
      <w:divBdr>
        <w:top w:val="none" w:sz="0" w:space="0" w:color="auto"/>
        <w:left w:val="none" w:sz="0" w:space="0" w:color="auto"/>
        <w:bottom w:val="none" w:sz="0" w:space="0" w:color="auto"/>
        <w:right w:val="none" w:sz="0" w:space="0" w:color="auto"/>
      </w:divBdr>
      <w:divsChild>
        <w:div w:id="1828593688">
          <w:marLeft w:val="0"/>
          <w:marRight w:val="0"/>
          <w:marTop w:val="0"/>
          <w:marBottom w:val="0"/>
          <w:divBdr>
            <w:top w:val="none" w:sz="0" w:space="0" w:color="auto"/>
            <w:left w:val="none" w:sz="0" w:space="0" w:color="auto"/>
            <w:bottom w:val="none" w:sz="0" w:space="0" w:color="auto"/>
            <w:right w:val="none" w:sz="0" w:space="0" w:color="auto"/>
          </w:divBdr>
          <w:divsChild>
            <w:div w:id="35273722">
              <w:marLeft w:val="0"/>
              <w:marRight w:val="0"/>
              <w:marTop w:val="0"/>
              <w:marBottom w:val="0"/>
              <w:divBdr>
                <w:top w:val="none" w:sz="0" w:space="0" w:color="auto"/>
                <w:left w:val="none" w:sz="0" w:space="0" w:color="auto"/>
                <w:bottom w:val="none" w:sz="0" w:space="0" w:color="auto"/>
                <w:right w:val="none" w:sz="0" w:space="0" w:color="auto"/>
              </w:divBdr>
              <w:divsChild>
                <w:div w:id="1083256940">
                  <w:marLeft w:val="0"/>
                  <w:marRight w:val="0"/>
                  <w:marTop w:val="120"/>
                  <w:marBottom w:val="0"/>
                  <w:divBdr>
                    <w:top w:val="none" w:sz="0" w:space="0" w:color="auto"/>
                    <w:left w:val="none" w:sz="0" w:space="0" w:color="auto"/>
                    <w:bottom w:val="none" w:sz="0" w:space="0" w:color="auto"/>
                    <w:right w:val="none" w:sz="0" w:space="0" w:color="auto"/>
                  </w:divBdr>
                </w:div>
                <w:div w:id="1211189083">
                  <w:marLeft w:val="0"/>
                  <w:marRight w:val="0"/>
                  <w:marTop w:val="0"/>
                  <w:marBottom w:val="0"/>
                  <w:divBdr>
                    <w:top w:val="none" w:sz="0" w:space="0" w:color="auto"/>
                    <w:left w:val="none" w:sz="0" w:space="0" w:color="auto"/>
                    <w:bottom w:val="none" w:sz="0" w:space="0" w:color="auto"/>
                    <w:right w:val="none" w:sz="0" w:space="0" w:color="auto"/>
                  </w:divBdr>
                </w:div>
              </w:divsChild>
            </w:div>
            <w:div w:id="2036080857">
              <w:marLeft w:val="0"/>
              <w:marRight w:val="0"/>
              <w:marTop w:val="0"/>
              <w:marBottom w:val="0"/>
              <w:divBdr>
                <w:top w:val="none" w:sz="0" w:space="0" w:color="auto"/>
                <w:left w:val="none" w:sz="0" w:space="0" w:color="auto"/>
                <w:bottom w:val="none" w:sz="0" w:space="0" w:color="auto"/>
                <w:right w:val="none" w:sz="0" w:space="0" w:color="auto"/>
              </w:divBdr>
              <w:divsChild>
                <w:div w:id="6180679">
                  <w:marLeft w:val="0"/>
                  <w:marRight w:val="0"/>
                  <w:marTop w:val="0"/>
                  <w:marBottom w:val="0"/>
                  <w:divBdr>
                    <w:top w:val="none" w:sz="0" w:space="0" w:color="auto"/>
                    <w:left w:val="none" w:sz="0" w:space="0" w:color="auto"/>
                    <w:bottom w:val="none" w:sz="0" w:space="0" w:color="auto"/>
                    <w:right w:val="none" w:sz="0" w:space="0" w:color="auto"/>
                  </w:divBdr>
                </w:div>
                <w:div w:id="1408184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3963231">
      <w:bodyDiv w:val="1"/>
      <w:marLeft w:val="0"/>
      <w:marRight w:val="0"/>
      <w:marTop w:val="0"/>
      <w:marBottom w:val="0"/>
      <w:divBdr>
        <w:top w:val="none" w:sz="0" w:space="0" w:color="auto"/>
        <w:left w:val="none" w:sz="0" w:space="0" w:color="auto"/>
        <w:bottom w:val="none" w:sz="0" w:space="0" w:color="auto"/>
        <w:right w:val="none" w:sz="0" w:space="0" w:color="auto"/>
      </w:divBdr>
      <w:divsChild>
        <w:div w:id="1688142854">
          <w:marLeft w:val="0"/>
          <w:marRight w:val="0"/>
          <w:marTop w:val="0"/>
          <w:marBottom w:val="0"/>
          <w:divBdr>
            <w:top w:val="none" w:sz="0" w:space="0" w:color="auto"/>
            <w:left w:val="none" w:sz="0" w:space="0" w:color="auto"/>
            <w:bottom w:val="none" w:sz="0" w:space="0" w:color="auto"/>
            <w:right w:val="none" w:sz="0" w:space="0" w:color="auto"/>
          </w:divBdr>
          <w:divsChild>
            <w:div w:id="1032849084">
              <w:marLeft w:val="0"/>
              <w:marRight w:val="0"/>
              <w:marTop w:val="0"/>
              <w:marBottom w:val="0"/>
              <w:divBdr>
                <w:top w:val="none" w:sz="0" w:space="0" w:color="auto"/>
                <w:left w:val="none" w:sz="0" w:space="0" w:color="auto"/>
                <w:bottom w:val="none" w:sz="0" w:space="0" w:color="auto"/>
                <w:right w:val="none" w:sz="0" w:space="0" w:color="auto"/>
              </w:divBdr>
              <w:divsChild>
                <w:div w:id="824051605">
                  <w:marLeft w:val="0"/>
                  <w:marRight w:val="0"/>
                  <w:marTop w:val="120"/>
                  <w:marBottom w:val="0"/>
                  <w:divBdr>
                    <w:top w:val="none" w:sz="0" w:space="0" w:color="auto"/>
                    <w:left w:val="none" w:sz="0" w:space="0" w:color="auto"/>
                    <w:bottom w:val="none" w:sz="0" w:space="0" w:color="auto"/>
                    <w:right w:val="none" w:sz="0" w:space="0" w:color="auto"/>
                  </w:divBdr>
                </w:div>
                <w:div w:id="2080902243">
                  <w:marLeft w:val="0"/>
                  <w:marRight w:val="0"/>
                  <w:marTop w:val="0"/>
                  <w:marBottom w:val="0"/>
                  <w:divBdr>
                    <w:top w:val="none" w:sz="0" w:space="0" w:color="auto"/>
                    <w:left w:val="none" w:sz="0" w:space="0" w:color="auto"/>
                    <w:bottom w:val="none" w:sz="0" w:space="0" w:color="auto"/>
                    <w:right w:val="none" w:sz="0" w:space="0" w:color="auto"/>
                  </w:divBdr>
                </w:div>
              </w:divsChild>
            </w:div>
            <w:div w:id="1541431991">
              <w:marLeft w:val="0"/>
              <w:marRight w:val="0"/>
              <w:marTop w:val="0"/>
              <w:marBottom w:val="0"/>
              <w:divBdr>
                <w:top w:val="none" w:sz="0" w:space="0" w:color="auto"/>
                <w:left w:val="none" w:sz="0" w:space="0" w:color="auto"/>
                <w:bottom w:val="none" w:sz="0" w:space="0" w:color="auto"/>
                <w:right w:val="none" w:sz="0" w:space="0" w:color="auto"/>
              </w:divBdr>
              <w:divsChild>
                <w:div w:id="21640598">
                  <w:marLeft w:val="0"/>
                  <w:marRight w:val="0"/>
                  <w:marTop w:val="0"/>
                  <w:marBottom w:val="0"/>
                  <w:divBdr>
                    <w:top w:val="none" w:sz="0" w:space="0" w:color="auto"/>
                    <w:left w:val="none" w:sz="0" w:space="0" w:color="auto"/>
                    <w:bottom w:val="none" w:sz="0" w:space="0" w:color="auto"/>
                    <w:right w:val="none" w:sz="0" w:space="0" w:color="auto"/>
                  </w:divBdr>
                </w:div>
                <w:div w:id="4152514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909933">
      <w:bodyDiv w:val="1"/>
      <w:marLeft w:val="0"/>
      <w:marRight w:val="0"/>
      <w:marTop w:val="0"/>
      <w:marBottom w:val="0"/>
      <w:divBdr>
        <w:top w:val="none" w:sz="0" w:space="0" w:color="auto"/>
        <w:left w:val="none" w:sz="0" w:space="0" w:color="auto"/>
        <w:bottom w:val="none" w:sz="0" w:space="0" w:color="auto"/>
        <w:right w:val="none" w:sz="0" w:space="0" w:color="auto"/>
      </w:divBdr>
      <w:divsChild>
        <w:div w:id="1155032564">
          <w:marLeft w:val="0"/>
          <w:marRight w:val="0"/>
          <w:marTop w:val="0"/>
          <w:marBottom w:val="0"/>
          <w:divBdr>
            <w:top w:val="none" w:sz="0" w:space="0" w:color="auto"/>
            <w:left w:val="none" w:sz="0" w:space="0" w:color="auto"/>
            <w:bottom w:val="none" w:sz="0" w:space="0" w:color="auto"/>
            <w:right w:val="none" w:sz="0" w:space="0" w:color="auto"/>
          </w:divBdr>
          <w:divsChild>
            <w:div w:id="1496647152">
              <w:marLeft w:val="0"/>
              <w:marRight w:val="0"/>
              <w:marTop w:val="0"/>
              <w:marBottom w:val="0"/>
              <w:divBdr>
                <w:top w:val="none" w:sz="0" w:space="0" w:color="auto"/>
                <w:left w:val="none" w:sz="0" w:space="0" w:color="auto"/>
                <w:bottom w:val="none" w:sz="0" w:space="0" w:color="auto"/>
                <w:right w:val="none" w:sz="0" w:space="0" w:color="auto"/>
              </w:divBdr>
            </w:div>
          </w:divsChild>
        </w:div>
        <w:div w:id="1982222824">
          <w:marLeft w:val="0"/>
          <w:marRight w:val="0"/>
          <w:marTop w:val="0"/>
          <w:marBottom w:val="0"/>
          <w:divBdr>
            <w:top w:val="none" w:sz="0" w:space="0" w:color="auto"/>
            <w:left w:val="none" w:sz="0" w:space="0" w:color="auto"/>
            <w:bottom w:val="none" w:sz="0" w:space="0" w:color="auto"/>
            <w:right w:val="none" w:sz="0" w:space="0" w:color="auto"/>
          </w:divBdr>
          <w:divsChild>
            <w:div w:id="15829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051">
      <w:bodyDiv w:val="1"/>
      <w:marLeft w:val="0"/>
      <w:marRight w:val="0"/>
      <w:marTop w:val="0"/>
      <w:marBottom w:val="0"/>
      <w:divBdr>
        <w:top w:val="none" w:sz="0" w:space="0" w:color="auto"/>
        <w:left w:val="none" w:sz="0" w:space="0" w:color="auto"/>
        <w:bottom w:val="none" w:sz="0" w:space="0" w:color="auto"/>
        <w:right w:val="none" w:sz="0" w:space="0" w:color="auto"/>
      </w:divBdr>
      <w:divsChild>
        <w:div w:id="833685590">
          <w:marLeft w:val="0"/>
          <w:marRight w:val="0"/>
          <w:marTop w:val="0"/>
          <w:marBottom w:val="0"/>
          <w:divBdr>
            <w:top w:val="none" w:sz="0" w:space="0" w:color="auto"/>
            <w:left w:val="none" w:sz="0" w:space="0" w:color="auto"/>
            <w:bottom w:val="none" w:sz="0" w:space="0" w:color="auto"/>
            <w:right w:val="none" w:sz="0" w:space="0" w:color="auto"/>
          </w:divBdr>
          <w:divsChild>
            <w:div w:id="1140072216">
              <w:marLeft w:val="0"/>
              <w:marRight w:val="0"/>
              <w:marTop w:val="120"/>
              <w:marBottom w:val="0"/>
              <w:divBdr>
                <w:top w:val="none" w:sz="0" w:space="0" w:color="auto"/>
                <w:left w:val="none" w:sz="0" w:space="0" w:color="auto"/>
                <w:bottom w:val="none" w:sz="0" w:space="0" w:color="auto"/>
                <w:right w:val="none" w:sz="0" w:space="0" w:color="auto"/>
              </w:divBdr>
            </w:div>
            <w:div w:id="1674263631">
              <w:marLeft w:val="0"/>
              <w:marRight w:val="0"/>
              <w:marTop w:val="0"/>
              <w:marBottom w:val="0"/>
              <w:divBdr>
                <w:top w:val="none" w:sz="0" w:space="0" w:color="auto"/>
                <w:left w:val="none" w:sz="0" w:space="0" w:color="auto"/>
                <w:bottom w:val="none" w:sz="0" w:space="0" w:color="auto"/>
                <w:right w:val="none" w:sz="0" w:space="0" w:color="auto"/>
              </w:divBdr>
            </w:div>
          </w:divsChild>
        </w:div>
        <w:div w:id="985012321">
          <w:marLeft w:val="0"/>
          <w:marRight w:val="0"/>
          <w:marTop w:val="0"/>
          <w:marBottom w:val="0"/>
          <w:divBdr>
            <w:top w:val="none" w:sz="0" w:space="0" w:color="auto"/>
            <w:left w:val="none" w:sz="0" w:space="0" w:color="auto"/>
            <w:bottom w:val="none" w:sz="0" w:space="0" w:color="auto"/>
            <w:right w:val="none" w:sz="0" w:space="0" w:color="auto"/>
          </w:divBdr>
          <w:divsChild>
            <w:div w:id="525562873">
              <w:marLeft w:val="0"/>
              <w:marRight w:val="0"/>
              <w:marTop w:val="0"/>
              <w:marBottom w:val="0"/>
              <w:divBdr>
                <w:top w:val="none" w:sz="0" w:space="0" w:color="auto"/>
                <w:left w:val="none" w:sz="0" w:space="0" w:color="auto"/>
                <w:bottom w:val="none" w:sz="0" w:space="0" w:color="auto"/>
                <w:right w:val="none" w:sz="0" w:space="0" w:color="auto"/>
              </w:divBdr>
            </w:div>
            <w:div w:id="1244535307">
              <w:marLeft w:val="0"/>
              <w:marRight w:val="0"/>
              <w:marTop w:val="120"/>
              <w:marBottom w:val="0"/>
              <w:divBdr>
                <w:top w:val="none" w:sz="0" w:space="0" w:color="auto"/>
                <w:left w:val="none" w:sz="0" w:space="0" w:color="auto"/>
                <w:bottom w:val="none" w:sz="0" w:space="0" w:color="auto"/>
                <w:right w:val="none" w:sz="0" w:space="0" w:color="auto"/>
              </w:divBdr>
            </w:div>
          </w:divsChild>
        </w:div>
        <w:div w:id="1338531824">
          <w:marLeft w:val="0"/>
          <w:marRight w:val="0"/>
          <w:marTop w:val="0"/>
          <w:marBottom w:val="0"/>
          <w:divBdr>
            <w:top w:val="none" w:sz="0" w:space="0" w:color="auto"/>
            <w:left w:val="none" w:sz="0" w:space="0" w:color="auto"/>
            <w:bottom w:val="none" w:sz="0" w:space="0" w:color="auto"/>
            <w:right w:val="none" w:sz="0" w:space="0" w:color="auto"/>
          </w:divBdr>
          <w:divsChild>
            <w:div w:id="1058019562">
              <w:marLeft w:val="0"/>
              <w:marRight w:val="0"/>
              <w:marTop w:val="0"/>
              <w:marBottom w:val="0"/>
              <w:divBdr>
                <w:top w:val="none" w:sz="0" w:space="0" w:color="auto"/>
                <w:left w:val="none" w:sz="0" w:space="0" w:color="auto"/>
                <w:bottom w:val="none" w:sz="0" w:space="0" w:color="auto"/>
                <w:right w:val="none" w:sz="0" w:space="0" w:color="auto"/>
              </w:divBdr>
            </w:div>
            <w:div w:id="1292320620">
              <w:marLeft w:val="0"/>
              <w:marRight w:val="0"/>
              <w:marTop w:val="120"/>
              <w:marBottom w:val="0"/>
              <w:divBdr>
                <w:top w:val="none" w:sz="0" w:space="0" w:color="auto"/>
                <w:left w:val="none" w:sz="0" w:space="0" w:color="auto"/>
                <w:bottom w:val="none" w:sz="0" w:space="0" w:color="auto"/>
                <w:right w:val="none" w:sz="0" w:space="0" w:color="auto"/>
              </w:divBdr>
            </w:div>
          </w:divsChild>
        </w:div>
        <w:div w:id="1498419440">
          <w:marLeft w:val="0"/>
          <w:marRight w:val="0"/>
          <w:marTop w:val="0"/>
          <w:marBottom w:val="0"/>
          <w:divBdr>
            <w:top w:val="none" w:sz="0" w:space="0" w:color="auto"/>
            <w:left w:val="none" w:sz="0" w:space="0" w:color="auto"/>
            <w:bottom w:val="none" w:sz="0" w:space="0" w:color="auto"/>
            <w:right w:val="none" w:sz="0" w:space="0" w:color="auto"/>
          </w:divBdr>
          <w:divsChild>
            <w:div w:id="329649078">
              <w:marLeft w:val="0"/>
              <w:marRight w:val="0"/>
              <w:marTop w:val="0"/>
              <w:marBottom w:val="0"/>
              <w:divBdr>
                <w:top w:val="none" w:sz="0" w:space="0" w:color="auto"/>
                <w:left w:val="none" w:sz="0" w:space="0" w:color="auto"/>
                <w:bottom w:val="none" w:sz="0" w:space="0" w:color="auto"/>
                <w:right w:val="none" w:sz="0" w:space="0" w:color="auto"/>
              </w:divBdr>
            </w:div>
            <w:div w:id="433136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1917156">
      <w:bodyDiv w:val="1"/>
      <w:marLeft w:val="0"/>
      <w:marRight w:val="0"/>
      <w:marTop w:val="0"/>
      <w:marBottom w:val="0"/>
      <w:divBdr>
        <w:top w:val="none" w:sz="0" w:space="0" w:color="auto"/>
        <w:left w:val="none" w:sz="0" w:space="0" w:color="auto"/>
        <w:bottom w:val="none" w:sz="0" w:space="0" w:color="auto"/>
        <w:right w:val="none" w:sz="0" w:space="0" w:color="auto"/>
      </w:divBdr>
      <w:divsChild>
        <w:div w:id="25718070">
          <w:marLeft w:val="0"/>
          <w:marRight w:val="0"/>
          <w:marTop w:val="0"/>
          <w:marBottom w:val="0"/>
          <w:divBdr>
            <w:top w:val="none" w:sz="0" w:space="0" w:color="auto"/>
            <w:left w:val="none" w:sz="0" w:space="0" w:color="auto"/>
            <w:bottom w:val="none" w:sz="0" w:space="0" w:color="auto"/>
            <w:right w:val="none" w:sz="0" w:space="0" w:color="auto"/>
          </w:divBdr>
        </w:div>
        <w:div w:id="1922718710">
          <w:marLeft w:val="0"/>
          <w:marRight w:val="0"/>
          <w:marTop w:val="120"/>
          <w:marBottom w:val="0"/>
          <w:divBdr>
            <w:top w:val="none" w:sz="0" w:space="0" w:color="auto"/>
            <w:left w:val="none" w:sz="0" w:space="0" w:color="auto"/>
            <w:bottom w:val="none" w:sz="0" w:space="0" w:color="auto"/>
            <w:right w:val="none" w:sz="0" w:space="0" w:color="auto"/>
          </w:divBdr>
        </w:div>
      </w:divsChild>
    </w:div>
    <w:div w:id="1497645339">
      <w:bodyDiv w:val="1"/>
      <w:marLeft w:val="0"/>
      <w:marRight w:val="0"/>
      <w:marTop w:val="0"/>
      <w:marBottom w:val="0"/>
      <w:divBdr>
        <w:top w:val="none" w:sz="0" w:space="0" w:color="auto"/>
        <w:left w:val="none" w:sz="0" w:space="0" w:color="auto"/>
        <w:bottom w:val="none" w:sz="0" w:space="0" w:color="auto"/>
        <w:right w:val="none" w:sz="0" w:space="0" w:color="auto"/>
      </w:divBdr>
      <w:divsChild>
        <w:div w:id="127480728">
          <w:marLeft w:val="0"/>
          <w:marRight w:val="0"/>
          <w:marTop w:val="120"/>
          <w:marBottom w:val="0"/>
          <w:divBdr>
            <w:top w:val="none" w:sz="0" w:space="0" w:color="auto"/>
            <w:left w:val="none" w:sz="0" w:space="0" w:color="auto"/>
            <w:bottom w:val="none" w:sz="0" w:space="0" w:color="auto"/>
            <w:right w:val="none" w:sz="0" w:space="0" w:color="auto"/>
          </w:divBdr>
        </w:div>
        <w:div w:id="1744523609">
          <w:marLeft w:val="0"/>
          <w:marRight w:val="0"/>
          <w:marTop w:val="0"/>
          <w:marBottom w:val="0"/>
          <w:divBdr>
            <w:top w:val="none" w:sz="0" w:space="0" w:color="auto"/>
            <w:left w:val="none" w:sz="0" w:space="0" w:color="auto"/>
            <w:bottom w:val="none" w:sz="0" w:space="0" w:color="auto"/>
            <w:right w:val="none" w:sz="0" w:space="0" w:color="auto"/>
          </w:divBdr>
        </w:div>
      </w:divsChild>
    </w:div>
    <w:div w:id="1499467236">
      <w:bodyDiv w:val="1"/>
      <w:marLeft w:val="0"/>
      <w:marRight w:val="0"/>
      <w:marTop w:val="0"/>
      <w:marBottom w:val="0"/>
      <w:divBdr>
        <w:top w:val="none" w:sz="0" w:space="0" w:color="auto"/>
        <w:left w:val="none" w:sz="0" w:space="0" w:color="auto"/>
        <w:bottom w:val="none" w:sz="0" w:space="0" w:color="auto"/>
        <w:right w:val="none" w:sz="0" w:space="0" w:color="auto"/>
      </w:divBdr>
      <w:divsChild>
        <w:div w:id="687945557">
          <w:marLeft w:val="0"/>
          <w:marRight w:val="0"/>
          <w:marTop w:val="0"/>
          <w:marBottom w:val="0"/>
          <w:divBdr>
            <w:top w:val="none" w:sz="0" w:space="0" w:color="auto"/>
            <w:left w:val="none" w:sz="0" w:space="0" w:color="auto"/>
            <w:bottom w:val="none" w:sz="0" w:space="0" w:color="auto"/>
            <w:right w:val="none" w:sz="0" w:space="0" w:color="auto"/>
          </w:divBdr>
        </w:div>
        <w:div w:id="1099332254">
          <w:marLeft w:val="0"/>
          <w:marRight w:val="0"/>
          <w:marTop w:val="120"/>
          <w:marBottom w:val="0"/>
          <w:divBdr>
            <w:top w:val="none" w:sz="0" w:space="0" w:color="auto"/>
            <w:left w:val="none" w:sz="0" w:space="0" w:color="auto"/>
            <w:bottom w:val="none" w:sz="0" w:space="0" w:color="auto"/>
            <w:right w:val="none" w:sz="0" w:space="0" w:color="auto"/>
          </w:divBdr>
        </w:div>
      </w:divsChild>
    </w:div>
    <w:div w:id="1511022268">
      <w:bodyDiv w:val="1"/>
      <w:marLeft w:val="0"/>
      <w:marRight w:val="0"/>
      <w:marTop w:val="0"/>
      <w:marBottom w:val="0"/>
      <w:divBdr>
        <w:top w:val="none" w:sz="0" w:space="0" w:color="auto"/>
        <w:left w:val="none" w:sz="0" w:space="0" w:color="auto"/>
        <w:bottom w:val="none" w:sz="0" w:space="0" w:color="auto"/>
        <w:right w:val="none" w:sz="0" w:space="0" w:color="auto"/>
      </w:divBdr>
      <w:divsChild>
        <w:div w:id="1101267784">
          <w:marLeft w:val="0"/>
          <w:marRight w:val="0"/>
          <w:marTop w:val="0"/>
          <w:marBottom w:val="0"/>
          <w:divBdr>
            <w:top w:val="none" w:sz="0" w:space="0" w:color="auto"/>
            <w:left w:val="none" w:sz="0" w:space="0" w:color="auto"/>
            <w:bottom w:val="none" w:sz="0" w:space="0" w:color="auto"/>
            <w:right w:val="none" w:sz="0" w:space="0" w:color="auto"/>
          </w:divBdr>
        </w:div>
      </w:divsChild>
    </w:div>
    <w:div w:id="1517691372">
      <w:bodyDiv w:val="1"/>
      <w:marLeft w:val="0"/>
      <w:marRight w:val="0"/>
      <w:marTop w:val="0"/>
      <w:marBottom w:val="0"/>
      <w:divBdr>
        <w:top w:val="none" w:sz="0" w:space="0" w:color="auto"/>
        <w:left w:val="none" w:sz="0" w:space="0" w:color="auto"/>
        <w:bottom w:val="none" w:sz="0" w:space="0" w:color="auto"/>
        <w:right w:val="none" w:sz="0" w:space="0" w:color="auto"/>
      </w:divBdr>
      <w:divsChild>
        <w:div w:id="1222136516">
          <w:marLeft w:val="0"/>
          <w:marRight w:val="0"/>
          <w:marTop w:val="0"/>
          <w:marBottom w:val="0"/>
          <w:divBdr>
            <w:top w:val="none" w:sz="0" w:space="0" w:color="auto"/>
            <w:left w:val="none" w:sz="0" w:space="0" w:color="auto"/>
            <w:bottom w:val="none" w:sz="0" w:space="0" w:color="auto"/>
            <w:right w:val="none" w:sz="0" w:space="0" w:color="auto"/>
          </w:divBdr>
        </w:div>
      </w:divsChild>
    </w:div>
    <w:div w:id="1525553169">
      <w:bodyDiv w:val="1"/>
      <w:marLeft w:val="0"/>
      <w:marRight w:val="0"/>
      <w:marTop w:val="0"/>
      <w:marBottom w:val="0"/>
      <w:divBdr>
        <w:top w:val="none" w:sz="0" w:space="0" w:color="auto"/>
        <w:left w:val="none" w:sz="0" w:space="0" w:color="auto"/>
        <w:bottom w:val="none" w:sz="0" w:space="0" w:color="auto"/>
        <w:right w:val="none" w:sz="0" w:space="0" w:color="auto"/>
      </w:divBdr>
      <w:divsChild>
        <w:div w:id="119618079">
          <w:marLeft w:val="0"/>
          <w:marRight w:val="0"/>
          <w:marTop w:val="0"/>
          <w:marBottom w:val="0"/>
          <w:divBdr>
            <w:top w:val="none" w:sz="0" w:space="0" w:color="auto"/>
            <w:left w:val="none" w:sz="0" w:space="0" w:color="auto"/>
            <w:bottom w:val="none" w:sz="0" w:space="0" w:color="auto"/>
            <w:right w:val="none" w:sz="0" w:space="0" w:color="auto"/>
          </w:divBdr>
          <w:divsChild>
            <w:div w:id="1935823501">
              <w:marLeft w:val="0"/>
              <w:marRight w:val="0"/>
              <w:marTop w:val="0"/>
              <w:marBottom w:val="0"/>
              <w:divBdr>
                <w:top w:val="none" w:sz="0" w:space="0" w:color="auto"/>
                <w:left w:val="none" w:sz="0" w:space="0" w:color="auto"/>
                <w:bottom w:val="none" w:sz="0" w:space="0" w:color="auto"/>
                <w:right w:val="none" w:sz="0" w:space="0" w:color="auto"/>
              </w:divBdr>
            </w:div>
          </w:divsChild>
        </w:div>
        <w:div w:id="225267707">
          <w:marLeft w:val="0"/>
          <w:marRight w:val="0"/>
          <w:marTop w:val="0"/>
          <w:marBottom w:val="0"/>
          <w:divBdr>
            <w:top w:val="none" w:sz="0" w:space="0" w:color="auto"/>
            <w:left w:val="none" w:sz="0" w:space="0" w:color="auto"/>
            <w:bottom w:val="none" w:sz="0" w:space="0" w:color="auto"/>
            <w:right w:val="none" w:sz="0" w:space="0" w:color="auto"/>
          </w:divBdr>
          <w:divsChild>
            <w:div w:id="1114864806">
              <w:marLeft w:val="0"/>
              <w:marRight w:val="0"/>
              <w:marTop w:val="0"/>
              <w:marBottom w:val="0"/>
              <w:divBdr>
                <w:top w:val="none" w:sz="0" w:space="0" w:color="auto"/>
                <w:left w:val="none" w:sz="0" w:space="0" w:color="auto"/>
                <w:bottom w:val="none" w:sz="0" w:space="0" w:color="auto"/>
                <w:right w:val="none" w:sz="0" w:space="0" w:color="auto"/>
              </w:divBdr>
            </w:div>
          </w:divsChild>
        </w:div>
        <w:div w:id="597104798">
          <w:marLeft w:val="0"/>
          <w:marRight w:val="0"/>
          <w:marTop w:val="0"/>
          <w:marBottom w:val="0"/>
          <w:divBdr>
            <w:top w:val="none" w:sz="0" w:space="0" w:color="auto"/>
            <w:left w:val="none" w:sz="0" w:space="0" w:color="auto"/>
            <w:bottom w:val="none" w:sz="0" w:space="0" w:color="auto"/>
            <w:right w:val="none" w:sz="0" w:space="0" w:color="auto"/>
          </w:divBdr>
          <w:divsChild>
            <w:div w:id="473447312">
              <w:marLeft w:val="0"/>
              <w:marRight w:val="0"/>
              <w:marTop w:val="0"/>
              <w:marBottom w:val="0"/>
              <w:divBdr>
                <w:top w:val="none" w:sz="0" w:space="0" w:color="auto"/>
                <w:left w:val="none" w:sz="0" w:space="0" w:color="auto"/>
                <w:bottom w:val="none" w:sz="0" w:space="0" w:color="auto"/>
                <w:right w:val="none" w:sz="0" w:space="0" w:color="auto"/>
              </w:divBdr>
            </w:div>
          </w:divsChild>
        </w:div>
        <w:div w:id="734089954">
          <w:marLeft w:val="0"/>
          <w:marRight w:val="0"/>
          <w:marTop w:val="0"/>
          <w:marBottom w:val="0"/>
          <w:divBdr>
            <w:top w:val="none" w:sz="0" w:space="0" w:color="auto"/>
            <w:left w:val="none" w:sz="0" w:space="0" w:color="auto"/>
            <w:bottom w:val="none" w:sz="0" w:space="0" w:color="auto"/>
            <w:right w:val="none" w:sz="0" w:space="0" w:color="auto"/>
          </w:divBdr>
          <w:divsChild>
            <w:div w:id="352807357">
              <w:marLeft w:val="0"/>
              <w:marRight w:val="0"/>
              <w:marTop w:val="0"/>
              <w:marBottom w:val="0"/>
              <w:divBdr>
                <w:top w:val="none" w:sz="0" w:space="0" w:color="auto"/>
                <w:left w:val="none" w:sz="0" w:space="0" w:color="auto"/>
                <w:bottom w:val="none" w:sz="0" w:space="0" w:color="auto"/>
                <w:right w:val="none" w:sz="0" w:space="0" w:color="auto"/>
              </w:divBdr>
            </w:div>
          </w:divsChild>
        </w:div>
        <w:div w:id="1815903291">
          <w:marLeft w:val="0"/>
          <w:marRight w:val="0"/>
          <w:marTop w:val="0"/>
          <w:marBottom w:val="0"/>
          <w:divBdr>
            <w:top w:val="none" w:sz="0" w:space="0" w:color="auto"/>
            <w:left w:val="none" w:sz="0" w:space="0" w:color="auto"/>
            <w:bottom w:val="none" w:sz="0" w:space="0" w:color="auto"/>
            <w:right w:val="none" w:sz="0" w:space="0" w:color="auto"/>
          </w:divBdr>
          <w:divsChild>
            <w:div w:id="277420857">
              <w:marLeft w:val="0"/>
              <w:marRight w:val="0"/>
              <w:marTop w:val="0"/>
              <w:marBottom w:val="0"/>
              <w:divBdr>
                <w:top w:val="none" w:sz="0" w:space="0" w:color="auto"/>
                <w:left w:val="none" w:sz="0" w:space="0" w:color="auto"/>
                <w:bottom w:val="none" w:sz="0" w:space="0" w:color="auto"/>
                <w:right w:val="none" w:sz="0" w:space="0" w:color="auto"/>
              </w:divBdr>
              <w:divsChild>
                <w:div w:id="189530904">
                  <w:marLeft w:val="0"/>
                  <w:marRight w:val="0"/>
                  <w:marTop w:val="0"/>
                  <w:marBottom w:val="0"/>
                  <w:divBdr>
                    <w:top w:val="none" w:sz="0" w:space="0" w:color="auto"/>
                    <w:left w:val="none" w:sz="0" w:space="0" w:color="auto"/>
                    <w:bottom w:val="none" w:sz="0" w:space="0" w:color="auto"/>
                    <w:right w:val="none" w:sz="0" w:space="0" w:color="auto"/>
                  </w:divBdr>
                  <w:divsChild>
                    <w:div w:id="788203700">
                      <w:marLeft w:val="0"/>
                      <w:marRight w:val="0"/>
                      <w:marTop w:val="120"/>
                      <w:marBottom w:val="0"/>
                      <w:divBdr>
                        <w:top w:val="none" w:sz="0" w:space="0" w:color="auto"/>
                        <w:left w:val="none" w:sz="0" w:space="0" w:color="auto"/>
                        <w:bottom w:val="none" w:sz="0" w:space="0" w:color="auto"/>
                        <w:right w:val="none" w:sz="0" w:space="0" w:color="auto"/>
                      </w:divBdr>
                    </w:div>
                    <w:div w:id="1666275318">
                      <w:marLeft w:val="0"/>
                      <w:marRight w:val="0"/>
                      <w:marTop w:val="0"/>
                      <w:marBottom w:val="0"/>
                      <w:divBdr>
                        <w:top w:val="none" w:sz="0" w:space="0" w:color="auto"/>
                        <w:left w:val="none" w:sz="0" w:space="0" w:color="auto"/>
                        <w:bottom w:val="none" w:sz="0" w:space="0" w:color="auto"/>
                        <w:right w:val="none" w:sz="0" w:space="0" w:color="auto"/>
                      </w:divBdr>
                    </w:div>
                  </w:divsChild>
                </w:div>
                <w:div w:id="265121344">
                  <w:marLeft w:val="0"/>
                  <w:marRight w:val="0"/>
                  <w:marTop w:val="0"/>
                  <w:marBottom w:val="0"/>
                  <w:divBdr>
                    <w:top w:val="none" w:sz="0" w:space="0" w:color="auto"/>
                    <w:left w:val="none" w:sz="0" w:space="0" w:color="auto"/>
                    <w:bottom w:val="none" w:sz="0" w:space="0" w:color="auto"/>
                    <w:right w:val="none" w:sz="0" w:space="0" w:color="auto"/>
                  </w:divBdr>
                  <w:divsChild>
                    <w:div w:id="517088402">
                      <w:marLeft w:val="0"/>
                      <w:marRight w:val="0"/>
                      <w:marTop w:val="0"/>
                      <w:marBottom w:val="0"/>
                      <w:divBdr>
                        <w:top w:val="none" w:sz="0" w:space="0" w:color="auto"/>
                        <w:left w:val="none" w:sz="0" w:space="0" w:color="auto"/>
                        <w:bottom w:val="none" w:sz="0" w:space="0" w:color="auto"/>
                        <w:right w:val="none" w:sz="0" w:space="0" w:color="auto"/>
                      </w:divBdr>
                    </w:div>
                    <w:div w:id="1600721388">
                      <w:marLeft w:val="0"/>
                      <w:marRight w:val="0"/>
                      <w:marTop w:val="120"/>
                      <w:marBottom w:val="0"/>
                      <w:divBdr>
                        <w:top w:val="none" w:sz="0" w:space="0" w:color="auto"/>
                        <w:left w:val="none" w:sz="0" w:space="0" w:color="auto"/>
                        <w:bottom w:val="none" w:sz="0" w:space="0" w:color="auto"/>
                        <w:right w:val="none" w:sz="0" w:space="0" w:color="auto"/>
                      </w:divBdr>
                    </w:div>
                  </w:divsChild>
                </w:div>
                <w:div w:id="664669575">
                  <w:marLeft w:val="0"/>
                  <w:marRight w:val="0"/>
                  <w:marTop w:val="0"/>
                  <w:marBottom w:val="0"/>
                  <w:divBdr>
                    <w:top w:val="none" w:sz="0" w:space="0" w:color="auto"/>
                    <w:left w:val="none" w:sz="0" w:space="0" w:color="auto"/>
                    <w:bottom w:val="none" w:sz="0" w:space="0" w:color="auto"/>
                    <w:right w:val="none" w:sz="0" w:space="0" w:color="auto"/>
                  </w:divBdr>
                  <w:divsChild>
                    <w:div w:id="146438313">
                      <w:marLeft w:val="0"/>
                      <w:marRight w:val="0"/>
                      <w:marTop w:val="0"/>
                      <w:marBottom w:val="0"/>
                      <w:divBdr>
                        <w:top w:val="none" w:sz="0" w:space="0" w:color="auto"/>
                        <w:left w:val="none" w:sz="0" w:space="0" w:color="auto"/>
                        <w:bottom w:val="none" w:sz="0" w:space="0" w:color="auto"/>
                        <w:right w:val="none" w:sz="0" w:space="0" w:color="auto"/>
                      </w:divBdr>
                    </w:div>
                    <w:div w:id="9890896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29178203">
      <w:bodyDiv w:val="1"/>
      <w:marLeft w:val="0"/>
      <w:marRight w:val="0"/>
      <w:marTop w:val="0"/>
      <w:marBottom w:val="0"/>
      <w:divBdr>
        <w:top w:val="none" w:sz="0" w:space="0" w:color="auto"/>
        <w:left w:val="none" w:sz="0" w:space="0" w:color="auto"/>
        <w:bottom w:val="none" w:sz="0" w:space="0" w:color="auto"/>
        <w:right w:val="none" w:sz="0" w:space="0" w:color="auto"/>
      </w:divBdr>
    </w:div>
    <w:div w:id="1535196782">
      <w:bodyDiv w:val="1"/>
      <w:marLeft w:val="0"/>
      <w:marRight w:val="0"/>
      <w:marTop w:val="0"/>
      <w:marBottom w:val="0"/>
      <w:divBdr>
        <w:top w:val="none" w:sz="0" w:space="0" w:color="auto"/>
        <w:left w:val="none" w:sz="0" w:space="0" w:color="auto"/>
        <w:bottom w:val="none" w:sz="0" w:space="0" w:color="auto"/>
        <w:right w:val="none" w:sz="0" w:space="0" w:color="auto"/>
      </w:divBdr>
      <w:divsChild>
        <w:div w:id="90903327">
          <w:marLeft w:val="0"/>
          <w:marRight w:val="0"/>
          <w:marTop w:val="0"/>
          <w:marBottom w:val="0"/>
          <w:divBdr>
            <w:top w:val="none" w:sz="0" w:space="0" w:color="auto"/>
            <w:left w:val="none" w:sz="0" w:space="0" w:color="auto"/>
            <w:bottom w:val="none" w:sz="0" w:space="0" w:color="auto"/>
            <w:right w:val="none" w:sz="0" w:space="0" w:color="auto"/>
          </w:divBdr>
          <w:divsChild>
            <w:div w:id="21247363">
              <w:marLeft w:val="0"/>
              <w:marRight w:val="0"/>
              <w:marTop w:val="0"/>
              <w:marBottom w:val="0"/>
              <w:divBdr>
                <w:top w:val="none" w:sz="0" w:space="0" w:color="auto"/>
                <w:left w:val="none" w:sz="0" w:space="0" w:color="auto"/>
                <w:bottom w:val="none" w:sz="0" w:space="0" w:color="auto"/>
                <w:right w:val="none" w:sz="0" w:space="0" w:color="auto"/>
              </w:divBdr>
            </w:div>
          </w:divsChild>
        </w:div>
        <w:div w:id="187571564">
          <w:marLeft w:val="0"/>
          <w:marRight w:val="0"/>
          <w:marTop w:val="0"/>
          <w:marBottom w:val="0"/>
          <w:divBdr>
            <w:top w:val="none" w:sz="0" w:space="0" w:color="auto"/>
            <w:left w:val="none" w:sz="0" w:space="0" w:color="auto"/>
            <w:bottom w:val="none" w:sz="0" w:space="0" w:color="auto"/>
            <w:right w:val="none" w:sz="0" w:space="0" w:color="auto"/>
          </w:divBdr>
          <w:divsChild>
            <w:div w:id="397172463">
              <w:marLeft w:val="0"/>
              <w:marRight w:val="0"/>
              <w:marTop w:val="0"/>
              <w:marBottom w:val="0"/>
              <w:divBdr>
                <w:top w:val="none" w:sz="0" w:space="0" w:color="auto"/>
                <w:left w:val="none" w:sz="0" w:space="0" w:color="auto"/>
                <w:bottom w:val="none" w:sz="0" w:space="0" w:color="auto"/>
                <w:right w:val="none" w:sz="0" w:space="0" w:color="auto"/>
              </w:divBdr>
            </w:div>
          </w:divsChild>
        </w:div>
        <w:div w:id="1478450140">
          <w:marLeft w:val="0"/>
          <w:marRight w:val="0"/>
          <w:marTop w:val="0"/>
          <w:marBottom w:val="0"/>
          <w:divBdr>
            <w:top w:val="none" w:sz="0" w:space="0" w:color="auto"/>
            <w:left w:val="none" w:sz="0" w:space="0" w:color="auto"/>
            <w:bottom w:val="none" w:sz="0" w:space="0" w:color="auto"/>
            <w:right w:val="none" w:sz="0" w:space="0" w:color="auto"/>
          </w:divBdr>
          <w:divsChild>
            <w:div w:id="1175536200">
              <w:marLeft w:val="0"/>
              <w:marRight w:val="0"/>
              <w:marTop w:val="0"/>
              <w:marBottom w:val="0"/>
              <w:divBdr>
                <w:top w:val="none" w:sz="0" w:space="0" w:color="auto"/>
                <w:left w:val="none" w:sz="0" w:space="0" w:color="auto"/>
                <w:bottom w:val="none" w:sz="0" w:space="0" w:color="auto"/>
                <w:right w:val="none" w:sz="0" w:space="0" w:color="auto"/>
              </w:divBdr>
            </w:div>
          </w:divsChild>
        </w:div>
        <w:div w:id="2071344081">
          <w:marLeft w:val="0"/>
          <w:marRight w:val="0"/>
          <w:marTop w:val="0"/>
          <w:marBottom w:val="0"/>
          <w:divBdr>
            <w:top w:val="none" w:sz="0" w:space="0" w:color="auto"/>
            <w:left w:val="none" w:sz="0" w:space="0" w:color="auto"/>
            <w:bottom w:val="none" w:sz="0" w:space="0" w:color="auto"/>
            <w:right w:val="none" w:sz="0" w:space="0" w:color="auto"/>
          </w:divBdr>
          <w:divsChild>
            <w:div w:id="3891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269">
      <w:bodyDiv w:val="1"/>
      <w:marLeft w:val="0"/>
      <w:marRight w:val="0"/>
      <w:marTop w:val="0"/>
      <w:marBottom w:val="0"/>
      <w:divBdr>
        <w:top w:val="none" w:sz="0" w:space="0" w:color="auto"/>
        <w:left w:val="none" w:sz="0" w:space="0" w:color="auto"/>
        <w:bottom w:val="none" w:sz="0" w:space="0" w:color="auto"/>
        <w:right w:val="none" w:sz="0" w:space="0" w:color="auto"/>
      </w:divBdr>
    </w:div>
    <w:div w:id="1551184089">
      <w:bodyDiv w:val="1"/>
      <w:marLeft w:val="0"/>
      <w:marRight w:val="0"/>
      <w:marTop w:val="0"/>
      <w:marBottom w:val="0"/>
      <w:divBdr>
        <w:top w:val="none" w:sz="0" w:space="0" w:color="auto"/>
        <w:left w:val="none" w:sz="0" w:space="0" w:color="auto"/>
        <w:bottom w:val="none" w:sz="0" w:space="0" w:color="auto"/>
        <w:right w:val="none" w:sz="0" w:space="0" w:color="auto"/>
      </w:divBdr>
      <w:divsChild>
        <w:div w:id="83579565">
          <w:marLeft w:val="0"/>
          <w:marRight w:val="0"/>
          <w:marTop w:val="0"/>
          <w:marBottom w:val="0"/>
          <w:divBdr>
            <w:top w:val="none" w:sz="0" w:space="0" w:color="auto"/>
            <w:left w:val="none" w:sz="0" w:space="0" w:color="auto"/>
            <w:bottom w:val="none" w:sz="0" w:space="0" w:color="auto"/>
            <w:right w:val="none" w:sz="0" w:space="0" w:color="auto"/>
          </w:divBdr>
          <w:divsChild>
            <w:div w:id="233786950">
              <w:marLeft w:val="0"/>
              <w:marRight w:val="0"/>
              <w:marTop w:val="0"/>
              <w:marBottom w:val="0"/>
              <w:divBdr>
                <w:top w:val="none" w:sz="0" w:space="0" w:color="auto"/>
                <w:left w:val="none" w:sz="0" w:space="0" w:color="auto"/>
                <w:bottom w:val="none" w:sz="0" w:space="0" w:color="auto"/>
                <w:right w:val="none" w:sz="0" w:space="0" w:color="auto"/>
              </w:divBdr>
              <w:divsChild>
                <w:div w:id="973412144">
                  <w:marLeft w:val="0"/>
                  <w:marRight w:val="0"/>
                  <w:marTop w:val="0"/>
                  <w:marBottom w:val="0"/>
                  <w:divBdr>
                    <w:top w:val="none" w:sz="0" w:space="0" w:color="auto"/>
                    <w:left w:val="none" w:sz="0" w:space="0" w:color="auto"/>
                    <w:bottom w:val="none" w:sz="0" w:space="0" w:color="auto"/>
                    <w:right w:val="none" w:sz="0" w:space="0" w:color="auto"/>
                  </w:divBdr>
                  <w:divsChild>
                    <w:div w:id="1015427754">
                      <w:marLeft w:val="0"/>
                      <w:marRight w:val="0"/>
                      <w:marTop w:val="120"/>
                      <w:marBottom w:val="0"/>
                      <w:divBdr>
                        <w:top w:val="none" w:sz="0" w:space="0" w:color="auto"/>
                        <w:left w:val="none" w:sz="0" w:space="0" w:color="auto"/>
                        <w:bottom w:val="none" w:sz="0" w:space="0" w:color="auto"/>
                        <w:right w:val="none" w:sz="0" w:space="0" w:color="auto"/>
                      </w:divBdr>
                    </w:div>
                    <w:div w:id="1053306935">
                      <w:marLeft w:val="0"/>
                      <w:marRight w:val="0"/>
                      <w:marTop w:val="0"/>
                      <w:marBottom w:val="0"/>
                      <w:divBdr>
                        <w:top w:val="none" w:sz="0" w:space="0" w:color="auto"/>
                        <w:left w:val="none" w:sz="0" w:space="0" w:color="auto"/>
                        <w:bottom w:val="none" w:sz="0" w:space="0" w:color="auto"/>
                        <w:right w:val="none" w:sz="0" w:space="0" w:color="auto"/>
                      </w:divBdr>
                      <w:divsChild>
                        <w:div w:id="449131258">
                          <w:marLeft w:val="0"/>
                          <w:marRight w:val="0"/>
                          <w:marTop w:val="0"/>
                          <w:marBottom w:val="0"/>
                          <w:divBdr>
                            <w:top w:val="none" w:sz="0" w:space="0" w:color="auto"/>
                            <w:left w:val="none" w:sz="0" w:space="0" w:color="auto"/>
                            <w:bottom w:val="none" w:sz="0" w:space="0" w:color="auto"/>
                            <w:right w:val="none" w:sz="0" w:space="0" w:color="auto"/>
                          </w:divBdr>
                          <w:divsChild>
                            <w:div w:id="558177271">
                              <w:marLeft w:val="0"/>
                              <w:marRight w:val="0"/>
                              <w:marTop w:val="120"/>
                              <w:marBottom w:val="0"/>
                              <w:divBdr>
                                <w:top w:val="none" w:sz="0" w:space="0" w:color="auto"/>
                                <w:left w:val="none" w:sz="0" w:space="0" w:color="auto"/>
                                <w:bottom w:val="none" w:sz="0" w:space="0" w:color="auto"/>
                                <w:right w:val="none" w:sz="0" w:space="0" w:color="auto"/>
                              </w:divBdr>
                            </w:div>
                            <w:div w:id="1598977086">
                              <w:marLeft w:val="0"/>
                              <w:marRight w:val="0"/>
                              <w:marTop w:val="0"/>
                              <w:marBottom w:val="0"/>
                              <w:divBdr>
                                <w:top w:val="none" w:sz="0" w:space="0" w:color="auto"/>
                                <w:left w:val="none" w:sz="0" w:space="0" w:color="auto"/>
                                <w:bottom w:val="none" w:sz="0" w:space="0" w:color="auto"/>
                                <w:right w:val="none" w:sz="0" w:space="0" w:color="auto"/>
                              </w:divBdr>
                            </w:div>
                          </w:divsChild>
                        </w:div>
                        <w:div w:id="2105296305">
                          <w:marLeft w:val="0"/>
                          <w:marRight w:val="0"/>
                          <w:marTop w:val="0"/>
                          <w:marBottom w:val="0"/>
                          <w:divBdr>
                            <w:top w:val="none" w:sz="0" w:space="0" w:color="auto"/>
                            <w:left w:val="none" w:sz="0" w:space="0" w:color="auto"/>
                            <w:bottom w:val="none" w:sz="0" w:space="0" w:color="auto"/>
                            <w:right w:val="none" w:sz="0" w:space="0" w:color="auto"/>
                          </w:divBdr>
                          <w:divsChild>
                            <w:div w:id="250816138">
                              <w:marLeft w:val="0"/>
                              <w:marRight w:val="0"/>
                              <w:marTop w:val="0"/>
                              <w:marBottom w:val="0"/>
                              <w:divBdr>
                                <w:top w:val="none" w:sz="0" w:space="0" w:color="auto"/>
                                <w:left w:val="none" w:sz="0" w:space="0" w:color="auto"/>
                                <w:bottom w:val="none" w:sz="0" w:space="0" w:color="auto"/>
                                <w:right w:val="none" w:sz="0" w:space="0" w:color="auto"/>
                              </w:divBdr>
                            </w:div>
                            <w:div w:id="991174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6231135">
                  <w:marLeft w:val="0"/>
                  <w:marRight w:val="0"/>
                  <w:marTop w:val="0"/>
                  <w:marBottom w:val="0"/>
                  <w:divBdr>
                    <w:top w:val="none" w:sz="0" w:space="0" w:color="auto"/>
                    <w:left w:val="none" w:sz="0" w:space="0" w:color="auto"/>
                    <w:bottom w:val="none" w:sz="0" w:space="0" w:color="auto"/>
                    <w:right w:val="none" w:sz="0" w:space="0" w:color="auto"/>
                  </w:divBdr>
                  <w:divsChild>
                    <w:div w:id="692533408">
                      <w:marLeft w:val="0"/>
                      <w:marRight w:val="0"/>
                      <w:marTop w:val="0"/>
                      <w:marBottom w:val="0"/>
                      <w:divBdr>
                        <w:top w:val="none" w:sz="0" w:space="0" w:color="auto"/>
                        <w:left w:val="none" w:sz="0" w:space="0" w:color="auto"/>
                        <w:bottom w:val="none" w:sz="0" w:space="0" w:color="auto"/>
                        <w:right w:val="none" w:sz="0" w:space="0" w:color="auto"/>
                      </w:divBdr>
                    </w:div>
                    <w:div w:id="19691680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62517549">
      <w:bodyDiv w:val="1"/>
      <w:marLeft w:val="0"/>
      <w:marRight w:val="0"/>
      <w:marTop w:val="0"/>
      <w:marBottom w:val="0"/>
      <w:divBdr>
        <w:top w:val="none" w:sz="0" w:space="0" w:color="auto"/>
        <w:left w:val="none" w:sz="0" w:space="0" w:color="auto"/>
        <w:bottom w:val="none" w:sz="0" w:space="0" w:color="auto"/>
        <w:right w:val="none" w:sz="0" w:space="0" w:color="auto"/>
      </w:divBdr>
      <w:divsChild>
        <w:div w:id="186607135">
          <w:marLeft w:val="0"/>
          <w:marRight w:val="0"/>
          <w:marTop w:val="0"/>
          <w:marBottom w:val="0"/>
          <w:divBdr>
            <w:top w:val="none" w:sz="0" w:space="0" w:color="auto"/>
            <w:left w:val="none" w:sz="0" w:space="0" w:color="auto"/>
            <w:bottom w:val="none" w:sz="0" w:space="0" w:color="auto"/>
            <w:right w:val="none" w:sz="0" w:space="0" w:color="auto"/>
          </w:divBdr>
        </w:div>
      </w:divsChild>
    </w:div>
    <w:div w:id="1567717936">
      <w:bodyDiv w:val="1"/>
      <w:marLeft w:val="0"/>
      <w:marRight w:val="0"/>
      <w:marTop w:val="0"/>
      <w:marBottom w:val="0"/>
      <w:divBdr>
        <w:top w:val="none" w:sz="0" w:space="0" w:color="auto"/>
        <w:left w:val="none" w:sz="0" w:space="0" w:color="auto"/>
        <w:bottom w:val="none" w:sz="0" w:space="0" w:color="auto"/>
        <w:right w:val="none" w:sz="0" w:space="0" w:color="auto"/>
      </w:divBdr>
      <w:divsChild>
        <w:div w:id="1791701438">
          <w:marLeft w:val="0"/>
          <w:marRight w:val="0"/>
          <w:marTop w:val="0"/>
          <w:marBottom w:val="0"/>
          <w:divBdr>
            <w:top w:val="none" w:sz="0" w:space="0" w:color="auto"/>
            <w:left w:val="none" w:sz="0" w:space="0" w:color="auto"/>
            <w:bottom w:val="none" w:sz="0" w:space="0" w:color="auto"/>
            <w:right w:val="none" w:sz="0" w:space="0" w:color="auto"/>
          </w:divBdr>
          <w:divsChild>
            <w:div w:id="2143185503">
              <w:marLeft w:val="0"/>
              <w:marRight w:val="0"/>
              <w:marTop w:val="0"/>
              <w:marBottom w:val="0"/>
              <w:divBdr>
                <w:top w:val="none" w:sz="0" w:space="0" w:color="auto"/>
                <w:left w:val="none" w:sz="0" w:space="0" w:color="auto"/>
                <w:bottom w:val="none" w:sz="0" w:space="0" w:color="auto"/>
                <w:right w:val="none" w:sz="0" w:space="0" w:color="auto"/>
              </w:divBdr>
            </w:div>
          </w:divsChild>
        </w:div>
        <w:div w:id="2016571670">
          <w:marLeft w:val="0"/>
          <w:marRight w:val="0"/>
          <w:marTop w:val="0"/>
          <w:marBottom w:val="0"/>
          <w:divBdr>
            <w:top w:val="none" w:sz="0" w:space="0" w:color="auto"/>
            <w:left w:val="none" w:sz="0" w:space="0" w:color="auto"/>
            <w:bottom w:val="none" w:sz="0" w:space="0" w:color="auto"/>
            <w:right w:val="none" w:sz="0" w:space="0" w:color="auto"/>
          </w:divBdr>
          <w:divsChild>
            <w:div w:id="6988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0993">
      <w:bodyDiv w:val="1"/>
      <w:marLeft w:val="0"/>
      <w:marRight w:val="0"/>
      <w:marTop w:val="0"/>
      <w:marBottom w:val="0"/>
      <w:divBdr>
        <w:top w:val="none" w:sz="0" w:space="0" w:color="auto"/>
        <w:left w:val="none" w:sz="0" w:space="0" w:color="auto"/>
        <w:bottom w:val="none" w:sz="0" w:space="0" w:color="auto"/>
        <w:right w:val="none" w:sz="0" w:space="0" w:color="auto"/>
      </w:divBdr>
    </w:div>
    <w:div w:id="1570773881">
      <w:bodyDiv w:val="1"/>
      <w:marLeft w:val="0"/>
      <w:marRight w:val="0"/>
      <w:marTop w:val="0"/>
      <w:marBottom w:val="0"/>
      <w:divBdr>
        <w:top w:val="none" w:sz="0" w:space="0" w:color="auto"/>
        <w:left w:val="none" w:sz="0" w:space="0" w:color="auto"/>
        <w:bottom w:val="none" w:sz="0" w:space="0" w:color="auto"/>
        <w:right w:val="none" w:sz="0" w:space="0" w:color="auto"/>
      </w:divBdr>
      <w:divsChild>
        <w:div w:id="6489291">
          <w:marLeft w:val="0"/>
          <w:marRight w:val="0"/>
          <w:marTop w:val="0"/>
          <w:marBottom w:val="0"/>
          <w:divBdr>
            <w:top w:val="none" w:sz="0" w:space="0" w:color="auto"/>
            <w:left w:val="none" w:sz="0" w:space="0" w:color="auto"/>
            <w:bottom w:val="none" w:sz="0" w:space="0" w:color="auto"/>
            <w:right w:val="none" w:sz="0" w:space="0" w:color="auto"/>
          </w:divBdr>
          <w:divsChild>
            <w:div w:id="1712654984">
              <w:marLeft w:val="0"/>
              <w:marRight w:val="0"/>
              <w:marTop w:val="0"/>
              <w:marBottom w:val="0"/>
              <w:divBdr>
                <w:top w:val="none" w:sz="0" w:space="0" w:color="auto"/>
                <w:left w:val="none" w:sz="0" w:space="0" w:color="auto"/>
                <w:bottom w:val="none" w:sz="0" w:space="0" w:color="auto"/>
                <w:right w:val="none" w:sz="0" w:space="0" w:color="auto"/>
              </w:divBdr>
            </w:div>
          </w:divsChild>
        </w:div>
        <w:div w:id="388656295">
          <w:marLeft w:val="0"/>
          <w:marRight w:val="0"/>
          <w:marTop w:val="0"/>
          <w:marBottom w:val="0"/>
          <w:divBdr>
            <w:top w:val="none" w:sz="0" w:space="0" w:color="auto"/>
            <w:left w:val="none" w:sz="0" w:space="0" w:color="auto"/>
            <w:bottom w:val="none" w:sz="0" w:space="0" w:color="auto"/>
            <w:right w:val="none" w:sz="0" w:space="0" w:color="auto"/>
          </w:divBdr>
          <w:divsChild>
            <w:div w:id="1918587593">
              <w:marLeft w:val="0"/>
              <w:marRight w:val="0"/>
              <w:marTop w:val="0"/>
              <w:marBottom w:val="0"/>
              <w:divBdr>
                <w:top w:val="none" w:sz="0" w:space="0" w:color="auto"/>
                <w:left w:val="none" w:sz="0" w:space="0" w:color="auto"/>
                <w:bottom w:val="none" w:sz="0" w:space="0" w:color="auto"/>
                <w:right w:val="none" w:sz="0" w:space="0" w:color="auto"/>
              </w:divBdr>
            </w:div>
          </w:divsChild>
        </w:div>
        <w:div w:id="601182790">
          <w:marLeft w:val="0"/>
          <w:marRight w:val="0"/>
          <w:marTop w:val="0"/>
          <w:marBottom w:val="0"/>
          <w:divBdr>
            <w:top w:val="none" w:sz="0" w:space="0" w:color="auto"/>
            <w:left w:val="none" w:sz="0" w:space="0" w:color="auto"/>
            <w:bottom w:val="none" w:sz="0" w:space="0" w:color="auto"/>
            <w:right w:val="none" w:sz="0" w:space="0" w:color="auto"/>
          </w:divBdr>
          <w:divsChild>
            <w:div w:id="1616132955">
              <w:marLeft w:val="0"/>
              <w:marRight w:val="0"/>
              <w:marTop w:val="0"/>
              <w:marBottom w:val="0"/>
              <w:divBdr>
                <w:top w:val="none" w:sz="0" w:space="0" w:color="auto"/>
                <w:left w:val="none" w:sz="0" w:space="0" w:color="auto"/>
                <w:bottom w:val="none" w:sz="0" w:space="0" w:color="auto"/>
                <w:right w:val="none" w:sz="0" w:space="0" w:color="auto"/>
              </w:divBdr>
            </w:div>
          </w:divsChild>
        </w:div>
        <w:div w:id="1181820413">
          <w:marLeft w:val="0"/>
          <w:marRight w:val="0"/>
          <w:marTop w:val="0"/>
          <w:marBottom w:val="0"/>
          <w:divBdr>
            <w:top w:val="none" w:sz="0" w:space="0" w:color="auto"/>
            <w:left w:val="none" w:sz="0" w:space="0" w:color="auto"/>
            <w:bottom w:val="none" w:sz="0" w:space="0" w:color="auto"/>
            <w:right w:val="none" w:sz="0" w:space="0" w:color="auto"/>
          </w:divBdr>
          <w:divsChild>
            <w:div w:id="1673295619">
              <w:marLeft w:val="0"/>
              <w:marRight w:val="0"/>
              <w:marTop w:val="0"/>
              <w:marBottom w:val="0"/>
              <w:divBdr>
                <w:top w:val="none" w:sz="0" w:space="0" w:color="auto"/>
                <w:left w:val="none" w:sz="0" w:space="0" w:color="auto"/>
                <w:bottom w:val="none" w:sz="0" w:space="0" w:color="auto"/>
                <w:right w:val="none" w:sz="0" w:space="0" w:color="auto"/>
              </w:divBdr>
            </w:div>
          </w:divsChild>
        </w:div>
        <w:div w:id="1261911499">
          <w:marLeft w:val="0"/>
          <w:marRight w:val="0"/>
          <w:marTop w:val="0"/>
          <w:marBottom w:val="0"/>
          <w:divBdr>
            <w:top w:val="none" w:sz="0" w:space="0" w:color="auto"/>
            <w:left w:val="none" w:sz="0" w:space="0" w:color="auto"/>
            <w:bottom w:val="none" w:sz="0" w:space="0" w:color="auto"/>
            <w:right w:val="none" w:sz="0" w:space="0" w:color="auto"/>
          </w:divBdr>
          <w:divsChild>
            <w:div w:id="2099867985">
              <w:marLeft w:val="0"/>
              <w:marRight w:val="0"/>
              <w:marTop w:val="0"/>
              <w:marBottom w:val="0"/>
              <w:divBdr>
                <w:top w:val="none" w:sz="0" w:space="0" w:color="auto"/>
                <w:left w:val="none" w:sz="0" w:space="0" w:color="auto"/>
                <w:bottom w:val="none" w:sz="0" w:space="0" w:color="auto"/>
                <w:right w:val="none" w:sz="0" w:space="0" w:color="auto"/>
              </w:divBdr>
              <w:divsChild>
                <w:div w:id="802423528">
                  <w:marLeft w:val="0"/>
                  <w:marRight w:val="0"/>
                  <w:marTop w:val="0"/>
                  <w:marBottom w:val="0"/>
                  <w:divBdr>
                    <w:top w:val="none" w:sz="0" w:space="0" w:color="auto"/>
                    <w:left w:val="none" w:sz="0" w:space="0" w:color="auto"/>
                    <w:bottom w:val="none" w:sz="0" w:space="0" w:color="auto"/>
                    <w:right w:val="none" w:sz="0" w:space="0" w:color="auto"/>
                  </w:divBdr>
                  <w:divsChild>
                    <w:div w:id="1191991778">
                      <w:marLeft w:val="0"/>
                      <w:marRight w:val="0"/>
                      <w:marTop w:val="120"/>
                      <w:marBottom w:val="0"/>
                      <w:divBdr>
                        <w:top w:val="none" w:sz="0" w:space="0" w:color="auto"/>
                        <w:left w:val="none" w:sz="0" w:space="0" w:color="auto"/>
                        <w:bottom w:val="none" w:sz="0" w:space="0" w:color="auto"/>
                        <w:right w:val="none" w:sz="0" w:space="0" w:color="auto"/>
                      </w:divBdr>
                    </w:div>
                    <w:div w:id="1268805077">
                      <w:marLeft w:val="0"/>
                      <w:marRight w:val="0"/>
                      <w:marTop w:val="0"/>
                      <w:marBottom w:val="0"/>
                      <w:divBdr>
                        <w:top w:val="none" w:sz="0" w:space="0" w:color="auto"/>
                        <w:left w:val="none" w:sz="0" w:space="0" w:color="auto"/>
                        <w:bottom w:val="none" w:sz="0" w:space="0" w:color="auto"/>
                        <w:right w:val="none" w:sz="0" w:space="0" w:color="auto"/>
                      </w:divBdr>
                    </w:div>
                  </w:divsChild>
                </w:div>
                <w:div w:id="2043819145">
                  <w:marLeft w:val="0"/>
                  <w:marRight w:val="0"/>
                  <w:marTop w:val="0"/>
                  <w:marBottom w:val="0"/>
                  <w:divBdr>
                    <w:top w:val="none" w:sz="0" w:space="0" w:color="auto"/>
                    <w:left w:val="none" w:sz="0" w:space="0" w:color="auto"/>
                    <w:bottom w:val="none" w:sz="0" w:space="0" w:color="auto"/>
                    <w:right w:val="none" w:sz="0" w:space="0" w:color="auto"/>
                  </w:divBdr>
                  <w:divsChild>
                    <w:div w:id="1665039732">
                      <w:marLeft w:val="0"/>
                      <w:marRight w:val="0"/>
                      <w:marTop w:val="0"/>
                      <w:marBottom w:val="0"/>
                      <w:divBdr>
                        <w:top w:val="none" w:sz="0" w:space="0" w:color="auto"/>
                        <w:left w:val="none" w:sz="0" w:space="0" w:color="auto"/>
                        <w:bottom w:val="none" w:sz="0" w:space="0" w:color="auto"/>
                        <w:right w:val="none" w:sz="0" w:space="0" w:color="auto"/>
                      </w:divBdr>
                    </w:div>
                    <w:div w:id="2039698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1389128">
          <w:marLeft w:val="0"/>
          <w:marRight w:val="0"/>
          <w:marTop w:val="0"/>
          <w:marBottom w:val="0"/>
          <w:divBdr>
            <w:top w:val="none" w:sz="0" w:space="0" w:color="auto"/>
            <w:left w:val="none" w:sz="0" w:space="0" w:color="auto"/>
            <w:bottom w:val="none" w:sz="0" w:space="0" w:color="auto"/>
            <w:right w:val="none" w:sz="0" w:space="0" w:color="auto"/>
          </w:divBdr>
          <w:divsChild>
            <w:div w:id="516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7742">
      <w:bodyDiv w:val="1"/>
      <w:marLeft w:val="0"/>
      <w:marRight w:val="0"/>
      <w:marTop w:val="0"/>
      <w:marBottom w:val="0"/>
      <w:divBdr>
        <w:top w:val="none" w:sz="0" w:space="0" w:color="auto"/>
        <w:left w:val="none" w:sz="0" w:space="0" w:color="auto"/>
        <w:bottom w:val="none" w:sz="0" w:space="0" w:color="auto"/>
        <w:right w:val="none" w:sz="0" w:space="0" w:color="auto"/>
      </w:divBdr>
      <w:divsChild>
        <w:div w:id="1252278092">
          <w:marLeft w:val="0"/>
          <w:marRight w:val="0"/>
          <w:marTop w:val="0"/>
          <w:marBottom w:val="0"/>
          <w:divBdr>
            <w:top w:val="none" w:sz="0" w:space="0" w:color="auto"/>
            <w:left w:val="none" w:sz="0" w:space="0" w:color="auto"/>
            <w:bottom w:val="none" w:sz="0" w:space="0" w:color="auto"/>
            <w:right w:val="none" w:sz="0" w:space="0" w:color="auto"/>
          </w:divBdr>
          <w:divsChild>
            <w:div w:id="138500772">
              <w:marLeft w:val="0"/>
              <w:marRight w:val="0"/>
              <w:marTop w:val="0"/>
              <w:marBottom w:val="0"/>
              <w:divBdr>
                <w:top w:val="none" w:sz="0" w:space="0" w:color="auto"/>
                <w:left w:val="none" w:sz="0" w:space="0" w:color="auto"/>
                <w:bottom w:val="none" w:sz="0" w:space="0" w:color="auto"/>
                <w:right w:val="none" w:sz="0" w:space="0" w:color="auto"/>
              </w:divBdr>
              <w:divsChild>
                <w:div w:id="1328090485">
                  <w:marLeft w:val="0"/>
                  <w:marRight w:val="0"/>
                  <w:marTop w:val="120"/>
                  <w:marBottom w:val="0"/>
                  <w:divBdr>
                    <w:top w:val="none" w:sz="0" w:space="0" w:color="auto"/>
                    <w:left w:val="none" w:sz="0" w:space="0" w:color="auto"/>
                    <w:bottom w:val="none" w:sz="0" w:space="0" w:color="auto"/>
                    <w:right w:val="none" w:sz="0" w:space="0" w:color="auto"/>
                  </w:divBdr>
                </w:div>
                <w:div w:id="1343632428">
                  <w:marLeft w:val="0"/>
                  <w:marRight w:val="0"/>
                  <w:marTop w:val="0"/>
                  <w:marBottom w:val="0"/>
                  <w:divBdr>
                    <w:top w:val="none" w:sz="0" w:space="0" w:color="auto"/>
                    <w:left w:val="none" w:sz="0" w:space="0" w:color="auto"/>
                    <w:bottom w:val="none" w:sz="0" w:space="0" w:color="auto"/>
                    <w:right w:val="none" w:sz="0" w:space="0" w:color="auto"/>
                  </w:divBdr>
                </w:div>
              </w:divsChild>
            </w:div>
            <w:div w:id="1149442812">
              <w:marLeft w:val="0"/>
              <w:marRight w:val="0"/>
              <w:marTop w:val="0"/>
              <w:marBottom w:val="0"/>
              <w:divBdr>
                <w:top w:val="none" w:sz="0" w:space="0" w:color="auto"/>
                <w:left w:val="none" w:sz="0" w:space="0" w:color="auto"/>
                <w:bottom w:val="none" w:sz="0" w:space="0" w:color="auto"/>
                <w:right w:val="none" w:sz="0" w:space="0" w:color="auto"/>
              </w:divBdr>
              <w:divsChild>
                <w:div w:id="518589506">
                  <w:marLeft w:val="0"/>
                  <w:marRight w:val="0"/>
                  <w:marTop w:val="0"/>
                  <w:marBottom w:val="0"/>
                  <w:divBdr>
                    <w:top w:val="none" w:sz="0" w:space="0" w:color="auto"/>
                    <w:left w:val="none" w:sz="0" w:space="0" w:color="auto"/>
                    <w:bottom w:val="none" w:sz="0" w:space="0" w:color="auto"/>
                    <w:right w:val="none" w:sz="0" w:space="0" w:color="auto"/>
                  </w:divBdr>
                </w:div>
                <w:div w:id="895891184">
                  <w:marLeft w:val="0"/>
                  <w:marRight w:val="0"/>
                  <w:marTop w:val="120"/>
                  <w:marBottom w:val="0"/>
                  <w:divBdr>
                    <w:top w:val="none" w:sz="0" w:space="0" w:color="auto"/>
                    <w:left w:val="none" w:sz="0" w:space="0" w:color="auto"/>
                    <w:bottom w:val="none" w:sz="0" w:space="0" w:color="auto"/>
                    <w:right w:val="none" w:sz="0" w:space="0" w:color="auto"/>
                  </w:divBdr>
                </w:div>
              </w:divsChild>
            </w:div>
            <w:div w:id="2080593917">
              <w:marLeft w:val="0"/>
              <w:marRight w:val="0"/>
              <w:marTop w:val="0"/>
              <w:marBottom w:val="0"/>
              <w:divBdr>
                <w:top w:val="none" w:sz="0" w:space="0" w:color="auto"/>
                <w:left w:val="none" w:sz="0" w:space="0" w:color="auto"/>
                <w:bottom w:val="none" w:sz="0" w:space="0" w:color="auto"/>
                <w:right w:val="none" w:sz="0" w:space="0" w:color="auto"/>
              </w:divBdr>
              <w:divsChild>
                <w:div w:id="704015057">
                  <w:marLeft w:val="0"/>
                  <w:marRight w:val="0"/>
                  <w:marTop w:val="0"/>
                  <w:marBottom w:val="0"/>
                  <w:divBdr>
                    <w:top w:val="none" w:sz="0" w:space="0" w:color="auto"/>
                    <w:left w:val="none" w:sz="0" w:space="0" w:color="auto"/>
                    <w:bottom w:val="none" w:sz="0" w:space="0" w:color="auto"/>
                    <w:right w:val="none" w:sz="0" w:space="0" w:color="auto"/>
                  </w:divBdr>
                </w:div>
                <w:div w:id="1450858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82762116">
      <w:bodyDiv w:val="1"/>
      <w:marLeft w:val="0"/>
      <w:marRight w:val="0"/>
      <w:marTop w:val="0"/>
      <w:marBottom w:val="0"/>
      <w:divBdr>
        <w:top w:val="none" w:sz="0" w:space="0" w:color="auto"/>
        <w:left w:val="none" w:sz="0" w:space="0" w:color="auto"/>
        <w:bottom w:val="none" w:sz="0" w:space="0" w:color="auto"/>
        <w:right w:val="none" w:sz="0" w:space="0" w:color="auto"/>
      </w:divBdr>
      <w:divsChild>
        <w:div w:id="1046373399">
          <w:marLeft w:val="0"/>
          <w:marRight w:val="0"/>
          <w:marTop w:val="0"/>
          <w:marBottom w:val="0"/>
          <w:divBdr>
            <w:top w:val="none" w:sz="0" w:space="0" w:color="auto"/>
            <w:left w:val="none" w:sz="0" w:space="0" w:color="auto"/>
            <w:bottom w:val="none" w:sz="0" w:space="0" w:color="auto"/>
            <w:right w:val="none" w:sz="0" w:space="0" w:color="auto"/>
          </w:divBdr>
        </w:div>
      </w:divsChild>
    </w:div>
    <w:div w:id="1584799515">
      <w:bodyDiv w:val="1"/>
      <w:marLeft w:val="0"/>
      <w:marRight w:val="0"/>
      <w:marTop w:val="0"/>
      <w:marBottom w:val="0"/>
      <w:divBdr>
        <w:top w:val="none" w:sz="0" w:space="0" w:color="auto"/>
        <w:left w:val="none" w:sz="0" w:space="0" w:color="auto"/>
        <w:bottom w:val="none" w:sz="0" w:space="0" w:color="auto"/>
        <w:right w:val="none" w:sz="0" w:space="0" w:color="auto"/>
      </w:divBdr>
      <w:divsChild>
        <w:div w:id="1603876043">
          <w:marLeft w:val="0"/>
          <w:marRight w:val="0"/>
          <w:marTop w:val="0"/>
          <w:marBottom w:val="0"/>
          <w:divBdr>
            <w:top w:val="none" w:sz="0" w:space="0" w:color="auto"/>
            <w:left w:val="none" w:sz="0" w:space="0" w:color="auto"/>
            <w:bottom w:val="none" w:sz="0" w:space="0" w:color="auto"/>
            <w:right w:val="none" w:sz="0" w:space="0" w:color="auto"/>
          </w:divBdr>
          <w:divsChild>
            <w:div w:id="106586460">
              <w:marLeft w:val="0"/>
              <w:marRight w:val="0"/>
              <w:marTop w:val="120"/>
              <w:marBottom w:val="0"/>
              <w:divBdr>
                <w:top w:val="none" w:sz="0" w:space="0" w:color="auto"/>
                <w:left w:val="none" w:sz="0" w:space="0" w:color="auto"/>
                <w:bottom w:val="none" w:sz="0" w:space="0" w:color="auto"/>
                <w:right w:val="none" w:sz="0" w:space="0" w:color="auto"/>
              </w:divBdr>
            </w:div>
            <w:div w:id="905843412">
              <w:marLeft w:val="0"/>
              <w:marRight w:val="0"/>
              <w:marTop w:val="0"/>
              <w:marBottom w:val="0"/>
              <w:divBdr>
                <w:top w:val="none" w:sz="0" w:space="0" w:color="auto"/>
                <w:left w:val="none" w:sz="0" w:space="0" w:color="auto"/>
                <w:bottom w:val="none" w:sz="0" w:space="0" w:color="auto"/>
                <w:right w:val="none" w:sz="0" w:space="0" w:color="auto"/>
              </w:divBdr>
            </w:div>
          </w:divsChild>
        </w:div>
        <w:div w:id="2086685458">
          <w:marLeft w:val="0"/>
          <w:marRight w:val="0"/>
          <w:marTop w:val="0"/>
          <w:marBottom w:val="0"/>
          <w:divBdr>
            <w:top w:val="none" w:sz="0" w:space="0" w:color="auto"/>
            <w:left w:val="none" w:sz="0" w:space="0" w:color="auto"/>
            <w:bottom w:val="none" w:sz="0" w:space="0" w:color="auto"/>
            <w:right w:val="none" w:sz="0" w:space="0" w:color="auto"/>
          </w:divBdr>
          <w:divsChild>
            <w:div w:id="96760143">
              <w:marLeft w:val="0"/>
              <w:marRight w:val="0"/>
              <w:marTop w:val="0"/>
              <w:marBottom w:val="0"/>
              <w:divBdr>
                <w:top w:val="none" w:sz="0" w:space="0" w:color="auto"/>
                <w:left w:val="none" w:sz="0" w:space="0" w:color="auto"/>
                <w:bottom w:val="none" w:sz="0" w:space="0" w:color="auto"/>
                <w:right w:val="none" w:sz="0" w:space="0" w:color="auto"/>
              </w:divBdr>
            </w:div>
            <w:div w:id="773867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5840939">
      <w:bodyDiv w:val="1"/>
      <w:marLeft w:val="0"/>
      <w:marRight w:val="0"/>
      <w:marTop w:val="0"/>
      <w:marBottom w:val="0"/>
      <w:divBdr>
        <w:top w:val="none" w:sz="0" w:space="0" w:color="auto"/>
        <w:left w:val="none" w:sz="0" w:space="0" w:color="auto"/>
        <w:bottom w:val="none" w:sz="0" w:space="0" w:color="auto"/>
        <w:right w:val="none" w:sz="0" w:space="0" w:color="auto"/>
      </w:divBdr>
      <w:divsChild>
        <w:div w:id="769929459">
          <w:marLeft w:val="0"/>
          <w:marRight w:val="0"/>
          <w:marTop w:val="0"/>
          <w:marBottom w:val="0"/>
          <w:divBdr>
            <w:top w:val="none" w:sz="0" w:space="0" w:color="auto"/>
            <w:left w:val="none" w:sz="0" w:space="0" w:color="auto"/>
            <w:bottom w:val="none" w:sz="0" w:space="0" w:color="auto"/>
            <w:right w:val="none" w:sz="0" w:space="0" w:color="auto"/>
          </w:divBdr>
        </w:div>
      </w:divsChild>
    </w:div>
    <w:div w:id="1592857843">
      <w:bodyDiv w:val="1"/>
      <w:marLeft w:val="0"/>
      <w:marRight w:val="0"/>
      <w:marTop w:val="0"/>
      <w:marBottom w:val="0"/>
      <w:divBdr>
        <w:top w:val="none" w:sz="0" w:space="0" w:color="auto"/>
        <w:left w:val="none" w:sz="0" w:space="0" w:color="auto"/>
        <w:bottom w:val="none" w:sz="0" w:space="0" w:color="auto"/>
        <w:right w:val="none" w:sz="0" w:space="0" w:color="auto"/>
      </w:divBdr>
      <w:divsChild>
        <w:div w:id="465701978">
          <w:marLeft w:val="0"/>
          <w:marRight w:val="0"/>
          <w:marTop w:val="0"/>
          <w:marBottom w:val="0"/>
          <w:divBdr>
            <w:top w:val="none" w:sz="0" w:space="0" w:color="auto"/>
            <w:left w:val="none" w:sz="0" w:space="0" w:color="auto"/>
            <w:bottom w:val="none" w:sz="0" w:space="0" w:color="auto"/>
            <w:right w:val="none" w:sz="0" w:space="0" w:color="auto"/>
          </w:divBdr>
          <w:divsChild>
            <w:div w:id="252981152">
              <w:marLeft w:val="0"/>
              <w:marRight w:val="0"/>
              <w:marTop w:val="0"/>
              <w:marBottom w:val="0"/>
              <w:divBdr>
                <w:top w:val="none" w:sz="0" w:space="0" w:color="auto"/>
                <w:left w:val="none" w:sz="0" w:space="0" w:color="auto"/>
                <w:bottom w:val="none" w:sz="0" w:space="0" w:color="auto"/>
                <w:right w:val="none" w:sz="0" w:space="0" w:color="auto"/>
              </w:divBdr>
              <w:divsChild>
                <w:div w:id="1294484724">
                  <w:marLeft w:val="0"/>
                  <w:marRight w:val="0"/>
                  <w:marTop w:val="120"/>
                  <w:marBottom w:val="0"/>
                  <w:divBdr>
                    <w:top w:val="none" w:sz="0" w:space="0" w:color="auto"/>
                    <w:left w:val="none" w:sz="0" w:space="0" w:color="auto"/>
                    <w:bottom w:val="none" w:sz="0" w:space="0" w:color="auto"/>
                    <w:right w:val="none" w:sz="0" w:space="0" w:color="auto"/>
                  </w:divBdr>
                </w:div>
                <w:div w:id="1378972160">
                  <w:marLeft w:val="0"/>
                  <w:marRight w:val="0"/>
                  <w:marTop w:val="0"/>
                  <w:marBottom w:val="0"/>
                  <w:divBdr>
                    <w:top w:val="none" w:sz="0" w:space="0" w:color="auto"/>
                    <w:left w:val="none" w:sz="0" w:space="0" w:color="auto"/>
                    <w:bottom w:val="none" w:sz="0" w:space="0" w:color="auto"/>
                    <w:right w:val="none" w:sz="0" w:space="0" w:color="auto"/>
                  </w:divBdr>
                </w:div>
              </w:divsChild>
            </w:div>
            <w:div w:id="786239094">
              <w:marLeft w:val="0"/>
              <w:marRight w:val="0"/>
              <w:marTop w:val="0"/>
              <w:marBottom w:val="0"/>
              <w:divBdr>
                <w:top w:val="none" w:sz="0" w:space="0" w:color="auto"/>
                <w:left w:val="none" w:sz="0" w:space="0" w:color="auto"/>
                <w:bottom w:val="none" w:sz="0" w:space="0" w:color="auto"/>
                <w:right w:val="none" w:sz="0" w:space="0" w:color="auto"/>
              </w:divBdr>
              <w:divsChild>
                <w:div w:id="843058322">
                  <w:marLeft w:val="0"/>
                  <w:marRight w:val="0"/>
                  <w:marTop w:val="120"/>
                  <w:marBottom w:val="0"/>
                  <w:divBdr>
                    <w:top w:val="none" w:sz="0" w:space="0" w:color="auto"/>
                    <w:left w:val="none" w:sz="0" w:space="0" w:color="auto"/>
                    <w:bottom w:val="none" w:sz="0" w:space="0" w:color="auto"/>
                    <w:right w:val="none" w:sz="0" w:space="0" w:color="auto"/>
                  </w:divBdr>
                </w:div>
                <w:div w:id="1535727256">
                  <w:marLeft w:val="0"/>
                  <w:marRight w:val="0"/>
                  <w:marTop w:val="0"/>
                  <w:marBottom w:val="0"/>
                  <w:divBdr>
                    <w:top w:val="none" w:sz="0" w:space="0" w:color="auto"/>
                    <w:left w:val="none" w:sz="0" w:space="0" w:color="auto"/>
                    <w:bottom w:val="none" w:sz="0" w:space="0" w:color="auto"/>
                    <w:right w:val="none" w:sz="0" w:space="0" w:color="auto"/>
                  </w:divBdr>
                </w:div>
              </w:divsChild>
            </w:div>
            <w:div w:id="988442269">
              <w:marLeft w:val="0"/>
              <w:marRight w:val="0"/>
              <w:marTop w:val="0"/>
              <w:marBottom w:val="0"/>
              <w:divBdr>
                <w:top w:val="none" w:sz="0" w:space="0" w:color="auto"/>
                <w:left w:val="none" w:sz="0" w:space="0" w:color="auto"/>
                <w:bottom w:val="none" w:sz="0" w:space="0" w:color="auto"/>
                <w:right w:val="none" w:sz="0" w:space="0" w:color="auto"/>
              </w:divBdr>
              <w:divsChild>
                <w:div w:id="796028514">
                  <w:marLeft w:val="0"/>
                  <w:marRight w:val="0"/>
                  <w:marTop w:val="120"/>
                  <w:marBottom w:val="0"/>
                  <w:divBdr>
                    <w:top w:val="none" w:sz="0" w:space="0" w:color="auto"/>
                    <w:left w:val="none" w:sz="0" w:space="0" w:color="auto"/>
                    <w:bottom w:val="none" w:sz="0" w:space="0" w:color="auto"/>
                    <w:right w:val="none" w:sz="0" w:space="0" w:color="auto"/>
                  </w:divBdr>
                </w:div>
                <w:div w:id="1393311566">
                  <w:marLeft w:val="0"/>
                  <w:marRight w:val="0"/>
                  <w:marTop w:val="0"/>
                  <w:marBottom w:val="0"/>
                  <w:divBdr>
                    <w:top w:val="none" w:sz="0" w:space="0" w:color="auto"/>
                    <w:left w:val="none" w:sz="0" w:space="0" w:color="auto"/>
                    <w:bottom w:val="none" w:sz="0" w:space="0" w:color="auto"/>
                    <w:right w:val="none" w:sz="0" w:space="0" w:color="auto"/>
                  </w:divBdr>
                </w:div>
              </w:divsChild>
            </w:div>
            <w:div w:id="1078139283">
              <w:marLeft w:val="0"/>
              <w:marRight w:val="0"/>
              <w:marTop w:val="0"/>
              <w:marBottom w:val="0"/>
              <w:divBdr>
                <w:top w:val="none" w:sz="0" w:space="0" w:color="auto"/>
                <w:left w:val="none" w:sz="0" w:space="0" w:color="auto"/>
                <w:bottom w:val="none" w:sz="0" w:space="0" w:color="auto"/>
                <w:right w:val="none" w:sz="0" w:space="0" w:color="auto"/>
              </w:divBdr>
              <w:divsChild>
                <w:div w:id="1219244526">
                  <w:marLeft w:val="0"/>
                  <w:marRight w:val="0"/>
                  <w:marTop w:val="120"/>
                  <w:marBottom w:val="0"/>
                  <w:divBdr>
                    <w:top w:val="none" w:sz="0" w:space="0" w:color="auto"/>
                    <w:left w:val="none" w:sz="0" w:space="0" w:color="auto"/>
                    <w:bottom w:val="none" w:sz="0" w:space="0" w:color="auto"/>
                    <w:right w:val="none" w:sz="0" w:space="0" w:color="auto"/>
                  </w:divBdr>
                </w:div>
                <w:div w:id="2099911006">
                  <w:marLeft w:val="0"/>
                  <w:marRight w:val="0"/>
                  <w:marTop w:val="0"/>
                  <w:marBottom w:val="0"/>
                  <w:divBdr>
                    <w:top w:val="none" w:sz="0" w:space="0" w:color="auto"/>
                    <w:left w:val="none" w:sz="0" w:space="0" w:color="auto"/>
                    <w:bottom w:val="none" w:sz="0" w:space="0" w:color="auto"/>
                    <w:right w:val="none" w:sz="0" w:space="0" w:color="auto"/>
                  </w:divBdr>
                </w:div>
              </w:divsChild>
            </w:div>
            <w:div w:id="1393040861">
              <w:marLeft w:val="0"/>
              <w:marRight w:val="0"/>
              <w:marTop w:val="0"/>
              <w:marBottom w:val="0"/>
              <w:divBdr>
                <w:top w:val="none" w:sz="0" w:space="0" w:color="auto"/>
                <w:left w:val="none" w:sz="0" w:space="0" w:color="auto"/>
                <w:bottom w:val="none" w:sz="0" w:space="0" w:color="auto"/>
                <w:right w:val="none" w:sz="0" w:space="0" w:color="auto"/>
              </w:divBdr>
              <w:divsChild>
                <w:div w:id="102236559">
                  <w:marLeft w:val="0"/>
                  <w:marRight w:val="0"/>
                  <w:marTop w:val="0"/>
                  <w:marBottom w:val="0"/>
                  <w:divBdr>
                    <w:top w:val="none" w:sz="0" w:space="0" w:color="auto"/>
                    <w:left w:val="none" w:sz="0" w:space="0" w:color="auto"/>
                    <w:bottom w:val="none" w:sz="0" w:space="0" w:color="auto"/>
                    <w:right w:val="none" w:sz="0" w:space="0" w:color="auto"/>
                  </w:divBdr>
                </w:div>
                <w:div w:id="588320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7069301">
          <w:marLeft w:val="0"/>
          <w:marRight w:val="0"/>
          <w:marTop w:val="120"/>
          <w:marBottom w:val="0"/>
          <w:divBdr>
            <w:top w:val="none" w:sz="0" w:space="0" w:color="auto"/>
            <w:left w:val="none" w:sz="0" w:space="0" w:color="auto"/>
            <w:bottom w:val="none" w:sz="0" w:space="0" w:color="auto"/>
            <w:right w:val="none" w:sz="0" w:space="0" w:color="auto"/>
          </w:divBdr>
        </w:div>
      </w:divsChild>
    </w:div>
    <w:div w:id="1593779847">
      <w:bodyDiv w:val="1"/>
      <w:marLeft w:val="0"/>
      <w:marRight w:val="0"/>
      <w:marTop w:val="0"/>
      <w:marBottom w:val="0"/>
      <w:divBdr>
        <w:top w:val="none" w:sz="0" w:space="0" w:color="auto"/>
        <w:left w:val="none" w:sz="0" w:space="0" w:color="auto"/>
        <w:bottom w:val="none" w:sz="0" w:space="0" w:color="auto"/>
        <w:right w:val="none" w:sz="0" w:space="0" w:color="auto"/>
      </w:divBdr>
      <w:divsChild>
        <w:div w:id="1753118494">
          <w:marLeft w:val="0"/>
          <w:marRight w:val="0"/>
          <w:marTop w:val="0"/>
          <w:marBottom w:val="0"/>
          <w:divBdr>
            <w:top w:val="none" w:sz="0" w:space="0" w:color="auto"/>
            <w:left w:val="none" w:sz="0" w:space="0" w:color="auto"/>
            <w:bottom w:val="none" w:sz="0" w:space="0" w:color="auto"/>
            <w:right w:val="none" w:sz="0" w:space="0" w:color="auto"/>
          </w:divBdr>
        </w:div>
      </w:divsChild>
    </w:div>
    <w:div w:id="1596329189">
      <w:bodyDiv w:val="1"/>
      <w:marLeft w:val="0"/>
      <w:marRight w:val="0"/>
      <w:marTop w:val="0"/>
      <w:marBottom w:val="0"/>
      <w:divBdr>
        <w:top w:val="none" w:sz="0" w:space="0" w:color="auto"/>
        <w:left w:val="none" w:sz="0" w:space="0" w:color="auto"/>
        <w:bottom w:val="none" w:sz="0" w:space="0" w:color="auto"/>
        <w:right w:val="none" w:sz="0" w:space="0" w:color="auto"/>
      </w:divBdr>
    </w:div>
    <w:div w:id="1602295598">
      <w:bodyDiv w:val="1"/>
      <w:marLeft w:val="0"/>
      <w:marRight w:val="0"/>
      <w:marTop w:val="0"/>
      <w:marBottom w:val="0"/>
      <w:divBdr>
        <w:top w:val="none" w:sz="0" w:space="0" w:color="auto"/>
        <w:left w:val="none" w:sz="0" w:space="0" w:color="auto"/>
        <w:bottom w:val="none" w:sz="0" w:space="0" w:color="auto"/>
        <w:right w:val="none" w:sz="0" w:space="0" w:color="auto"/>
      </w:divBdr>
      <w:divsChild>
        <w:div w:id="1798642475">
          <w:marLeft w:val="0"/>
          <w:marRight w:val="0"/>
          <w:marTop w:val="0"/>
          <w:marBottom w:val="0"/>
          <w:divBdr>
            <w:top w:val="none" w:sz="0" w:space="0" w:color="auto"/>
            <w:left w:val="none" w:sz="0" w:space="0" w:color="auto"/>
            <w:bottom w:val="none" w:sz="0" w:space="0" w:color="auto"/>
            <w:right w:val="none" w:sz="0" w:space="0" w:color="auto"/>
          </w:divBdr>
          <w:divsChild>
            <w:div w:id="1240018156">
              <w:marLeft w:val="0"/>
              <w:marRight w:val="0"/>
              <w:marTop w:val="0"/>
              <w:marBottom w:val="0"/>
              <w:divBdr>
                <w:top w:val="none" w:sz="0" w:space="0" w:color="auto"/>
                <w:left w:val="none" w:sz="0" w:space="0" w:color="auto"/>
                <w:bottom w:val="none" w:sz="0" w:space="0" w:color="auto"/>
                <w:right w:val="none" w:sz="0" w:space="0" w:color="auto"/>
              </w:divBdr>
              <w:divsChild>
                <w:div w:id="946036848">
                  <w:marLeft w:val="0"/>
                  <w:marRight w:val="0"/>
                  <w:marTop w:val="0"/>
                  <w:marBottom w:val="0"/>
                  <w:divBdr>
                    <w:top w:val="none" w:sz="0" w:space="0" w:color="auto"/>
                    <w:left w:val="none" w:sz="0" w:space="0" w:color="auto"/>
                    <w:bottom w:val="none" w:sz="0" w:space="0" w:color="auto"/>
                    <w:right w:val="none" w:sz="0" w:space="0" w:color="auto"/>
                  </w:divBdr>
                </w:div>
                <w:div w:id="14094947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06767984">
      <w:bodyDiv w:val="1"/>
      <w:marLeft w:val="0"/>
      <w:marRight w:val="0"/>
      <w:marTop w:val="0"/>
      <w:marBottom w:val="0"/>
      <w:divBdr>
        <w:top w:val="none" w:sz="0" w:space="0" w:color="auto"/>
        <w:left w:val="none" w:sz="0" w:space="0" w:color="auto"/>
        <w:bottom w:val="none" w:sz="0" w:space="0" w:color="auto"/>
        <w:right w:val="none" w:sz="0" w:space="0" w:color="auto"/>
      </w:divBdr>
      <w:divsChild>
        <w:div w:id="923880142">
          <w:marLeft w:val="0"/>
          <w:marRight w:val="0"/>
          <w:marTop w:val="0"/>
          <w:marBottom w:val="0"/>
          <w:divBdr>
            <w:top w:val="none" w:sz="0" w:space="0" w:color="auto"/>
            <w:left w:val="none" w:sz="0" w:space="0" w:color="auto"/>
            <w:bottom w:val="none" w:sz="0" w:space="0" w:color="auto"/>
            <w:right w:val="none" w:sz="0" w:space="0" w:color="auto"/>
          </w:divBdr>
          <w:divsChild>
            <w:div w:id="1413553022">
              <w:marLeft w:val="0"/>
              <w:marRight w:val="0"/>
              <w:marTop w:val="0"/>
              <w:marBottom w:val="0"/>
              <w:divBdr>
                <w:top w:val="none" w:sz="0" w:space="0" w:color="auto"/>
                <w:left w:val="none" w:sz="0" w:space="0" w:color="auto"/>
                <w:bottom w:val="none" w:sz="0" w:space="0" w:color="auto"/>
                <w:right w:val="none" w:sz="0" w:space="0" w:color="auto"/>
              </w:divBdr>
              <w:divsChild>
                <w:div w:id="1366368568">
                  <w:marLeft w:val="0"/>
                  <w:marRight w:val="0"/>
                  <w:marTop w:val="0"/>
                  <w:marBottom w:val="0"/>
                  <w:divBdr>
                    <w:top w:val="none" w:sz="0" w:space="0" w:color="auto"/>
                    <w:left w:val="none" w:sz="0" w:space="0" w:color="auto"/>
                    <w:bottom w:val="none" w:sz="0" w:space="0" w:color="auto"/>
                    <w:right w:val="none" w:sz="0" w:space="0" w:color="auto"/>
                  </w:divBdr>
                  <w:divsChild>
                    <w:div w:id="176576697">
                      <w:marLeft w:val="0"/>
                      <w:marRight w:val="0"/>
                      <w:marTop w:val="0"/>
                      <w:marBottom w:val="0"/>
                      <w:divBdr>
                        <w:top w:val="none" w:sz="0" w:space="0" w:color="auto"/>
                        <w:left w:val="none" w:sz="0" w:space="0" w:color="auto"/>
                        <w:bottom w:val="none" w:sz="0" w:space="0" w:color="auto"/>
                        <w:right w:val="none" w:sz="0" w:space="0" w:color="auto"/>
                      </w:divBdr>
                    </w:div>
                    <w:div w:id="868760927">
                      <w:marLeft w:val="0"/>
                      <w:marRight w:val="0"/>
                      <w:marTop w:val="120"/>
                      <w:marBottom w:val="0"/>
                      <w:divBdr>
                        <w:top w:val="none" w:sz="0" w:space="0" w:color="auto"/>
                        <w:left w:val="none" w:sz="0" w:space="0" w:color="auto"/>
                        <w:bottom w:val="none" w:sz="0" w:space="0" w:color="auto"/>
                        <w:right w:val="none" w:sz="0" w:space="0" w:color="auto"/>
                      </w:divBdr>
                    </w:div>
                  </w:divsChild>
                </w:div>
                <w:div w:id="1996882152">
                  <w:marLeft w:val="0"/>
                  <w:marRight w:val="0"/>
                  <w:marTop w:val="0"/>
                  <w:marBottom w:val="0"/>
                  <w:divBdr>
                    <w:top w:val="none" w:sz="0" w:space="0" w:color="auto"/>
                    <w:left w:val="none" w:sz="0" w:space="0" w:color="auto"/>
                    <w:bottom w:val="none" w:sz="0" w:space="0" w:color="auto"/>
                    <w:right w:val="none" w:sz="0" w:space="0" w:color="auto"/>
                  </w:divBdr>
                  <w:divsChild>
                    <w:div w:id="66420666">
                      <w:marLeft w:val="0"/>
                      <w:marRight w:val="0"/>
                      <w:marTop w:val="120"/>
                      <w:marBottom w:val="0"/>
                      <w:divBdr>
                        <w:top w:val="none" w:sz="0" w:space="0" w:color="auto"/>
                        <w:left w:val="none" w:sz="0" w:space="0" w:color="auto"/>
                        <w:bottom w:val="none" w:sz="0" w:space="0" w:color="auto"/>
                        <w:right w:val="none" w:sz="0" w:space="0" w:color="auto"/>
                      </w:divBdr>
                    </w:div>
                    <w:div w:id="9415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1634">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 w:id="1814954408">
          <w:marLeft w:val="0"/>
          <w:marRight w:val="0"/>
          <w:marTop w:val="0"/>
          <w:marBottom w:val="0"/>
          <w:divBdr>
            <w:top w:val="none" w:sz="0" w:space="0" w:color="auto"/>
            <w:left w:val="none" w:sz="0" w:space="0" w:color="auto"/>
            <w:bottom w:val="none" w:sz="0" w:space="0" w:color="auto"/>
            <w:right w:val="none" w:sz="0" w:space="0" w:color="auto"/>
          </w:divBdr>
          <w:divsChild>
            <w:div w:id="42676350">
              <w:marLeft w:val="0"/>
              <w:marRight w:val="0"/>
              <w:marTop w:val="0"/>
              <w:marBottom w:val="0"/>
              <w:divBdr>
                <w:top w:val="none" w:sz="0" w:space="0" w:color="auto"/>
                <w:left w:val="none" w:sz="0" w:space="0" w:color="auto"/>
                <w:bottom w:val="none" w:sz="0" w:space="0" w:color="auto"/>
                <w:right w:val="none" w:sz="0" w:space="0" w:color="auto"/>
              </w:divBdr>
            </w:div>
          </w:divsChild>
        </w:div>
        <w:div w:id="1831824381">
          <w:marLeft w:val="0"/>
          <w:marRight w:val="0"/>
          <w:marTop w:val="0"/>
          <w:marBottom w:val="0"/>
          <w:divBdr>
            <w:top w:val="none" w:sz="0" w:space="0" w:color="auto"/>
            <w:left w:val="none" w:sz="0" w:space="0" w:color="auto"/>
            <w:bottom w:val="none" w:sz="0" w:space="0" w:color="auto"/>
            <w:right w:val="none" w:sz="0" w:space="0" w:color="auto"/>
          </w:divBdr>
          <w:divsChild>
            <w:div w:id="13743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1219">
      <w:bodyDiv w:val="1"/>
      <w:marLeft w:val="0"/>
      <w:marRight w:val="0"/>
      <w:marTop w:val="0"/>
      <w:marBottom w:val="0"/>
      <w:divBdr>
        <w:top w:val="none" w:sz="0" w:space="0" w:color="auto"/>
        <w:left w:val="none" w:sz="0" w:space="0" w:color="auto"/>
        <w:bottom w:val="none" w:sz="0" w:space="0" w:color="auto"/>
        <w:right w:val="none" w:sz="0" w:space="0" w:color="auto"/>
      </w:divBdr>
      <w:divsChild>
        <w:div w:id="501772792">
          <w:marLeft w:val="0"/>
          <w:marRight w:val="0"/>
          <w:marTop w:val="0"/>
          <w:marBottom w:val="0"/>
          <w:divBdr>
            <w:top w:val="none" w:sz="0" w:space="0" w:color="auto"/>
            <w:left w:val="none" w:sz="0" w:space="0" w:color="auto"/>
            <w:bottom w:val="none" w:sz="0" w:space="0" w:color="auto"/>
            <w:right w:val="none" w:sz="0" w:space="0" w:color="auto"/>
          </w:divBdr>
          <w:divsChild>
            <w:div w:id="1096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8517">
      <w:bodyDiv w:val="1"/>
      <w:marLeft w:val="0"/>
      <w:marRight w:val="0"/>
      <w:marTop w:val="0"/>
      <w:marBottom w:val="0"/>
      <w:divBdr>
        <w:top w:val="none" w:sz="0" w:space="0" w:color="auto"/>
        <w:left w:val="none" w:sz="0" w:space="0" w:color="auto"/>
        <w:bottom w:val="none" w:sz="0" w:space="0" w:color="auto"/>
        <w:right w:val="none" w:sz="0" w:space="0" w:color="auto"/>
      </w:divBdr>
      <w:divsChild>
        <w:div w:id="301077361">
          <w:marLeft w:val="0"/>
          <w:marRight w:val="0"/>
          <w:marTop w:val="120"/>
          <w:marBottom w:val="0"/>
          <w:divBdr>
            <w:top w:val="none" w:sz="0" w:space="0" w:color="auto"/>
            <w:left w:val="none" w:sz="0" w:space="0" w:color="auto"/>
            <w:bottom w:val="none" w:sz="0" w:space="0" w:color="auto"/>
            <w:right w:val="none" w:sz="0" w:space="0" w:color="auto"/>
          </w:divBdr>
        </w:div>
        <w:div w:id="1900748985">
          <w:marLeft w:val="0"/>
          <w:marRight w:val="0"/>
          <w:marTop w:val="0"/>
          <w:marBottom w:val="0"/>
          <w:divBdr>
            <w:top w:val="none" w:sz="0" w:space="0" w:color="auto"/>
            <w:left w:val="none" w:sz="0" w:space="0" w:color="auto"/>
            <w:bottom w:val="none" w:sz="0" w:space="0" w:color="auto"/>
            <w:right w:val="none" w:sz="0" w:space="0" w:color="auto"/>
          </w:divBdr>
        </w:div>
      </w:divsChild>
    </w:div>
    <w:div w:id="1625430169">
      <w:bodyDiv w:val="1"/>
      <w:marLeft w:val="0"/>
      <w:marRight w:val="0"/>
      <w:marTop w:val="0"/>
      <w:marBottom w:val="0"/>
      <w:divBdr>
        <w:top w:val="none" w:sz="0" w:space="0" w:color="auto"/>
        <w:left w:val="none" w:sz="0" w:space="0" w:color="auto"/>
        <w:bottom w:val="none" w:sz="0" w:space="0" w:color="auto"/>
        <w:right w:val="none" w:sz="0" w:space="0" w:color="auto"/>
      </w:divBdr>
    </w:div>
    <w:div w:id="1660160231">
      <w:bodyDiv w:val="1"/>
      <w:marLeft w:val="0"/>
      <w:marRight w:val="0"/>
      <w:marTop w:val="0"/>
      <w:marBottom w:val="0"/>
      <w:divBdr>
        <w:top w:val="none" w:sz="0" w:space="0" w:color="auto"/>
        <w:left w:val="none" w:sz="0" w:space="0" w:color="auto"/>
        <w:bottom w:val="none" w:sz="0" w:space="0" w:color="auto"/>
        <w:right w:val="none" w:sz="0" w:space="0" w:color="auto"/>
      </w:divBdr>
      <w:divsChild>
        <w:div w:id="1753772046">
          <w:marLeft w:val="0"/>
          <w:marRight w:val="0"/>
          <w:marTop w:val="0"/>
          <w:marBottom w:val="0"/>
          <w:divBdr>
            <w:top w:val="none" w:sz="0" w:space="0" w:color="auto"/>
            <w:left w:val="none" w:sz="0" w:space="0" w:color="auto"/>
            <w:bottom w:val="none" w:sz="0" w:space="0" w:color="auto"/>
            <w:right w:val="none" w:sz="0" w:space="0" w:color="auto"/>
          </w:divBdr>
        </w:div>
      </w:divsChild>
    </w:div>
    <w:div w:id="1669820691">
      <w:bodyDiv w:val="1"/>
      <w:marLeft w:val="0"/>
      <w:marRight w:val="0"/>
      <w:marTop w:val="0"/>
      <w:marBottom w:val="0"/>
      <w:divBdr>
        <w:top w:val="none" w:sz="0" w:space="0" w:color="auto"/>
        <w:left w:val="none" w:sz="0" w:space="0" w:color="auto"/>
        <w:bottom w:val="none" w:sz="0" w:space="0" w:color="auto"/>
        <w:right w:val="none" w:sz="0" w:space="0" w:color="auto"/>
      </w:divBdr>
      <w:divsChild>
        <w:div w:id="1245801535">
          <w:marLeft w:val="0"/>
          <w:marRight w:val="0"/>
          <w:marTop w:val="0"/>
          <w:marBottom w:val="0"/>
          <w:divBdr>
            <w:top w:val="none" w:sz="0" w:space="0" w:color="auto"/>
            <w:left w:val="none" w:sz="0" w:space="0" w:color="auto"/>
            <w:bottom w:val="none" w:sz="0" w:space="0" w:color="auto"/>
            <w:right w:val="none" w:sz="0" w:space="0" w:color="auto"/>
          </w:divBdr>
          <w:divsChild>
            <w:div w:id="1604679425">
              <w:marLeft w:val="0"/>
              <w:marRight w:val="0"/>
              <w:marTop w:val="0"/>
              <w:marBottom w:val="0"/>
              <w:divBdr>
                <w:top w:val="none" w:sz="0" w:space="0" w:color="auto"/>
                <w:left w:val="none" w:sz="0" w:space="0" w:color="auto"/>
                <w:bottom w:val="none" w:sz="0" w:space="0" w:color="auto"/>
                <w:right w:val="none" w:sz="0" w:space="0" w:color="auto"/>
              </w:divBdr>
              <w:divsChild>
                <w:div w:id="1196191691">
                  <w:marLeft w:val="0"/>
                  <w:marRight w:val="0"/>
                  <w:marTop w:val="0"/>
                  <w:marBottom w:val="0"/>
                  <w:divBdr>
                    <w:top w:val="none" w:sz="0" w:space="0" w:color="auto"/>
                    <w:left w:val="none" w:sz="0" w:space="0" w:color="auto"/>
                    <w:bottom w:val="none" w:sz="0" w:space="0" w:color="auto"/>
                    <w:right w:val="none" w:sz="0" w:space="0" w:color="auto"/>
                  </w:divBdr>
                </w:div>
                <w:div w:id="1688363203">
                  <w:marLeft w:val="0"/>
                  <w:marRight w:val="0"/>
                  <w:marTop w:val="120"/>
                  <w:marBottom w:val="0"/>
                  <w:divBdr>
                    <w:top w:val="none" w:sz="0" w:space="0" w:color="auto"/>
                    <w:left w:val="none" w:sz="0" w:space="0" w:color="auto"/>
                    <w:bottom w:val="none" w:sz="0" w:space="0" w:color="auto"/>
                    <w:right w:val="none" w:sz="0" w:space="0" w:color="auto"/>
                  </w:divBdr>
                </w:div>
              </w:divsChild>
            </w:div>
            <w:div w:id="1877348425">
              <w:marLeft w:val="0"/>
              <w:marRight w:val="0"/>
              <w:marTop w:val="0"/>
              <w:marBottom w:val="0"/>
              <w:divBdr>
                <w:top w:val="none" w:sz="0" w:space="0" w:color="auto"/>
                <w:left w:val="none" w:sz="0" w:space="0" w:color="auto"/>
                <w:bottom w:val="none" w:sz="0" w:space="0" w:color="auto"/>
                <w:right w:val="none" w:sz="0" w:space="0" w:color="auto"/>
              </w:divBdr>
              <w:divsChild>
                <w:div w:id="38214712">
                  <w:marLeft w:val="0"/>
                  <w:marRight w:val="0"/>
                  <w:marTop w:val="120"/>
                  <w:marBottom w:val="0"/>
                  <w:divBdr>
                    <w:top w:val="none" w:sz="0" w:space="0" w:color="auto"/>
                    <w:left w:val="none" w:sz="0" w:space="0" w:color="auto"/>
                    <w:bottom w:val="none" w:sz="0" w:space="0" w:color="auto"/>
                    <w:right w:val="none" w:sz="0" w:space="0" w:color="auto"/>
                  </w:divBdr>
                </w:div>
                <w:div w:id="8421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9881">
      <w:bodyDiv w:val="1"/>
      <w:marLeft w:val="0"/>
      <w:marRight w:val="0"/>
      <w:marTop w:val="0"/>
      <w:marBottom w:val="0"/>
      <w:divBdr>
        <w:top w:val="none" w:sz="0" w:space="0" w:color="auto"/>
        <w:left w:val="none" w:sz="0" w:space="0" w:color="auto"/>
        <w:bottom w:val="none" w:sz="0" w:space="0" w:color="auto"/>
        <w:right w:val="none" w:sz="0" w:space="0" w:color="auto"/>
      </w:divBdr>
      <w:divsChild>
        <w:div w:id="39520826">
          <w:marLeft w:val="0"/>
          <w:marRight w:val="0"/>
          <w:marTop w:val="0"/>
          <w:marBottom w:val="0"/>
          <w:divBdr>
            <w:top w:val="none" w:sz="0" w:space="0" w:color="auto"/>
            <w:left w:val="none" w:sz="0" w:space="0" w:color="auto"/>
            <w:bottom w:val="none" w:sz="0" w:space="0" w:color="auto"/>
            <w:right w:val="none" w:sz="0" w:space="0" w:color="auto"/>
          </w:divBdr>
        </w:div>
      </w:divsChild>
    </w:div>
    <w:div w:id="1686635955">
      <w:bodyDiv w:val="1"/>
      <w:marLeft w:val="0"/>
      <w:marRight w:val="0"/>
      <w:marTop w:val="0"/>
      <w:marBottom w:val="0"/>
      <w:divBdr>
        <w:top w:val="none" w:sz="0" w:space="0" w:color="auto"/>
        <w:left w:val="none" w:sz="0" w:space="0" w:color="auto"/>
        <w:bottom w:val="none" w:sz="0" w:space="0" w:color="auto"/>
        <w:right w:val="none" w:sz="0" w:space="0" w:color="auto"/>
      </w:divBdr>
      <w:divsChild>
        <w:div w:id="246578371">
          <w:marLeft w:val="0"/>
          <w:marRight w:val="0"/>
          <w:marTop w:val="0"/>
          <w:marBottom w:val="0"/>
          <w:divBdr>
            <w:top w:val="none" w:sz="0" w:space="0" w:color="auto"/>
            <w:left w:val="none" w:sz="0" w:space="0" w:color="auto"/>
            <w:bottom w:val="none" w:sz="0" w:space="0" w:color="auto"/>
            <w:right w:val="none" w:sz="0" w:space="0" w:color="auto"/>
          </w:divBdr>
          <w:divsChild>
            <w:div w:id="544030804">
              <w:marLeft w:val="0"/>
              <w:marRight w:val="0"/>
              <w:marTop w:val="120"/>
              <w:marBottom w:val="0"/>
              <w:divBdr>
                <w:top w:val="none" w:sz="0" w:space="0" w:color="auto"/>
                <w:left w:val="none" w:sz="0" w:space="0" w:color="auto"/>
                <w:bottom w:val="none" w:sz="0" w:space="0" w:color="auto"/>
                <w:right w:val="none" w:sz="0" w:space="0" w:color="auto"/>
              </w:divBdr>
            </w:div>
            <w:div w:id="1829320264">
              <w:marLeft w:val="0"/>
              <w:marRight w:val="0"/>
              <w:marTop w:val="0"/>
              <w:marBottom w:val="0"/>
              <w:divBdr>
                <w:top w:val="none" w:sz="0" w:space="0" w:color="auto"/>
                <w:left w:val="none" w:sz="0" w:space="0" w:color="auto"/>
                <w:bottom w:val="none" w:sz="0" w:space="0" w:color="auto"/>
                <w:right w:val="none" w:sz="0" w:space="0" w:color="auto"/>
              </w:divBdr>
            </w:div>
          </w:divsChild>
        </w:div>
        <w:div w:id="828205838">
          <w:marLeft w:val="0"/>
          <w:marRight w:val="0"/>
          <w:marTop w:val="0"/>
          <w:marBottom w:val="0"/>
          <w:divBdr>
            <w:top w:val="none" w:sz="0" w:space="0" w:color="auto"/>
            <w:left w:val="none" w:sz="0" w:space="0" w:color="auto"/>
            <w:bottom w:val="none" w:sz="0" w:space="0" w:color="auto"/>
            <w:right w:val="none" w:sz="0" w:space="0" w:color="auto"/>
          </w:divBdr>
          <w:divsChild>
            <w:div w:id="1613782192">
              <w:marLeft w:val="0"/>
              <w:marRight w:val="0"/>
              <w:marTop w:val="120"/>
              <w:marBottom w:val="0"/>
              <w:divBdr>
                <w:top w:val="none" w:sz="0" w:space="0" w:color="auto"/>
                <w:left w:val="none" w:sz="0" w:space="0" w:color="auto"/>
                <w:bottom w:val="none" w:sz="0" w:space="0" w:color="auto"/>
                <w:right w:val="none" w:sz="0" w:space="0" w:color="auto"/>
              </w:divBdr>
            </w:div>
            <w:div w:id="1643002001">
              <w:marLeft w:val="0"/>
              <w:marRight w:val="0"/>
              <w:marTop w:val="0"/>
              <w:marBottom w:val="0"/>
              <w:divBdr>
                <w:top w:val="none" w:sz="0" w:space="0" w:color="auto"/>
                <w:left w:val="none" w:sz="0" w:space="0" w:color="auto"/>
                <w:bottom w:val="none" w:sz="0" w:space="0" w:color="auto"/>
                <w:right w:val="none" w:sz="0" w:space="0" w:color="auto"/>
              </w:divBdr>
            </w:div>
          </w:divsChild>
        </w:div>
        <w:div w:id="850417066">
          <w:marLeft w:val="0"/>
          <w:marRight w:val="0"/>
          <w:marTop w:val="0"/>
          <w:marBottom w:val="0"/>
          <w:divBdr>
            <w:top w:val="none" w:sz="0" w:space="0" w:color="auto"/>
            <w:left w:val="none" w:sz="0" w:space="0" w:color="auto"/>
            <w:bottom w:val="none" w:sz="0" w:space="0" w:color="auto"/>
            <w:right w:val="none" w:sz="0" w:space="0" w:color="auto"/>
          </w:divBdr>
          <w:divsChild>
            <w:div w:id="1204904284">
              <w:marLeft w:val="0"/>
              <w:marRight w:val="0"/>
              <w:marTop w:val="0"/>
              <w:marBottom w:val="0"/>
              <w:divBdr>
                <w:top w:val="none" w:sz="0" w:space="0" w:color="auto"/>
                <w:left w:val="none" w:sz="0" w:space="0" w:color="auto"/>
                <w:bottom w:val="none" w:sz="0" w:space="0" w:color="auto"/>
                <w:right w:val="none" w:sz="0" w:space="0" w:color="auto"/>
              </w:divBdr>
            </w:div>
            <w:div w:id="2032025439">
              <w:marLeft w:val="0"/>
              <w:marRight w:val="0"/>
              <w:marTop w:val="120"/>
              <w:marBottom w:val="0"/>
              <w:divBdr>
                <w:top w:val="none" w:sz="0" w:space="0" w:color="auto"/>
                <w:left w:val="none" w:sz="0" w:space="0" w:color="auto"/>
                <w:bottom w:val="none" w:sz="0" w:space="0" w:color="auto"/>
                <w:right w:val="none" w:sz="0" w:space="0" w:color="auto"/>
              </w:divBdr>
            </w:div>
          </w:divsChild>
        </w:div>
        <w:div w:id="949245773">
          <w:marLeft w:val="0"/>
          <w:marRight w:val="0"/>
          <w:marTop w:val="0"/>
          <w:marBottom w:val="0"/>
          <w:divBdr>
            <w:top w:val="none" w:sz="0" w:space="0" w:color="auto"/>
            <w:left w:val="none" w:sz="0" w:space="0" w:color="auto"/>
            <w:bottom w:val="none" w:sz="0" w:space="0" w:color="auto"/>
            <w:right w:val="none" w:sz="0" w:space="0" w:color="auto"/>
          </w:divBdr>
          <w:divsChild>
            <w:div w:id="903101125">
              <w:marLeft w:val="0"/>
              <w:marRight w:val="0"/>
              <w:marTop w:val="0"/>
              <w:marBottom w:val="0"/>
              <w:divBdr>
                <w:top w:val="none" w:sz="0" w:space="0" w:color="auto"/>
                <w:left w:val="none" w:sz="0" w:space="0" w:color="auto"/>
                <w:bottom w:val="none" w:sz="0" w:space="0" w:color="auto"/>
                <w:right w:val="none" w:sz="0" w:space="0" w:color="auto"/>
              </w:divBdr>
            </w:div>
            <w:div w:id="1475369067">
              <w:marLeft w:val="0"/>
              <w:marRight w:val="0"/>
              <w:marTop w:val="120"/>
              <w:marBottom w:val="0"/>
              <w:divBdr>
                <w:top w:val="none" w:sz="0" w:space="0" w:color="auto"/>
                <w:left w:val="none" w:sz="0" w:space="0" w:color="auto"/>
                <w:bottom w:val="none" w:sz="0" w:space="0" w:color="auto"/>
                <w:right w:val="none" w:sz="0" w:space="0" w:color="auto"/>
              </w:divBdr>
            </w:div>
          </w:divsChild>
        </w:div>
        <w:div w:id="1099446866">
          <w:marLeft w:val="0"/>
          <w:marRight w:val="0"/>
          <w:marTop w:val="0"/>
          <w:marBottom w:val="0"/>
          <w:divBdr>
            <w:top w:val="none" w:sz="0" w:space="0" w:color="auto"/>
            <w:left w:val="none" w:sz="0" w:space="0" w:color="auto"/>
            <w:bottom w:val="none" w:sz="0" w:space="0" w:color="auto"/>
            <w:right w:val="none" w:sz="0" w:space="0" w:color="auto"/>
          </w:divBdr>
          <w:divsChild>
            <w:div w:id="292564300">
              <w:marLeft w:val="0"/>
              <w:marRight w:val="0"/>
              <w:marTop w:val="0"/>
              <w:marBottom w:val="0"/>
              <w:divBdr>
                <w:top w:val="none" w:sz="0" w:space="0" w:color="auto"/>
                <w:left w:val="none" w:sz="0" w:space="0" w:color="auto"/>
                <w:bottom w:val="none" w:sz="0" w:space="0" w:color="auto"/>
                <w:right w:val="none" w:sz="0" w:space="0" w:color="auto"/>
              </w:divBdr>
            </w:div>
            <w:div w:id="1649818488">
              <w:marLeft w:val="0"/>
              <w:marRight w:val="0"/>
              <w:marTop w:val="120"/>
              <w:marBottom w:val="0"/>
              <w:divBdr>
                <w:top w:val="none" w:sz="0" w:space="0" w:color="auto"/>
                <w:left w:val="none" w:sz="0" w:space="0" w:color="auto"/>
                <w:bottom w:val="none" w:sz="0" w:space="0" w:color="auto"/>
                <w:right w:val="none" w:sz="0" w:space="0" w:color="auto"/>
              </w:divBdr>
            </w:div>
          </w:divsChild>
        </w:div>
        <w:div w:id="1366829585">
          <w:marLeft w:val="0"/>
          <w:marRight w:val="0"/>
          <w:marTop w:val="0"/>
          <w:marBottom w:val="0"/>
          <w:divBdr>
            <w:top w:val="none" w:sz="0" w:space="0" w:color="auto"/>
            <w:left w:val="none" w:sz="0" w:space="0" w:color="auto"/>
            <w:bottom w:val="none" w:sz="0" w:space="0" w:color="auto"/>
            <w:right w:val="none" w:sz="0" w:space="0" w:color="auto"/>
          </w:divBdr>
          <w:divsChild>
            <w:div w:id="828982489">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120"/>
              <w:marBottom w:val="0"/>
              <w:divBdr>
                <w:top w:val="none" w:sz="0" w:space="0" w:color="auto"/>
                <w:left w:val="none" w:sz="0" w:space="0" w:color="auto"/>
                <w:bottom w:val="none" w:sz="0" w:space="0" w:color="auto"/>
                <w:right w:val="none" w:sz="0" w:space="0" w:color="auto"/>
              </w:divBdr>
            </w:div>
          </w:divsChild>
        </w:div>
        <w:div w:id="1967348988">
          <w:marLeft w:val="0"/>
          <w:marRight w:val="0"/>
          <w:marTop w:val="0"/>
          <w:marBottom w:val="0"/>
          <w:divBdr>
            <w:top w:val="none" w:sz="0" w:space="0" w:color="auto"/>
            <w:left w:val="none" w:sz="0" w:space="0" w:color="auto"/>
            <w:bottom w:val="none" w:sz="0" w:space="0" w:color="auto"/>
            <w:right w:val="none" w:sz="0" w:space="0" w:color="auto"/>
          </w:divBdr>
          <w:divsChild>
            <w:div w:id="894584730">
              <w:marLeft w:val="0"/>
              <w:marRight w:val="0"/>
              <w:marTop w:val="0"/>
              <w:marBottom w:val="0"/>
              <w:divBdr>
                <w:top w:val="none" w:sz="0" w:space="0" w:color="auto"/>
                <w:left w:val="none" w:sz="0" w:space="0" w:color="auto"/>
                <w:bottom w:val="none" w:sz="0" w:space="0" w:color="auto"/>
                <w:right w:val="none" w:sz="0" w:space="0" w:color="auto"/>
              </w:divBdr>
            </w:div>
            <w:div w:id="14233367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1299240">
      <w:bodyDiv w:val="1"/>
      <w:marLeft w:val="0"/>
      <w:marRight w:val="0"/>
      <w:marTop w:val="0"/>
      <w:marBottom w:val="0"/>
      <w:divBdr>
        <w:top w:val="none" w:sz="0" w:space="0" w:color="auto"/>
        <w:left w:val="none" w:sz="0" w:space="0" w:color="auto"/>
        <w:bottom w:val="none" w:sz="0" w:space="0" w:color="auto"/>
        <w:right w:val="none" w:sz="0" w:space="0" w:color="auto"/>
      </w:divBdr>
      <w:divsChild>
        <w:div w:id="1944072551">
          <w:marLeft w:val="0"/>
          <w:marRight w:val="0"/>
          <w:marTop w:val="0"/>
          <w:marBottom w:val="0"/>
          <w:divBdr>
            <w:top w:val="none" w:sz="0" w:space="0" w:color="auto"/>
            <w:left w:val="none" w:sz="0" w:space="0" w:color="auto"/>
            <w:bottom w:val="none" w:sz="0" w:space="0" w:color="auto"/>
            <w:right w:val="none" w:sz="0" w:space="0" w:color="auto"/>
          </w:divBdr>
        </w:div>
      </w:divsChild>
    </w:div>
    <w:div w:id="1692490817">
      <w:bodyDiv w:val="1"/>
      <w:marLeft w:val="0"/>
      <w:marRight w:val="0"/>
      <w:marTop w:val="0"/>
      <w:marBottom w:val="0"/>
      <w:divBdr>
        <w:top w:val="none" w:sz="0" w:space="0" w:color="auto"/>
        <w:left w:val="none" w:sz="0" w:space="0" w:color="auto"/>
        <w:bottom w:val="none" w:sz="0" w:space="0" w:color="auto"/>
        <w:right w:val="none" w:sz="0" w:space="0" w:color="auto"/>
      </w:divBdr>
    </w:div>
    <w:div w:id="1700664576">
      <w:bodyDiv w:val="1"/>
      <w:marLeft w:val="0"/>
      <w:marRight w:val="0"/>
      <w:marTop w:val="0"/>
      <w:marBottom w:val="0"/>
      <w:divBdr>
        <w:top w:val="none" w:sz="0" w:space="0" w:color="auto"/>
        <w:left w:val="none" w:sz="0" w:space="0" w:color="auto"/>
        <w:bottom w:val="none" w:sz="0" w:space="0" w:color="auto"/>
        <w:right w:val="none" w:sz="0" w:space="0" w:color="auto"/>
      </w:divBdr>
      <w:divsChild>
        <w:div w:id="302128182">
          <w:marLeft w:val="0"/>
          <w:marRight w:val="0"/>
          <w:marTop w:val="0"/>
          <w:marBottom w:val="0"/>
          <w:divBdr>
            <w:top w:val="none" w:sz="0" w:space="0" w:color="auto"/>
            <w:left w:val="none" w:sz="0" w:space="0" w:color="auto"/>
            <w:bottom w:val="none" w:sz="0" w:space="0" w:color="auto"/>
            <w:right w:val="none" w:sz="0" w:space="0" w:color="auto"/>
          </w:divBdr>
          <w:divsChild>
            <w:div w:id="42295243">
              <w:marLeft w:val="0"/>
              <w:marRight w:val="0"/>
              <w:marTop w:val="120"/>
              <w:marBottom w:val="0"/>
              <w:divBdr>
                <w:top w:val="none" w:sz="0" w:space="0" w:color="auto"/>
                <w:left w:val="none" w:sz="0" w:space="0" w:color="auto"/>
                <w:bottom w:val="none" w:sz="0" w:space="0" w:color="auto"/>
                <w:right w:val="none" w:sz="0" w:space="0" w:color="auto"/>
              </w:divBdr>
            </w:div>
            <w:div w:id="5529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730">
      <w:bodyDiv w:val="1"/>
      <w:marLeft w:val="0"/>
      <w:marRight w:val="0"/>
      <w:marTop w:val="0"/>
      <w:marBottom w:val="0"/>
      <w:divBdr>
        <w:top w:val="none" w:sz="0" w:space="0" w:color="auto"/>
        <w:left w:val="none" w:sz="0" w:space="0" w:color="auto"/>
        <w:bottom w:val="none" w:sz="0" w:space="0" w:color="auto"/>
        <w:right w:val="none" w:sz="0" w:space="0" w:color="auto"/>
      </w:divBdr>
    </w:div>
    <w:div w:id="1759323724">
      <w:bodyDiv w:val="1"/>
      <w:marLeft w:val="0"/>
      <w:marRight w:val="0"/>
      <w:marTop w:val="0"/>
      <w:marBottom w:val="0"/>
      <w:divBdr>
        <w:top w:val="none" w:sz="0" w:space="0" w:color="auto"/>
        <w:left w:val="none" w:sz="0" w:space="0" w:color="auto"/>
        <w:bottom w:val="none" w:sz="0" w:space="0" w:color="auto"/>
        <w:right w:val="none" w:sz="0" w:space="0" w:color="auto"/>
      </w:divBdr>
      <w:divsChild>
        <w:div w:id="993799804">
          <w:marLeft w:val="0"/>
          <w:marRight w:val="0"/>
          <w:marTop w:val="0"/>
          <w:marBottom w:val="0"/>
          <w:divBdr>
            <w:top w:val="none" w:sz="0" w:space="0" w:color="auto"/>
            <w:left w:val="none" w:sz="0" w:space="0" w:color="auto"/>
            <w:bottom w:val="none" w:sz="0" w:space="0" w:color="auto"/>
            <w:right w:val="none" w:sz="0" w:space="0" w:color="auto"/>
          </w:divBdr>
        </w:div>
      </w:divsChild>
    </w:div>
    <w:div w:id="1761443618">
      <w:bodyDiv w:val="1"/>
      <w:marLeft w:val="0"/>
      <w:marRight w:val="0"/>
      <w:marTop w:val="0"/>
      <w:marBottom w:val="0"/>
      <w:divBdr>
        <w:top w:val="none" w:sz="0" w:space="0" w:color="auto"/>
        <w:left w:val="none" w:sz="0" w:space="0" w:color="auto"/>
        <w:bottom w:val="none" w:sz="0" w:space="0" w:color="auto"/>
        <w:right w:val="none" w:sz="0" w:space="0" w:color="auto"/>
      </w:divBdr>
    </w:div>
    <w:div w:id="1762096570">
      <w:bodyDiv w:val="1"/>
      <w:marLeft w:val="0"/>
      <w:marRight w:val="0"/>
      <w:marTop w:val="0"/>
      <w:marBottom w:val="0"/>
      <w:divBdr>
        <w:top w:val="none" w:sz="0" w:space="0" w:color="auto"/>
        <w:left w:val="none" w:sz="0" w:space="0" w:color="auto"/>
        <w:bottom w:val="none" w:sz="0" w:space="0" w:color="auto"/>
        <w:right w:val="none" w:sz="0" w:space="0" w:color="auto"/>
      </w:divBdr>
      <w:divsChild>
        <w:div w:id="278993701">
          <w:marLeft w:val="0"/>
          <w:marRight w:val="0"/>
          <w:marTop w:val="0"/>
          <w:marBottom w:val="0"/>
          <w:divBdr>
            <w:top w:val="none" w:sz="0" w:space="0" w:color="auto"/>
            <w:left w:val="none" w:sz="0" w:space="0" w:color="auto"/>
            <w:bottom w:val="none" w:sz="0" w:space="0" w:color="auto"/>
            <w:right w:val="none" w:sz="0" w:space="0" w:color="auto"/>
          </w:divBdr>
          <w:divsChild>
            <w:div w:id="112602272">
              <w:marLeft w:val="0"/>
              <w:marRight w:val="0"/>
              <w:marTop w:val="0"/>
              <w:marBottom w:val="0"/>
              <w:divBdr>
                <w:top w:val="none" w:sz="0" w:space="0" w:color="auto"/>
                <w:left w:val="none" w:sz="0" w:space="0" w:color="auto"/>
                <w:bottom w:val="none" w:sz="0" w:space="0" w:color="auto"/>
                <w:right w:val="none" w:sz="0" w:space="0" w:color="auto"/>
              </w:divBdr>
              <w:divsChild>
                <w:div w:id="379476725">
                  <w:marLeft w:val="0"/>
                  <w:marRight w:val="0"/>
                  <w:marTop w:val="0"/>
                  <w:marBottom w:val="0"/>
                  <w:divBdr>
                    <w:top w:val="none" w:sz="0" w:space="0" w:color="auto"/>
                    <w:left w:val="none" w:sz="0" w:space="0" w:color="auto"/>
                    <w:bottom w:val="none" w:sz="0" w:space="0" w:color="auto"/>
                    <w:right w:val="none" w:sz="0" w:space="0" w:color="auto"/>
                  </w:divBdr>
                  <w:divsChild>
                    <w:div w:id="2020308253">
                      <w:marLeft w:val="0"/>
                      <w:marRight w:val="0"/>
                      <w:marTop w:val="0"/>
                      <w:marBottom w:val="0"/>
                      <w:divBdr>
                        <w:top w:val="none" w:sz="0" w:space="0" w:color="auto"/>
                        <w:left w:val="none" w:sz="0" w:space="0" w:color="auto"/>
                        <w:bottom w:val="none" w:sz="0" w:space="0" w:color="auto"/>
                        <w:right w:val="none" w:sz="0" w:space="0" w:color="auto"/>
                      </w:divBdr>
                      <w:divsChild>
                        <w:div w:id="578250105">
                          <w:marLeft w:val="0"/>
                          <w:marRight w:val="0"/>
                          <w:marTop w:val="0"/>
                          <w:marBottom w:val="0"/>
                          <w:divBdr>
                            <w:top w:val="none" w:sz="0" w:space="0" w:color="auto"/>
                            <w:left w:val="none" w:sz="0" w:space="0" w:color="auto"/>
                            <w:bottom w:val="none" w:sz="0" w:space="0" w:color="auto"/>
                            <w:right w:val="none" w:sz="0" w:space="0" w:color="auto"/>
                          </w:divBdr>
                          <w:divsChild>
                            <w:div w:id="1079250069">
                              <w:marLeft w:val="0"/>
                              <w:marRight w:val="0"/>
                              <w:marTop w:val="120"/>
                              <w:marBottom w:val="0"/>
                              <w:divBdr>
                                <w:top w:val="none" w:sz="0" w:space="0" w:color="auto"/>
                                <w:left w:val="none" w:sz="0" w:space="0" w:color="auto"/>
                                <w:bottom w:val="none" w:sz="0" w:space="0" w:color="auto"/>
                                <w:right w:val="none" w:sz="0" w:space="0" w:color="auto"/>
                              </w:divBdr>
                            </w:div>
                            <w:div w:id="1245918282">
                              <w:marLeft w:val="0"/>
                              <w:marRight w:val="0"/>
                              <w:marTop w:val="0"/>
                              <w:marBottom w:val="0"/>
                              <w:divBdr>
                                <w:top w:val="none" w:sz="0" w:space="0" w:color="auto"/>
                                <w:left w:val="none" w:sz="0" w:space="0" w:color="auto"/>
                                <w:bottom w:val="none" w:sz="0" w:space="0" w:color="auto"/>
                                <w:right w:val="none" w:sz="0" w:space="0" w:color="auto"/>
                              </w:divBdr>
                            </w:div>
                          </w:divsChild>
                        </w:div>
                        <w:div w:id="782269367">
                          <w:marLeft w:val="0"/>
                          <w:marRight w:val="0"/>
                          <w:marTop w:val="0"/>
                          <w:marBottom w:val="0"/>
                          <w:divBdr>
                            <w:top w:val="none" w:sz="0" w:space="0" w:color="auto"/>
                            <w:left w:val="none" w:sz="0" w:space="0" w:color="auto"/>
                            <w:bottom w:val="none" w:sz="0" w:space="0" w:color="auto"/>
                            <w:right w:val="none" w:sz="0" w:space="0" w:color="auto"/>
                          </w:divBdr>
                          <w:divsChild>
                            <w:div w:id="1081370159">
                              <w:marLeft w:val="0"/>
                              <w:marRight w:val="0"/>
                              <w:marTop w:val="0"/>
                              <w:marBottom w:val="0"/>
                              <w:divBdr>
                                <w:top w:val="none" w:sz="0" w:space="0" w:color="auto"/>
                                <w:left w:val="none" w:sz="0" w:space="0" w:color="auto"/>
                                <w:bottom w:val="none" w:sz="0" w:space="0" w:color="auto"/>
                                <w:right w:val="none" w:sz="0" w:space="0" w:color="auto"/>
                              </w:divBdr>
                            </w:div>
                            <w:div w:id="19197080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7967094">
                      <w:marLeft w:val="0"/>
                      <w:marRight w:val="0"/>
                      <w:marTop w:val="120"/>
                      <w:marBottom w:val="0"/>
                      <w:divBdr>
                        <w:top w:val="none" w:sz="0" w:space="0" w:color="auto"/>
                        <w:left w:val="none" w:sz="0" w:space="0" w:color="auto"/>
                        <w:bottom w:val="none" w:sz="0" w:space="0" w:color="auto"/>
                        <w:right w:val="none" w:sz="0" w:space="0" w:color="auto"/>
                      </w:divBdr>
                    </w:div>
                  </w:divsChild>
                </w:div>
                <w:div w:id="710226847">
                  <w:marLeft w:val="0"/>
                  <w:marRight w:val="0"/>
                  <w:marTop w:val="0"/>
                  <w:marBottom w:val="0"/>
                  <w:divBdr>
                    <w:top w:val="none" w:sz="0" w:space="0" w:color="auto"/>
                    <w:left w:val="none" w:sz="0" w:space="0" w:color="auto"/>
                    <w:bottom w:val="none" w:sz="0" w:space="0" w:color="auto"/>
                    <w:right w:val="none" w:sz="0" w:space="0" w:color="auto"/>
                  </w:divBdr>
                  <w:divsChild>
                    <w:div w:id="186020256">
                      <w:marLeft w:val="0"/>
                      <w:marRight w:val="0"/>
                      <w:marTop w:val="0"/>
                      <w:marBottom w:val="0"/>
                      <w:divBdr>
                        <w:top w:val="none" w:sz="0" w:space="0" w:color="auto"/>
                        <w:left w:val="none" w:sz="0" w:space="0" w:color="auto"/>
                        <w:bottom w:val="none" w:sz="0" w:space="0" w:color="auto"/>
                        <w:right w:val="none" w:sz="0" w:space="0" w:color="auto"/>
                      </w:divBdr>
                    </w:div>
                    <w:div w:id="2132714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72161897">
      <w:bodyDiv w:val="1"/>
      <w:marLeft w:val="0"/>
      <w:marRight w:val="0"/>
      <w:marTop w:val="0"/>
      <w:marBottom w:val="0"/>
      <w:divBdr>
        <w:top w:val="none" w:sz="0" w:space="0" w:color="auto"/>
        <w:left w:val="none" w:sz="0" w:space="0" w:color="auto"/>
        <w:bottom w:val="none" w:sz="0" w:space="0" w:color="auto"/>
        <w:right w:val="none" w:sz="0" w:space="0" w:color="auto"/>
      </w:divBdr>
      <w:divsChild>
        <w:div w:id="1726366647">
          <w:marLeft w:val="0"/>
          <w:marRight w:val="0"/>
          <w:marTop w:val="0"/>
          <w:marBottom w:val="0"/>
          <w:divBdr>
            <w:top w:val="none" w:sz="0" w:space="0" w:color="auto"/>
            <w:left w:val="none" w:sz="0" w:space="0" w:color="auto"/>
            <w:bottom w:val="none" w:sz="0" w:space="0" w:color="auto"/>
            <w:right w:val="none" w:sz="0" w:space="0" w:color="auto"/>
          </w:divBdr>
          <w:divsChild>
            <w:div w:id="358822873">
              <w:marLeft w:val="0"/>
              <w:marRight w:val="0"/>
              <w:marTop w:val="0"/>
              <w:marBottom w:val="0"/>
              <w:divBdr>
                <w:top w:val="none" w:sz="0" w:space="0" w:color="auto"/>
                <w:left w:val="none" w:sz="0" w:space="0" w:color="auto"/>
                <w:bottom w:val="none" w:sz="0" w:space="0" w:color="auto"/>
                <w:right w:val="none" w:sz="0" w:space="0" w:color="auto"/>
              </w:divBdr>
              <w:divsChild>
                <w:div w:id="70544158">
                  <w:marLeft w:val="0"/>
                  <w:marRight w:val="0"/>
                  <w:marTop w:val="0"/>
                  <w:marBottom w:val="0"/>
                  <w:divBdr>
                    <w:top w:val="none" w:sz="0" w:space="0" w:color="auto"/>
                    <w:left w:val="none" w:sz="0" w:space="0" w:color="auto"/>
                    <w:bottom w:val="none" w:sz="0" w:space="0" w:color="auto"/>
                    <w:right w:val="none" w:sz="0" w:space="0" w:color="auto"/>
                  </w:divBdr>
                </w:div>
                <w:div w:id="2026205349">
                  <w:marLeft w:val="0"/>
                  <w:marRight w:val="0"/>
                  <w:marTop w:val="120"/>
                  <w:marBottom w:val="0"/>
                  <w:divBdr>
                    <w:top w:val="none" w:sz="0" w:space="0" w:color="auto"/>
                    <w:left w:val="none" w:sz="0" w:space="0" w:color="auto"/>
                    <w:bottom w:val="none" w:sz="0" w:space="0" w:color="auto"/>
                    <w:right w:val="none" w:sz="0" w:space="0" w:color="auto"/>
                  </w:divBdr>
                </w:div>
              </w:divsChild>
            </w:div>
            <w:div w:id="964697931">
              <w:marLeft w:val="0"/>
              <w:marRight w:val="0"/>
              <w:marTop w:val="0"/>
              <w:marBottom w:val="0"/>
              <w:divBdr>
                <w:top w:val="none" w:sz="0" w:space="0" w:color="auto"/>
                <w:left w:val="none" w:sz="0" w:space="0" w:color="auto"/>
                <w:bottom w:val="none" w:sz="0" w:space="0" w:color="auto"/>
                <w:right w:val="none" w:sz="0" w:space="0" w:color="auto"/>
              </w:divBdr>
              <w:divsChild>
                <w:div w:id="205025723">
                  <w:marLeft w:val="0"/>
                  <w:marRight w:val="0"/>
                  <w:marTop w:val="0"/>
                  <w:marBottom w:val="0"/>
                  <w:divBdr>
                    <w:top w:val="none" w:sz="0" w:space="0" w:color="auto"/>
                    <w:left w:val="none" w:sz="0" w:space="0" w:color="auto"/>
                    <w:bottom w:val="none" w:sz="0" w:space="0" w:color="auto"/>
                    <w:right w:val="none" w:sz="0" w:space="0" w:color="auto"/>
                  </w:divBdr>
                </w:div>
                <w:div w:id="793791790">
                  <w:marLeft w:val="0"/>
                  <w:marRight w:val="0"/>
                  <w:marTop w:val="120"/>
                  <w:marBottom w:val="0"/>
                  <w:divBdr>
                    <w:top w:val="none" w:sz="0" w:space="0" w:color="auto"/>
                    <w:left w:val="none" w:sz="0" w:space="0" w:color="auto"/>
                    <w:bottom w:val="none" w:sz="0" w:space="0" w:color="auto"/>
                    <w:right w:val="none" w:sz="0" w:space="0" w:color="auto"/>
                  </w:divBdr>
                </w:div>
              </w:divsChild>
            </w:div>
            <w:div w:id="1011103707">
              <w:marLeft w:val="0"/>
              <w:marRight w:val="0"/>
              <w:marTop w:val="0"/>
              <w:marBottom w:val="0"/>
              <w:divBdr>
                <w:top w:val="none" w:sz="0" w:space="0" w:color="auto"/>
                <w:left w:val="none" w:sz="0" w:space="0" w:color="auto"/>
                <w:bottom w:val="none" w:sz="0" w:space="0" w:color="auto"/>
                <w:right w:val="none" w:sz="0" w:space="0" w:color="auto"/>
              </w:divBdr>
              <w:divsChild>
                <w:div w:id="156267840">
                  <w:marLeft w:val="0"/>
                  <w:marRight w:val="0"/>
                  <w:marTop w:val="120"/>
                  <w:marBottom w:val="0"/>
                  <w:divBdr>
                    <w:top w:val="none" w:sz="0" w:space="0" w:color="auto"/>
                    <w:left w:val="none" w:sz="0" w:space="0" w:color="auto"/>
                    <w:bottom w:val="none" w:sz="0" w:space="0" w:color="auto"/>
                    <w:right w:val="none" w:sz="0" w:space="0" w:color="auto"/>
                  </w:divBdr>
                </w:div>
                <w:div w:id="947155013">
                  <w:marLeft w:val="0"/>
                  <w:marRight w:val="0"/>
                  <w:marTop w:val="0"/>
                  <w:marBottom w:val="0"/>
                  <w:divBdr>
                    <w:top w:val="none" w:sz="0" w:space="0" w:color="auto"/>
                    <w:left w:val="none" w:sz="0" w:space="0" w:color="auto"/>
                    <w:bottom w:val="none" w:sz="0" w:space="0" w:color="auto"/>
                    <w:right w:val="none" w:sz="0" w:space="0" w:color="auto"/>
                  </w:divBdr>
                </w:div>
              </w:divsChild>
            </w:div>
            <w:div w:id="1484159161">
              <w:marLeft w:val="0"/>
              <w:marRight w:val="0"/>
              <w:marTop w:val="0"/>
              <w:marBottom w:val="0"/>
              <w:divBdr>
                <w:top w:val="none" w:sz="0" w:space="0" w:color="auto"/>
                <w:left w:val="none" w:sz="0" w:space="0" w:color="auto"/>
                <w:bottom w:val="none" w:sz="0" w:space="0" w:color="auto"/>
                <w:right w:val="none" w:sz="0" w:space="0" w:color="auto"/>
              </w:divBdr>
              <w:divsChild>
                <w:div w:id="67385791">
                  <w:marLeft w:val="0"/>
                  <w:marRight w:val="0"/>
                  <w:marTop w:val="120"/>
                  <w:marBottom w:val="0"/>
                  <w:divBdr>
                    <w:top w:val="none" w:sz="0" w:space="0" w:color="auto"/>
                    <w:left w:val="none" w:sz="0" w:space="0" w:color="auto"/>
                    <w:bottom w:val="none" w:sz="0" w:space="0" w:color="auto"/>
                    <w:right w:val="none" w:sz="0" w:space="0" w:color="auto"/>
                  </w:divBdr>
                </w:div>
                <w:div w:id="1686398078">
                  <w:marLeft w:val="0"/>
                  <w:marRight w:val="0"/>
                  <w:marTop w:val="0"/>
                  <w:marBottom w:val="0"/>
                  <w:divBdr>
                    <w:top w:val="none" w:sz="0" w:space="0" w:color="auto"/>
                    <w:left w:val="none" w:sz="0" w:space="0" w:color="auto"/>
                    <w:bottom w:val="none" w:sz="0" w:space="0" w:color="auto"/>
                    <w:right w:val="none" w:sz="0" w:space="0" w:color="auto"/>
                  </w:divBdr>
                </w:div>
              </w:divsChild>
            </w:div>
            <w:div w:id="1566840413">
              <w:marLeft w:val="0"/>
              <w:marRight w:val="0"/>
              <w:marTop w:val="0"/>
              <w:marBottom w:val="0"/>
              <w:divBdr>
                <w:top w:val="none" w:sz="0" w:space="0" w:color="auto"/>
                <w:left w:val="none" w:sz="0" w:space="0" w:color="auto"/>
                <w:bottom w:val="none" w:sz="0" w:space="0" w:color="auto"/>
                <w:right w:val="none" w:sz="0" w:space="0" w:color="auto"/>
              </w:divBdr>
              <w:divsChild>
                <w:div w:id="1385367478">
                  <w:marLeft w:val="0"/>
                  <w:marRight w:val="0"/>
                  <w:marTop w:val="0"/>
                  <w:marBottom w:val="0"/>
                  <w:divBdr>
                    <w:top w:val="none" w:sz="0" w:space="0" w:color="auto"/>
                    <w:left w:val="none" w:sz="0" w:space="0" w:color="auto"/>
                    <w:bottom w:val="none" w:sz="0" w:space="0" w:color="auto"/>
                    <w:right w:val="none" w:sz="0" w:space="0" w:color="auto"/>
                  </w:divBdr>
                </w:div>
                <w:div w:id="1859806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2705092">
      <w:bodyDiv w:val="1"/>
      <w:marLeft w:val="0"/>
      <w:marRight w:val="0"/>
      <w:marTop w:val="0"/>
      <w:marBottom w:val="0"/>
      <w:divBdr>
        <w:top w:val="none" w:sz="0" w:space="0" w:color="auto"/>
        <w:left w:val="none" w:sz="0" w:space="0" w:color="auto"/>
        <w:bottom w:val="none" w:sz="0" w:space="0" w:color="auto"/>
        <w:right w:val="none" w:sz="0" w:space="0" w:color="auto"/>
      </w:divBdr>
      <w:divsChild>
        <w:div w:id="621302723">
          <w:marLeft w:val="0"/>
          <w:marRight w:val="0"/>
          <w:marTop w:val="0"/>
          <w:marBottom w:val="0"/>
          <w:divBdr>
            <w:top w:val="none" w:sz="0" w:space="0" w:color="auto"/>
            <w:left w:val="none" w:sz="0" w:space="0" w:color="auto"/>
            <w:bottom w:val="none" w:sz="0" w:space="0" w:color="auto"/>
            <w:right w:val="none" w:sz="0" w:space="0" w:color="auto"/>
          </w:divBdr>
          <w:divsChild>
            <w:div w:id="430783029">
              <w:marLeft w:val="0"/>
              <w:marRight w:val="0"/>
              <w:marTop w:val="0"/>
              <w:marBottom w:val="0"/>
              <w:divBdr>
                <w:top w:val="none" w:sz="0" w:space="0" w:color="auto"/>
                <w:left w:val="none" w:sz="0" w:space="0" w:color="auto"/>
                <w:bottom w:val="none" w:sz="0" w:space="0" w:color="auto"/>
                <w:right w:val="none" w:sz="0" w:space="0" w:color="auto"/>
              </w:divBdr>
            </w:div>
          </w:divsChild>
        </w:div>
        <w:div w:id="636647045">
          <w:marLeft w:val="0"/>
          <w:marRight w:val="0"/>
          <w:marTop w:val="0"/>
          <w:marBottom w:val="0"/>
          <w:divBdr>
            <w:top w:val="none" w:sz="0" w:space="0" w:color="auto"/>
            <w:left w:val="none" w:sz="0" w:space="0" w:color="auto"/>
            <w:bottom w:val="none" w:sz="0" w:space="0" w:color="auto"/>
            <w:right w:val="none" w:sz="0" w:space="0" w:color="auto"/>
          </w:divBdr>
          <w:divsChild>
            <w:div w:id="1715235138">
              <w:marLeft w:val="0"/>
              <w:marRight w:val="0"/>
              <w:marTop w:val="0"/>
              <w:marBottom w:val="0"/>
              <w:divBdr>
                <w:top w:val="none" w:sz="0" w:space="0" w:color="auto"/>
                <w:left w:val="none" w:sz="0" w:space="0" w:color="auto"/>
                <w:bottom w:val="none" w:sz="0" w:space="0" w:color="auto"/>
                <w:right w:val="none" w:sz="0" w:space="0" w:color="auto"/>
              </w:divBdr>
            </w:div>
            <w:div w:id="2020884791">
              <w:marLeft w:val="0"/>
              <w:marRight w:val="0"/>
              <w:marTop w:val="120"/>
              <w:marBottom w:val="0"/>
              <w:divBdr>
                <w:top w:val="none" w:sz="0" w:space="0" w:color="auto"/>
                <w:left w:val="none" w:sz="0" w:space="0" w:color="auto"/>
                <w:bottom w:val="none" w:sz="0" w:space="0" w:color="auto"/>
                <w:right w:val="none" w:sz="0" w:space="0" w:color="auto"/>
              </w:divBdr>
            </w:div>
          </w:divsChild>
        </w:div>
        <w:div w:id="788863277">
          <w:marLeft w:val="0"/>
          <w:marRight w:val="0"/>
          <w:marTop w:val="0"/>
          <w:marBottom w:val="0"/>
          <w:divBdr>
            <w:top w:val="none" w:sz="0" w:space="0" w:color="auto"/>
            <w:left w:val="none" w:sz="0" w:space="0" w:color="auto"/>
            <w:bottom w:val="none" w:sz="0" w:space="0" w:color="auto"/>
            <w:right w:val="none" w:sz="0" w:space="0" w:color="auto"/>
          </w:divBdr>
          <w:divsChild>
            <w:div w:id="1044984797">
              <w:marLeft w:val="0"/>
              <w:marRight w:val="0"/>
              <w:marTop w:val="0"/>
              <w:marBottom w:val="0"/>
              <w:divBdr>
                <w:top w:val="none" w:sz="0" w:space="0" w:color="auto"/>
                <w:left w:val="none" w:sz="0" w:space="0" w:color="auto"/>
                <w:bottom w:val="none" w:sz="0" w:space="0" w:color="auto"/>
                <w:right w:val="none" w:sz="0" w:space="0" w:color="auto"/>
              </w:divBdr>
            </w:div>
          </w:divsChild>
        </w:div>
        <w:div w:id="923103283">
          <w:marLeft w:val="0"/>
          <w:marRight w:val="0"/>
          <w:marTop w:val="0"/>
          <w:marBottom w:val="0"/>
          <w:divBdr>
            <w:top w:val="none" w:sz="0" w:space="0" w:color="auto"/>
            <w:left w:val="none" w:sz="0" w:space="0" w:color="auto"/>
            <w:bottom w:val="none" w:sz="0" w:space="0" w:color="auto"/>
            <w:right w:val="none" w:sz="0" w:space="0" w:color="auto"/>
          </w:divBdr>
          <w:divsChild>
            <w:div w:id="654913416">
              <w:marLeft w:val="0"/>
              <w:marRight w:val="0"/>
              <w:marTop w:val="120"/>
              <w:marBottom w:val="0"/>
              <w:divBdr>
                <w:top w:val="none" w:sz="0" w:space="0" w:color="auto"/>
                <w:left w:val="none" w:sz="0" w:space="0" w:color="auto"/>
                <w:bottom w:val="none" w:sz="0" w:space="0" w:color="auto"/>
                <w:right w:val="none" w:sz="0" w:space="0" w:color="auto"/>
              </w:divBdr>
            </w:div>
            <w:div w:id="2072801326">
              <w:marLeft w:val="0"/>
              <w:marRight w:val="0"/>
              <w:marTop w:val="0"/>
              <w:marBottom w:val="0"/>
              <w:divBdr>
                <w:top w:val="none" w:sz="0" w:space="0" w:color="auto"/>
                <w:left w:val="none" w:sz="0" w:space="0" w:color="auto"/>
                <w:bottom w:val="none" w:sz="0" w:space="0" w:color="auto"/>
                <w:right w:val="none" w:sz="0" w:space="0" w:color="auto"/>
              </w:divBdr>
            </w:div>
          </w:divsChild>
        </w:div>
        <w:div w:id="974681119">
          <w:marLeft w:val="0"/>
          <w:marRight w:val="0"/>
          <w:marTop w:val="0"/>
          <w:marBottom w:val="0"/>
          <w:divBdr>
            <w:top w:val="none" w:sz="0" w:space="0" w:color="auto"/>
            <w:left w:val="none" w:sz="0" w:space="0" w:color="auto"/>
            <w:bottom w:val="none" w:sz="0" w:space="0" w:color="auto"/>
            <w:right w:val="none" w:sz="0" w:space="0" w:color="auto"/>
          </w:divBdr>
          <w:divsChild>
            <w:div w:id="404493660">
              <w:marLeft w:val="0"/>
              <w:marRight w:val="0"/>
              <w:marTop w:val="120"/>
              <w:marBottom w:val="0"/>
              <w:divBdr>
                <w:top w:val="none" w:sz="0" w:space="0" w:color="auto"/>
                <w:left w:val="none" w:sz="0" w:space="0" w:color="auto"/>
                <w:bottom w:val="none" w:sz="0" w:space="0" w:color="auto"/>
                <w:right w:val="none" w:sz="0" w:space="0" w:color="auto"/>
              </w:divBdr>
            </w:div>
            <w:div w:id="1771776885">
              <w:marLeft w:val="0"/>
              <w:marRight w:val="0"/>
              <w:marTop w:val="0"/>
              <w:marBottom w:val="0"/>
              <w:divBdr>
                <w:top w:val="none" w:sz="0" w:space="0" w:color="auto"/>
                <w:left w:val="none" w:sz="0" w:space="0" w:color="auto"/>
                <w:bottom w:val="none" w:sz="0" w:space="0" w:color="auto"/>
                <w:right w:val="none" w:sz="0" w:space="0" w:color="auto"/>
              </w:divBdr>
            </w:div>
          </w:divsChild>
        </w:div>
        <w:div w:id="1056197852">
          <w:marLeft w:val="0"/>
          <w:marRight w:val="0"/>
          <w:marTop w:val="0"/>
          <w:marBottom w:val="0"/>
          <w:divBdr>
            <w:top w:val="none" w:sz="0" w:space="0" w:color="auto"/>
            <w:left w:val="none" w:sz="0" w:space="0" w:color="auto"/>
            <w:bottom w:val="none" w:sz="0" w:space="0" w:color="auto"/>
            <w:right w:val="none" w:sz="0" w:space="0" w:color="auto"/>
          </w:divBdr>
          <w:divsChild>
            <w:div w:id="14354956">
              <w:marLeft w:val="0"/>
              <w:marRight w:val="0"/>
              <w:marTop w:val="120"/>
              <w:marBottom w:val="0"/>
              <w:divBdr>
                <w:top w:val="none" w:sz="0" w:space="0" w:color="auto"/>
                <w:left w:val="none" w:sz="0" w:space="0" w:color="auto"/>
                <w:bottom w:val="none" w:sz="0" w:space="0" w:color="auto"/>
                <w:right w:val="none" w:sz="0" w:space="0" w:color="auto"/>
              </w:divBdr>
            </w:div>
            <w:div w:id="1307514022">
              <w:marLeft w:val="0"/>
              <w:marRight w:val="0"/>
              <w:marTop w:val="0"/>
              <w:marBottom w:val="0"/>
              <w:divBdr>
                <w:top w:val="none" w:sz="0" w:space="0" w:color="auto"/>
                <w:left w:val="none" w:sz="0" w:space="0" w:color="auto"/>
                <w:bottom w:val="none" w:sz="0" w:space="0" w:color="auto"/>
                <w:right w:val="none" w:sz="0" w:space="0" w:color="auto"/>
              </w:divBdr>
              <w:divsChild>
                <w:div w:id="309790175">
                  <w:marLeft w:val="0"/>
                  <w:marRight w:val="0"/>
                  <w:marTop w:val="0"/>
                  <w:marBottom w:val="0"/>
                  <w:divBdr>
                    <w:top w:val="none" w:sz="0" w:space="0" w:color="auto"/>
                    <w:left w:val="none" w:sz="0" w:space="0" w:color="auto"/>
                    <w:bottom w:val="none" w:sz="0" w:space="0" w:color="auto"/>
                    <w:right w:val="none" w:sz="0" w:space="0" w:color="auto"/>
                  </w:divBdr>
                  <w:divsChild>
                    <w:div w:id="1346715026">
                      <w:marLeft w:val="0"/>
                      <w:marRight w:val="0"/>
                      <w:marTop w:val="0"/>
                      <w:marBottom w:val="0"/>
                      <w:divBdr>
                        <w:top w:val="none" w:sz="0" w:space="0" w:color="auto"/>
                        <w:left w:val="none" w:sz="0" w:space="0" w:color="auto"/>
                        <w:bottom w:val="none" w:sz="0" w:space="0" w:color="auto"/>
                        <w:right w:val="none" w:sz="0" w:space="0" w:color="auto"/>
                      </w:divBdr>
                    </w:div>
                    <w:div w:id="1993637168">
                      <w:marLeft w:val="0"/>
                      <w:marRight w:val="0"/>
                      <w:marTop w:val="120"/>
                      <w:marBottom w:val="0"/>
                      <w:divBdr>
                        <w:top w:val="none" w:sz="0" w:space="0" w:color="auto"/>
                        <w:left w:val="none" w:sz="0" w:space="0" w:color="auto"/>
                        <w:bottom w:val="none" w:sz="0" w:space="0" w:color="auto"/>
                        <w:right w:val="none" w:sz="0" w:space="0" w:color="auto"/>
                      </w:divBdr>
                    </w:div>
                  </w:divsChild>
                </w:div>
                <w:div w:id="1940286304">
                  <w:marLeft w:val="0"/>
                  <w:marRight w:val="0"/>
                  <w:marTop w:val="0"/>
                  <w:marBottom w:val="0"/>
                  <w:divBdr>
                    <w:top w:val="none" w:sz="0" w:space="0" w:color="auto"/>
                    <w:left w:val="none" w:sz="0" w:space="0" w:color="auto"/>
                    <w:bottom w:val="none" w:sz="0" w:space="0" w:color="auto"/>
                    <w:right w:val="none" w:sz="0" w:space="0" w:color="auto"/>
                  </w:divBdr>
                  <w:divsChild>
                    <w:div w:id="35934183">
                      <w:marLeft w:val="0"/>
                      <w:marRight w:val="0"/>
                      <w:marTop w:val="0"/>
                      <w:marBottom w:val="0"/>
                      <w:divBdr>
                        <w:top w:val="none" w:sz="0" w:space="0" w:color="auto"/>
                        <w:left w:val="none" w:sz="0" w:space="0" w:color="auto"/>
                        <w:bottom w:val="none" w:sz="0" w:space="0" w:color="auto"/>
                        <w:right w:val="none" w:sz="0" w:space="0" w:color="auto"/>
                      </w:divBdr>
                    </w:div>
                    <w:div w:id="1770736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61847729">
          <w:marLeft w:val="0"/>
          <w:marRight w:val="0"/>
          <w:marTop w:val="0"/>
          <w:marBottom w:val="0"/>
          <w:divBdr>
            <w:top w:val="none" w:sz="0" w:space="0" w:color="auto"/>
            <w:left w:val="none" w:sz="0" w:space="0" w:color="auto"/>
            <w:bottom w:val="none" w:sz="0" w:space="0" w:color="auto"/>
            <w:right w:val="none" w:sz="0" w:space="0" w:color="auto"/>
          </w:divBdr>
          <w:divsChild>
            <w:div w:id="666714655">
              <w:marLeft w:val="0"/>
              <w:marRight w:val="0"/>
              <w:marTop w:val="0"/>
              <w:marBottom w:val="0"/>
              <w:divBdr>
                <w:top w:val="none" w:sz="0" w:space="0" w:color="auto"/>
                <w:left w:val="none" w:sz="0" w:space="0" w:color="auto"/>
                <w:bottom w:val="none" w:sz="0" w:space="0" w:color="auto"/>
                <w:right w:val="none" w:sz="0" w:space="0" w:color="auto"/>
              </w:divBdr>
            </w:div>
            <w:div w:id="2051567284">
              <w:marLeft w:val="0"/>
              <w:marRight w:val="0"/>
              <w:marTop w:val="120"/>
              <w:marBottom w:val="0"/>
              <w:divBdr>
                <w:top w:val="none" w:sz="0" w:space="0" w:color="auto"/>
                <w:left w:val="none" w:sz="0" w:space="0" w:color="auto"/>
                <w:bottom w:val="none" w:sz="0" w:space="0" w:color="auto"/>
                <w:right w:val="none" w:sz="0" w:space="0" w:color="auto"/>
              </w:divBdr>
            </w:div>
          </w:divsChild>
        </w:div>
        <w:div w:id="1167091222">
          <w:marLeft w:val="0"/>
          <w:marRight w:val="0"/>
          <w:marTop w:val="0"/>
          <w:marBottom w:val="0"/>
          <w:divBdr>
            <w:top w:val="none" w:sz="0" w:space="0" w:color="auto"/>
            <w:left w:val="none" w:sz="0" w:space="0" w:color="auto"/>
            <w:bottom w:val="none" w:sz="0" w:space="0" w:color="auto"/>
            <w:right w:val="none" w:sz="0" w:space="0" w:color="auto"/>
          </w:divBdr>
          <w:divsChild>
            <w:div w:id="2070028926">
              <w:marLeft w:val="0"/>
              <w:marRight w:val="0"/>
              <w:marTop w:val="0"/>
              <w:marBottom w:val="0"/>
              <w:divBdr>
                <w:top w:val="none" w:sz="0" w:space="0" w:color="auto"/>
                <w:left w:val="none" w:sz="0" w:space="0" w:color="auto"/>
                <w:bottom w:val="none" w:sz="0" w:space="0" w:color="auto"/>
                <w:right w:val="none" w:sz="0" w:space="0" w:color="auto"/>
              </w:divBdr>
            </w:div>
          </w:divsChild>
        </w:div>
        <w:div w:id="1244535232">
          <w:marLeft w:val="0"/>
          <w:marRight w:val="0"/>
          <w:marTop w:val="0"/>
          <w:marBottom w:val="0"/>
          <w:divBdr>
            <w:top w:val="none" w:sz="0" w:space="0" w:color="auto"/>
            <w:left w:val="none" w:sz="0" w:space="0" w:color="auto"/>
            <w:bottom w:val="none" w:sz="0" w:space="0" w:color="auto"/>
            <w:right w:val="none" w:sz="0" w:space="0" w:color="auto"/>
          </w:divBdr>
          <w:divsChild>
            <w:div w:id="762727141">
              <w:marLeft w:val="0"/>
              <w:marRight w:val="0"/>
              <w:marTop w:val="0"/>
              <w:marBottom w:val="0"/>
              <w:divBdr>
                <w:top w:val="none" w:sz="0" w:space="0" w:color="auto"/>
                <w:left w:val="none" w:sz="0" w:space="0" w:color="auto"/>
                <w:bottom w:val="none" w:sz="0" w:space="0" w:color="auto"/>
                <w:right w:val="none" w:sz="0" w:space="0" w:color="auto"/>
              </w:divBdr>
            </w:div>
          </w:divsChild>
        </w:div>
        <w:div w:id="1675065170">
          <w:marLeft w:val="0"/>
          <w:marRight w:val="0"/>
          <w:marTop w:val="0"/>
          <w:marBottom w:val="0"/>
          <w:divBdr>
            <w:top w:val="none" w:sz="0" w:space="0" w:color="auto"/>
            <w:left w:val="none" w:sz="0" w:space="0" w:color="auto"/>
            <w:bottom w:val="none" w:sz="0" w:space="0" w:color="auto"/>
            <w:right w:val="none" w:sz="0" w:space="0" w:color="auto"/>
          </w:divBdr>
          <w:divsChild>
            <w:div w:id="1215891502">
              <w:marLeft w:val="0"/>
              <w:marRight w:val="0"/>
              <w:marTop w:val="0"/>
              <w:marBottom w:val="0"/>
              <w:divBdr>
                <w:top w:val="none" w:sz="0" w:space="0" w:color="auto"/>
                <w:left w:val="none" w:sz="0" w:space="0" w:color="auto"/>
                <w:bottom w:val="none" w:sz="0" w:space="0" w:color="auto"/>
                <w:right w:val="none" w:sz="0" w:space="0" w:color="auto"/>
              </w:divBdr>
            </w:div>
            <w:div w:id="1623921000">
              <w:marLeft w:val="0"/>
              <w:marRight w:val="0"/>
              <w:marTop w:val="120"/>
              <w:marBottom w:val="0"/>
              <w:divBdr>
                <w:top w:val="none" w:sz="0" w:space="0" w:color="auto"/>
                <w:left w:val="none" w:sz="0" w:space="0" w:color="auto"/>
                <w:bottom w:val="none" w:sz="0" w:space="0" w:color="auto"/>
                <w:right w:val="none" w:sz="0" w:space="0" w:color="auto"/>
              </w:divBdr>
            </w:div>
          </w:divsChild>
        </w:div>
        <w:div w:id="1748265726">
          <w:marLeft w:val="0"/>
          <w:marRight w:val="0"/>
          <w:marTop w:val="0"/>
          <w:marBottom w:val="0"/>
          <w:divBdr>
            <w:top w:val="none" w:sz="0" w:space="0" w:color="auto"/>
            <w:left w:val="none" w:sz="0" w:space="0" w:color="auto"/>
            <w:bottom w:val="none" w:sz="0" w:space="0" w:color="auto"/>
            <w:right w:val="none" w:sz="0" w:space="0" w:color="auto"/>
          </w:divBdr>
          <w:divsChild>
            <w:div w:id="2107267408">
              <w:marLeft w:val="0"/>
              <w:marRight w:val="0"/>
              <w:marTop w:val="0"/>
              <w:marBottom w:val="0"/>
              <w:divBdr>
                <w:top w:val="none" w:sz="0" w:space="0" w:color="auto"/>
                <w:left w:val="none" w:sz="0" w:space="0" w:color="auto"/>
                <w:bottom w:val="none" w:sz="0" w:space="0" w:color="auto"/>
                <w:right w:val="none" w:sz="0" w:space="0" w:color="auto"/>
              </w:divBdr>
              <w:divsChild>
                <w:div w:id="451095683">
                  <w:marLeft w:val="0"/>
                  <w:marRight w:val="0"/>
                  <w:marTop w:val="0"/>
                  <w:marBottom w:val="0"/>
                  <w:divBdr>
                    <w:top w:val="none" w:sz="0" w:space="0" w:color="auto"/>
                    <w:left w:val="none" w:sz="0" w:space="0" w:color="auto"/>
                    <w:bottom w:val="none" w:sz="0" w:space="0" w:color="auto"/>
                    <w:right w:val="none" w:sz="0" w:space="0" w:color="auto"/>
                  </w:divBdr>
                  <w:divsChild>
                    <w:div w:id="1162507663">
                      <w:marLeft w:val="0"/>
                      <w:marRight w:val="0"/>
                      <w:marTop w:val="0"/>
                      <w:marBottom w:val="0"/>
                      <w:divBdr>
                        <w:top w:val="none" w:sz="0" w:space="0" w:color="auto"/>
                        <w:left w:val="none" w:sz="0" w:space="0" w:color="auto"/>
                        <w:bottom w:val="none" w:sz="0" w:space="0" w:color="auto"/>
                        <w:right w:val="none" w:sz="0" w:space="0" w:color="auto"/>
                      </w:divBdr>
                    </w:div>
                    <w:div w:id="1496265500">
                      <w:marLeft w:val="0"/>
                      <w:marRight w:val="0"/>
                      <w:marTop w:val="120"/>
                      <w:marBottom w:val="0"/>
                      <w:divBdr>
                        <w:top w:val="none" w:sz="0" w:space="0" w:color="auto"/>
                        <w:left w:val="none" w:sz="0" w:space="0" w:color="auto"/>
                        <w:bottom w:val="none" w:sz="0" w:space="0" w:color="auto"/>
                        <w:right w:val="none" w:sz="0" w:space="0" w:color="auto"/>
                      </w:divBdr>
                    </w:div>
                  </w:divsChild>
                </w:div>
                <w:div w:id="1279216533">
                  <w:marLeft w:val="0"/>
                  <w:marRight w:val="0"/>
                  <w:marTop w:val="0"/>
                  <w:marBottom w:val="0"/>
                  <w:divBdr>
                    <w:top w:val="none" w:sz="0" w:space="0" w:color="auto"/>
                    <w:left w:val="none" w:sz="0" w:space="0" w:color="auto"/>
                    <w:bottom w:val="none" w:sz="0" w:space="0" w:color="auto"/>
                    <w:right w:val="none" w:sz="0" w:space="0" w:color="auto"/>
                  </w:divBdr>
                  <w:divsChild>
                    <w:div w:id="319041615">
                      <w:marLeft w:val="0"/>
                      <w:marRight w:val="0"/>
                      <w:marTop w:val="0"/>
                      <w:marBottom w:val="0"/>
                      <w:divBdr>
                        <w:top w:val="none" w:sz="0" w:space="0" w:color="auto"/>
                        <w:left w:val="none" w:sz="0" w:space="0" w:color="auto"/>
                        <w:bottom w:val="none" w:sz="0" w:space="0" w:color="auto"/>
                        <w:right w:val="none" w:sz="0" w:space="0" w:color="auto"/>
                      </w:divBdr>
                    </w:div>
                    <w:div w:id="1140421230">
                      <w:marLeft w:val="0"/>
                      <w:marRight w:val="0"/>
                      <w:marTop w:val="120"/>
                      <w:marBottom w:val="0"/>
                      <w:divBdr>
                        <w:top w:val="none" w:sz="0" w:space="0" w:color="auto"/>
                        <w:left w:val="none" w:sz="0" w:space="0" w:color="auto"/>
                        <w:bottom w:val="none" w:sz="0" w:space="0" w:color="auto"/>
                        <w:right w:val="none" w:sz="0" w:space="0" w:color="auto"/>
                      </w:divBdr>
                    </w:div>
                  </w:divsChild>
                </w:div>
                <w:div w:id="1287933550">
                  <w:marLeft w:val="0"/>
                  <w:marRight w:val="0"/>
                  <w:marTop w:val="0"/>
                  <w:marBottom w:val="0"/>
                  <w:divBdr>
                    <w:top w:val="none" w:sz="0" w:space="0" w:color="auto"/>
                    <w:left w:val="none" w:sz="0" w:space="0" w:color="auto"/>
                    <w:bottom w:val="none" w:sz="0" w:space="0" w:color="auto"/>
                    <w:right w:val="none" w:sz="0" w:space="0" w:color="auto"/>
                  </w:divBdr>
                  <w:divsChild>
                    <w:div w:id="928124818">
                      <w:marLeft w:val="0"/>
                      <w:marRight w:val="0"/>
                      <w:marTop w:val="120"/>
                      <w:marBottom w:val="0"/>
                      <w:divBdr>
                        <w:top w:val="none" w:sz="0" w:space="0" w:color="auto"/>
                        <w:left w:val="none" w:sz="0" w:space="0" w:color="auto"/>
                        <w:bottom w:val="none" w:sz="0" w:space="0" w:color="auto"/>
                        <w:right w:val="none" w:sz="0" w:space="0" w:color="auto"/>
                      </w:divBdr>
                    </w:div>
                    <w:div w:id="18710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897381">
      <w:bodyDiv w:val="1"/>
      <w:marLeft w:val="0"/>
      <w:marRight w:val="0"/>
      <w:marTop w:val="0"/>
      <w:marBottom w:val="0"/>
      <w:divBdr>
        <w:top w:val="none" w:sz="0" w:space="0" w:color="auto"/>
        <w:left w:val="none" w:sz="0" w:space="0" w:color="auto"/>
        <w:bottom w:val="none" w:sz="0" w:space="0" w:color="auto"/>
        <w:right w:val="none" w:sz="0" w:space="0" w:color="auto"/>
      </w:divBdr>
      <w:divsChild>
        <w:div w:id="1044326959">
          <w:marLeft w:val="0"/>
          <w:marRight w:val="0"/>
          <w:marTop w:val="0"/>
          <w:marBottom w:val="0"/>
          <w:divBdr>
            <w:top w:val="none" w:sz="0" w:space="0" w:color="auto"/>
            <w:left w:val="none" w:sz="0" w:space="0" w:color="auto"/>
            <w:bottom w:val="none" w:sz="0" w:space="0" w:color="auto"/>
            <w:right w:val="none" w:sz="0" w:space="0" w:color="auto"/>
          </w:divBdr>
          <w:divsChild>
            <w:div w:id="445973078">
              <w:marLeft w:val="0"/>
              <w:marRight w:val="0"/>
              <w:marTop w:val="0"/>
              <w:marBottom w:val="0"/>
              <w:divBdr>
                <w:top w:val="none" w:sz="0" w:space="0" w:color="auto"/>
                <w:left w:val="none" w:sz="0" w:space="0" w:color="auto"/>
                <w:bottom w:val="none" w:sz="0" w:space="0" w:color="auto"/>
                <w:right w:val="none" w:sz="0" w:space="0" w:color="auto"/>
              </w:divBdr>
              <w:divsChild>
                <w:div w:id="19665853">
                  <w:marLeft w:val="0"/>
                  <w:marRight w:val="0"/>
                  <w:marTop w:val="120"/>
                  <w:marBottom w:val="0"/>
                  <w:divBdr>
                    <w:top w:val="none" w:sz="0" w:space="0" w:color="auto"/>
                    <w:left w:val="none" w:sz="0" w:space="0" w:color="auto"/>
                    <w:bottom w:val="none" w:sz="0" w:space="0" w:color="auto"/>
                    <w:right w:val="none" w:sz="0" w:space="0" w:color="auto"/>
                  </w:divBdr>
                </w:div>
                <w:div w:id="1325742345">
                  <w:marLeft w:val="0"/>
                  <w:marRight w:val="0"/>
                  <w:marTop w:val="0"/>
                  <w:marBottom w:val="0"/>
                  <w:divBdr>
                    <w:top w:val="none" w:sz="0" w:space="0" w:color="auto"/>
                    <w:left w:val="none" w:sz="0" w:space="0" w:color="auto"/>
                    <w:bottom w:val="none" w:sz="0" w:space="0" w:color="auto"/>
                    <w:right w:val="none" w:sz="0" w:space="0" w:color="auto"/>
                  </w:divBdr>
                </w:div>
              </w:divsChild>
            </w:div>
            <w:div w:id="1740591595">
              <w:marLeft w:val="0"/>
              <w:marRight w:val="0"/>
              <w:marTop w:val="0"/>
              <w:marBottom w:val="0"/>
              <w:divBdr>
                <w:top w:val="none" w:sz="0" w:space="0" w:color="auto"/>
                <w:left w:val="none" w:sz="0" w:space="0" w:color="auto"/>
                <w:bottom w:val="none" w:sz="0" w:space="0" w:color="auto"/>
                <w:right w:val="none" w:sz="0" w:space="0" w:color="auto"/>
              </w:divBdr>
              <w:divsChild>
                <w:div w:id="417991667">
                  <w:marLeft w:val="0"/>
                  <w:marRight w:val="0"/>
                  <w:marTop w:val="0"/>
                  <w:marBottom w:val="0"/>
                  <w:divBdr>
                    <w:top w:val="none" w:sz="0" w:space="0" w:color="auto"/>
                    <w:left w:val="none" w:sz="0" w:space="0" w:color="auto"/>
                    <w:bottom w:val="none" w:sz="0" w:space="0" w:color="auto"/>
                    <w:right w:val="none" w:sz="0" w:space="0" w:color="auto"/>
                  </w:divBdr>
                </w:div>
                <w:div w:id="7362417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7791142">
      <w:bodyDiv w:val="1"/>
      <w:marLeft w:val="0"/>
      <w:marRight w:val="0"/>
      <w:marTop w:val="0"/>
      <w:marBottom w:val="0"/>
      <w:divBdr>
        <w:top w:val="none" w:sz="0" w:space="0" w:color="auto"/>
        <w:left w:val="none" w:sz="0" w:space="0" w:color="auto"/>
        <w:bottom w:val="none" w:sz="0" w:space="0" w:color="auto"/>
        <w:right w:val="none" w:sz="0" w:space="0" w:color="auto"/>
      </w:divBdr>
      <w:divsChild>
        <w:div w:id="987442102">
          <w:marLeft w:val="0"/>
          <w:marRight w:val="0"/>
          <w:marTop w:val="0"/>
          <w:marBottom w:val="0"/>
          <w:divBdr>
            <w:top w:val="none" w:sz="0" w:space="0" w:color="auto"/>
            <w:left w:val="none" w:sz="0" w:space="0" w:color="auto"/>
            <w:bottom w:val="none" w:sz="0" w:space="0" w:color="auto"/>
            <w:right w:val="none" w:sz="0" w:space="0" w:color="auto"/>
          </w:divBdr>
        </w:div>
      </w:divsChild>
    </w:div>
    <w:div w:id="1799490570">
      <w:bodyDiv w:val="1"/>
      <w:marLeft w:val="0"/>
      <w:marRight w:val="0"/>
      <w:marTop w:val="0"/>
      <w:marBottom w:val="0"/>
      <w:divBdr>
        <w:top w:val="none" w:sz="0" w:space="0" w:color="auto"/>
        <w:left w:val="none" w:sz="0" w:space="0" w:color="auto"/>
        <w:bottom w:val="none" w:sz="0" w:space="0" w:color="auto"/>
        <w:right w:val="none" w:sz="0" w:space="0" w:color="auto"/>
      </w:divBdr>
      <w:divsChild>
        <w:div w:id="1259020554">
          <w:marLeft w:val="0"/>
          <w:marRight w:val="0"/>
          <w:marTop w:val="0"/>
          <w:marBottom w:val="0"/>
          <w:divBdr>
            <w:top w:val="none" w:sz="0" w:space="0" w:color="auto"/>
            <w:left w:val="none" w:sz="0" w:space="0" w:color="auto"/>
            <w:bottom w:val="none" w:sz="0" w:space="0" w:color="auto"/>
            <w:right w:val="none" w:sz="0" w:space="0" w:color="auto"/>
          </w:divBdr>
          <w:divsChild>
            <w:div w:id="933128957">
              <w:marLeft w:val="0"/>
              <w:marRight w:val="0"/>
              <w:marTop w:val="120"/>
              <w:marBottom w:val="0"/>
              <w:divBdr>
                <w:top w:val="none" w:sz="0" w:space="0" w:color="auto"/>
                <w:left w:val="none" w:sz="0" w:space="0" w:color="auto"/>
                <w:bottom w:val="none" w:sz="0" w:space="0" w:color="auto"/>
                <w:right w:val="none" w:sz="0" w:space="0" w:color="auto"/>
              </w:divBdr>
            </w:div>
            <w:div w:id="150101734">
              <w:marLeft w:val="0"/>
              <w:marRight w:val="0"/>
              <w:marTop w:val="0"/>
              <w:marBottom w:val="0"/>
              <w:divBdr>
                <w:top w:val="none" w:sz="0" w:space="0" w:color="auto"/>
                <w:left w:val="none" w:sz="0" w:space="0" w:color="auto"/>
                <w:bottom w:val="none" w:sz="0" w:space="0" w:color="auto"/>
                <w:right w:val="none" w:sz="0" w:space="0" w:color="auto"/>
              </w:divBdr>
            </w:div>
          </w:divsChild>
        </w:div>
        <w:div w:id="1877690499">
          <w:marLeft w:val="0"/>
          <w:marRight w:val="0"/>
          <w:marTop w:val="0"/>
          <w:marBottom w:val="0"/>
          <w:divBdr>
            <w:top w:val="none" w:sz="0" w:space="0" w:color="auto"/>
            <w:left w:val="none" w:sz="0" w:space="0" w:color="auto"/>
            <w:bottom w:val="none" w:sz="0" w:space="0" w:color="auto"/>
            <w:right w:val="none" w:sz="0" w:space="0" w:color="auto"/>
          </w:divBdr>
          <w:divsChild>
            <w:div w:id="2097969375">
              <w:marLeft w:val="0"/>
              <w:marRight w:val="0"/>
              <w:marTop w:val="120"/>
              <w:marBottom w:val="0"/>
              <w:divBdr>
                <w:top w:val="none" w:sz="0" w:space="0" w:color="auto"/>
                <w:left w:val="none" w:sz="0" w:space="0" w:color="auto"/>
                <w:bottom w:val="none" w:sz="0" w:space="0" w:color="auto"/>
                <w:right w:val="none" w:sz="0" w:space="0" w:color="auto"/>
              </w:divBdr>
            </w:div>
            <w:div w:id="49121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0030">
      <w:bodyDiv w:val="1"/>
      <w:marLeft w:val="0"/>
      <w:marRight w:val="0"/>
      <w:marTop w:val="0"/>
      <w:marBottom w:val="0"/>
      <w:divBdr>
        <w:top w:val="none" w:sz="0" w:space="0" w:color="auto"/>
        <w:left w:val="none" w:sz="0" w:space="0" w:color="auto"/>
        <w:bottom w:val="none" w:sz="0" w:space="0" w:color="auto"/>
        <w:right w:val="none" w:sz="0" w:space="0" w:color="auto"/>
      </w:divBdr>
      <w:divsChild>
        <w:div w:id="202139111">
          <w:marLeft w:val="0"/>
          <w:marRight w:val="0"/>
          <w:marTop w:val="0"/>
          <w:marBottom w:val="0"/>
          <w:divBdr>
            <w:top w:val="none" w:sz="0" w:space="0" w:color="auto"/>
            <w:left w:val="none" w:sz="0" w:space="0" w:color="auto"/>
            <w:bottom w:val="none" w:sz="0" w:space="0" w:color="auto"/>
            <w:right w:val="none" w:sz="0" w:space="0" w:color="auto"/>
          </w:divBdr>
        </w:div>
      </w:divsChild>
    </w:div>
    <w:div w:id="1806123768">
      <w:bodyDiv w:val="1"/>
      <w:marLeft w:val="0"/>
      <w:marRight w:val="0"/>
      <w:marTop w:val="0"/>
      <w:marBottom w:val="0"/>
      <w:divBdr>
        <w:top w:val="none" w:sz="0" w:space="0" w:color="auto"/>
        <w:left w:val="none" w:sz="0" w:space="0" w:color="auto"/>
        <w:bottom w:val="none" w:sz="0" w:space="0" w:color="auto"/>
        <w:right w:val="none" w:sz="0" w:space="0" w:color="auto"/>
      </w:divBdr>
      <w:divsChild>
        <w:div w:id="1076433754">
          <w:marLeft w:val="0"/>
          <w:marRight w:val="0"/>
          <w:marTop w:val="0"/>
          <w:marBottom w:val="0"/>
          <w:divBdr>
            <w:top w:val="none" w:sz="0" w:space="0" w:color="auto"/>
            <w:left w:val="none" w:sz="0" w:space="0" w:color="auto"/>
            <w:bottom w:val="none" w:sz="0" w:space="0" w:color="auto"/>
            <w:right w:val="none" w:sz="0" w:space="0" w:color="auto"/>
          </w:divBdr>
        </w:div>
      </w:divsChild>
    </w:div>
    <w:div w:id="1812862254">
      <w:bodyDiv w:val="1"/>
      <w:marLeft w:val="0"/>
      <w:marRight w:val="0"/>
      <w:marTop w:val="0"/>
      <w:marBottom w:val="0"/>
      <w:divBdr>
        <w:top w:val="none" w:sz="0" w:space="0" w:color="auto"/>
        <w:left w:val="none" w:sz="0" w:space="0" w:color="auto"/>
        <w:bottom w:val="none" w:sz="0" w:space="0" w:color="auto"/>
        <w:right w:val="none" w:sz="0" w:space="0" w:color="auto"/>
      </w:divBdr>
      <w:divsChild>
        <w:div w:id="422604787">
          <w:marLeft w:val="0"/>
          <w:marRight w:val="0"/>
          <w:marTop w:val="0"/>
          <w:marBottom w:val="0"/>
          <w:divBdr>
            <w:top w:val="none" w:sz="0" w:space="0" w:color="auto"/>
            <w:left w:val="none" w:sz="0" w:space="0" w:color="auto"/>
            <w:bottom w:val="none" w:sz="0" w:space="0" w:color="auto"/>
            <w:right w:val="none" w:sz="0" w:space="0" w:color="auto"/>
          </w:divBdr>
          <w:divsChild>
            <w:div w:id="506019908">
              <w:marLeft w:val="0"/>
              <w:marRight w:val="0"/>
              <w:marTop w:val="0"/>
              <w:marBottom w:val="0"/>
              <w:divBdr>
                <w:top w:val="none" w:sz="0" w:space="0" w:color="auto"/>
                <w:left w:val="none" w:sz="0" w:space="0" w:color="auto"/>
                <w:bottom w:val="none" w:sz="0" w:space="0" w:color="auto"/>
                <w:right w:val="none" w:sz="0" w:space="0" w:color="auto"/>
              </w:divBdr>
              <w:divsChild>
                <w:div w:id="938952274">
                  <w:marLeft w:val="0"/>
                  <w:marRight w:val="0"/>
                  <w:marTop w:val="0"/>
                  <w:marBottom w:val="0"/>
                  <w:divBdr>
                    <w:top w:val="none" w:sz="0" w:space="0" w:color="auto"/>
                    <w:left w:val="none" w:sz="0" w:space="0" w:color="auto"/>
                    <w:bottom w:val="none" w:sz="0" w:space="0" w:color="auto"/>
                    <w:right w:val="none" w:sz="0" w:space="0" w:color="auto"/>
                  </w:divBdr>
                  <w:divsChild>
                    <w:div w:id="948897740">
                      <w:marLeft w:val="0"/>
                      <w:marRight w:val="0"/>
                      <w:marTop w:val="0"/>
                      <w:marBottom w:val="0"/>
                      <w:divBdr>
                        <w:top w:val="none" w:sz="0" w:space="0" w:color="auto"/>
                        <w:left w:val="none" w:sz="0" w:space="0" w:color="auto"/>
                        <w:bottom w:val="none" w:sz="0" w:space="0" w:color="auto"/>
                        <w:right w:val="none" w:sz="0" w:space="0" w:color="auto"/>
                      </w:divBdr>
                    </w:div>
                    <w:div w:id="1284582995">
                      <w:marLeft w:val="0"/>
                      <w:marRight w:val="0"/>
                      <w:marTop w:val="120"/>
                      <w:marBottom w:val="0"/>
                      <w:divBdr>
                        <w:top w:val="none" w:sz="0" w:space="0" w:color="auto"/>
                        <w:left w:val="none" w:sz="0" w:space="0" w:color="auto"/>
                        <w:bottom w:val="none" w:sz="0" w:space="0" w:color="auto"/>
                        <w:right w:val="none" w:sz="0" w:space="0" w:color="auto"/>
                      </w:divBdr>
                    </w:div>
                  </w:divsChild>
                </w:div>
                <w:div w:id="1196890821">
                  <w:marLeft w:val="0"/>
                  <w:marRight w:val="0"/>
                  <w:marTop w:val="0"/>
                  <w:marBottom w:val="0"/>
                  <w:divBdr>
                    <w:top w:val="none" w:sz="0" w:space="0" w:color="auto"/>
                    <w:left w:val="none" w:sz="0" w:space="0" w:color="auto"/>
                    <w:bottom w:val="none" w:sz="0" w:space="0" w:color="auto"/>
                    <w:right w:val="none" w:sz="0" w:space="0" w:color="auto"/>
                  </w:divBdr>
                  <w:divsChild>
                    <w:div w:id="96755400">
                      <w:marLeft w:val="0"/>
                      <w:marRight w:val="0"/>
                      <w:marTop w:val="0"/>
                      <w:marBottom w:val="0"/>
                      <w:divBdr>
                        <w:top w:val="none" w:sz="0" w:space="0" w:color="auto"/>
                        <w:left w:val="none" w:sz="0" w:space="0" w:color="auto"/>
                        <w:bottom w:val="none" w:sz="0" w:space="0" w:color="auto"/>
                        <w:right w:val="none" w:sz="0" w:space="0" w:color="auto"/>
                      </w:divBdr>
                    </w:div>
                    <w:div w:id="1491946865">
                      <w:marLeft w:val="0"/>
                      <w:marRight w:val="0"/>
                      <w:marTop w:val="120"/>
                      <w:marBottom w:val="0"/>
                      <w:divBdr>
                        <w:top w:val="none" w:sz="0" w:space="0" w:color="auto"/>
                        <w:left w:val="none" w:sz="0" w:space="0" w:color="auto"/>
                        <w:bottom w:val="none" w:sz="0" w:space="0" w:color="auto"/>
                        <w:right w:val="none" w:sz="0" w:space="0" w:color="auto"/>
                      </w:divBdr>
                    </w:div>
                  </w:divsChild>
                </w:div>
                <w:div w:id="1268731987">
                  <w:marLeft w:val="0"/>
                  <w:marRight w:val="0"/>
                  <w:marTop w:val="0"/>
                  <w:marBottom w:val="0"/>
                  <w:divBdr>
                    <w:top w:val="none" w:sz="0" w:space="0" w:color="auto"/>
                    <w:left w:val="none" w:sz="0" w:space="0" w:color="auto"/>
                    <w:bottom w:val="none" w:sz="0" w:space="0" w:color="auto"/>
                    <w:right w:val="none" w:sz="0" w:space="0" w:color="auto"/>
                  </w:divBdr>
                  <w:divsChild>
                    <w:div w:id="1611552326">
                      <w:marLeft w:val="0"/>
                      <w:marRight w:val="0"/>
                      <w:marTop w:val="0"/>
                      <w:marBottom w:val="0"/>
                      <w:divBdr>
                        <w:top w:val="none" w:sz="0" w:space="0" w:color="auto"/>
                        <w:left w:val="none" w:sz="0" w:space="0" w:color="auto"/>
                        <w:bottom w:val="none" w:sz="0" w:space="0" w:color="auto"/>
                        <w:right w:val="none" w:sz="0" w:space="0" w:color="auto"/>
                      </w:divBdr>
                    </w:div>
                    <w:div w:id="2105496631">
                      <w:marLeft w:val="0"/>
                      <w:marRight w:val="0"/>
                      <w:marTop w:val="120"/>
                      <w:marBottom w:val="0"/>
                      <w:divBdr>
                        <w:top w:val="none" w:sz="0" w:space="0" w:color="auto"/>
                        <w:left w:val="none" w:sz="0" w:space="0" w:color="auto"/>
                        <w:bottom w:val="none" w:sz="0" w:space="0" w:color="auto"/>
                        <w:right w:val="none" w:sz="0" w:space="0" w:color="auto"/>
                      </w:divBdr>
                    </w:div>
                  </w:divsChild>
                </w:div>
                <w:div w:id="2078747816">
                  <w:marLeft w:val="0"/>
                  <w:marRight w:val="0"/>
                  <w:marTop w:val="0"/>
                  <w:marBottom w:val="0"/>
                  <w:divBdr>
                    <w:top w:val="none" w:sz="0" w:space="0" w:color="auto"/>
                    <w:left w:val="none" w:sz="0" w:space="0" w:color="auto"/>
                    <w:bottom w:val="none" w:sz="0" w:space="0" w:color="auto"/>
                    <w:right w:val="none" w:sz="0" w:space="0" w:color="auto"/>
                  </w:divBdr>
                  <w:divsChild>
                    <w:div w:id="1203713724">
                      <w:marLeft w:val="0"/>
                      <w:marRight w:val="0"/>
                      <w:marTop w:val="120"/>
                      <w:marBottom w:val="0"/>
                      <w:divBdr>
                        <w:top w:val="none" w:sz="0" w:space="0" w:color="auto"/>
                        <w:left w:val="none" w:sz="0" w:space="0" w:color="auto"/>
                        <w:bottom w:val="none" w:sz="0" w:space="0" w:color="auto"/>
                        <w:right w:val="none" w:sz="0" w:space="0" w:color="auto"/>
                      </w:divBdr>
                    </w:div>
                    <w:div w:id="17764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2389">
          <w:marLeft w:val="0"/>
          <w:marRight w:val="0"/>
          <w:marTop w:val="0"/>
          <w:marBottom w:val="0"/>
          <w:divBdr>
            <w:top w:val="none" w:sz="0" w:space="0" w:color="auto"/>
            <w:left w:val="none" w:sz="0" w:space="0" w:color="auto"/>
            <w:bottom w:val="none" w:sz="0" w:space="0" w:color="auto"/>
            <w:right w:val="none" w:sz="0" w:space="0" w:color="auto"/>
          </w:divBdr>
          <w:divsChild>
            <w:div w:id="791292273">
              <w:marLeft w:val="0"/>
              <w:marRight w:val="0"/>
              <w:marTop w:val="0"/>
              <w:marBottom w:val="0"/>
              <w:divBdr>
                <w:top w:val="none" w:sz="0" w:space="0" w:color="auto"/>
                <w:left w:val="none" w:sz="0" w:space="0" w:color="auto"/>
                <w:bottom w:val="none" w:sz="0" w:space="0" w:color="auto"/>
                <w:right w:val="none" w:sz="0" w:space="0" w:color="auto"/>
              </w:divBdr>
              <w:divsChild>
                <w:div w:id="1622762444">
                  <w:marLeft w:val="0"/>
                  <w:marRight w:val="0"/>
                  <w:marTop w:val="0"/>
                  <w:marBottom w:val="0"/>
                  <w:divBdr>
                    <w:top w:val="none" w:sz="0" w:space="0" w:color="auto"/>
                    <w:left w:val="none" w:sz="0" w:space="0" w:color="auto"/>
                    <w:bottom w:val="none" w:sz="0" w:space="0" w:color="auto"/>
                    <w:right w:val="none" w:sz="0" w:space="0" w:color="auto"/>
                  </w:divBdr>
                  <w:divsChild>
                    <w:div w:id="817919133">
                      <w:marLeft w:val="0"/>
                      <w:marRight w:val="0"/>
                      <w:marTop w:val="0"/>
                      <w:marBottom w:val="0"/>
                      <w:divBdr>
                        <w:top w:val="none" w:sz="0" w:space="0" w:color="auto"/>
                        <w:left w:val="none" w:sz="0" w:space="0" w:color="auto"/>
                        <w:bottom w:val="none" w:sz="0" w:space="0" w:color="auto"/>
                        <w:right w:val="none" w:sz="0" w:space="0" w:color="auto"/>
                      </w:divBdr>
                    </w:div>
                    <w:div w:id="1231038802">
                      <w:marLeft w:val="0"/>
                      <w:marRight w:val="0"/>
                      <w:marTop w:val="120"/>
                      <w:marBottom w:val="0"/>
                      <w:divBdr>
                        <w:top w:val="none" w:sz="0" w:space="0" w:color="auto"/>
                        <w:left w:val="none" w:sz="0" w:space="0" w:color="auto"/>
                        <w:bottom w:val="none" w:sz="0" w:space="0" w:color="auto"/>
                        <w:right w:val="none" w:sz="0" w:space="0" w:color="auto"/>
                      </w:divBdr>
                    </w:div>
                  </w:divsChild>
                </w:div>
                <w:div w:id="1654750839">
                  <w:marLeft w:val="0"/>
                  <w:marRight w:val="0"/>
                  <w:marTop w:val="0"/>
                  <w:marBottom w:val="0"/>
                  <w:divBdr>
                    <w:top w:val="none" w:sz="0" w:space="0" w:color="auto"/>
                    <w:left w:val="none" w:sz="0" w:space="0" w:color="auto"/>
                    <w:bottom w:val="none" w:sz="0" w:space="0" w:color="auto"/>
                    <w:right w:val="none" w:sz="0" w:space="0" w:color="auto"/>
                  </w:divBdr>
                  <w:divsChild>
                    <w:div w:id="1280916553">
                      <w:marLeft w:val="0"/>
                      <w:marRight w:val="0"/>
                      <w:marTop w:val="120"/>
                      <w:marBottom w:val="0"/>
                      <w:divBdr>
                        <w:top w:val="none" w:sz="0" w:space="0" w:color="auto"/>
                        <w:left w:val="none" w:sz="0" w:space="0" w:color="auto"/>
                        <w:bottom w:val="none" w:sz="0" w:space="0" w:color="auto"/>
                        <w:right w:val="none" w:sz="0" w:space="0" w:color="auto"/>
                      </w:divBdr>
                    </w:div>
                    <w:div w:id="17272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75092">
      <w:bodyDiv w:val="1"/>
      <w:marLeft w:val="0"/>
      <w:marRight w:val="0"/>
      <w:marTop w:val="0"/>
      <w:marBottom w:val="0"/>
      <w:divBdr>
        <w:top w:val="none" w:sz="0" w:space="0" w:color="auto"/>
        <w:left w:val="none" w:sz="0" w:space="0" w:color="auto"/>
        <w:bottom w:val="none" w:sz="0" w:space="0" w:color="auto"/>
        <w:right w:val="none" w:sz="0" w:space="0" w:color="auto"/>
      </w:divBdr>
      <w:divsChild>
        <w:div w:id="560755993">
          <w:marLeft w:val="0"/>
          <w:marRight w:val="0"/>
          <w:marTop w:val="0"/>
          <w:marBottom w:val="0"/>
          <w:divBdr>
            <w:top w:val="none" w:sz="0" w:space="0" w:color="auto"/>
            <w:left w:val="none" w:sz="0" w:space="0" w:color="auto"/>
            <w:bottom w:val="none" w:sz="0" w:space="0" w:color="auto"/>
            <w:right w:val="none" w:sz="0" w:space="0" w:color="auto"/>
          </w:divBdr>
          <w:divsChild>
            <w:div w:id="749081208">
              <w:marLeft w:val="0"/>
              <w:marRight w:val="0"/>
              <w:marTop w:val="0"/>
              <w:marBottom w:val="0"/>
              <w:divBdr>
                <w:top w:val="none" w:sz="0" w:space="0" w:color="auto"/>
                <w:left w:val="none" w:sz="0" w:space="0" w:color="auto"/>
                <w:bottom w:val="none" w:sz="0" w:space="0" w:color="auto"/>
                <w:right w:val="none" w:sz="0" w:space="0" w:color="auto"/>
              </w:divBdr>
              <w:divsChild>
                <w:div w:id="1141845170">
                  <w:marLeft w:val="0"/>
                  <w:marRight w:val="0"/>
                  <w:marTop w:val="0"/>
                  <w:marBottom w:val="0"/>
                  <w:divBdr>
                    <w:top w:val="none" w:sz="0" w:space="0" w:color="auto"/>
                    <w:left w:val="none" w:sz="0" w:space="0" w:color="auto"/>
                    <w:bottom w:val="none" w:sz="0" w:space="0" w:color="auto"/>
                    <w:right w:val="none" w:sz="0" w:space="0" w:color="auto"/>
                  </w:divBdr>
                </w:div>
                <w:div w:id="1175222082">
                  <w:marLeft w:val="0"/>
                  <w:marRight w:val="0"/>
                  <w:marTop w:val="120"/>
                  <w:marBottom w:val="0"/>
                  <w:divBdr>
                    <w:top w:val="none" w:sz="0" w:space="0" w:color="auto"/>
                    <w:left w:val="none" w:sz="0" w:space="0" w:color="auto"/>
                    <w:bottom w:val="none" w:sz="0" w:space="0" w:color="auto"/>
                    <w:right w:val="none" w:sz="0" w:space="0" w:color="auto"/>
                  </w:divBdr>
                </w:div>
              </w:divsChild>
            </w:div>
            <w:div w:id="1382174795">
              <w:marLeft w:val="0"/>
              <w:marRight w:val="0"/>
              <w:marTop w:val="0"/>
              <w:marBottom w:val="0"/>
              <w:divBdr>
                <w:top w:val="none" w:sz="0" w:space="0" w:color="auto"/>
                <w:left w:val="none" w:sz="0" w:space="0" w:color="auto"/>
                <w:bottom w:val="none" w:sz="0" w:space="0" w:color="auto"/>
                <w:right w:val="none" w:sz="0" w:space="0" w:color="auto"/>
              </w:divBdr>
              <w:divsChild>
                <w:div w:id="410857267">
                  <w:marLeft w:val="0"/>
                  <w:marRight w:val="0"/>
                  <w:marTop w:val="0"/>
                  <w:marBottom w:val="0"/>
                  <w:divBdr>
                    <w:top w:val="none" w:sz="0" w:space="0" w:color="auto"/>
                    <w:left w:val="none" w:sz="0" w:space="0" w:color="auto"/>
                    <w:bottom w:val="none" w:sz="0" w:space="0" w:color="auto"/>
                    <w:right w:val="none" w:sz="0" w:space="0" w:color="auto"/>
                  </w:divBdr>
                </w:div>
                <w:div w:id="1445422348">
                  <w:marLeft w:val="0"/>
                  <w:marRight w:val="0"/>
                  <w:marTop w:val="120"/>
                  <w:marBottom w:val="0"/>
                  <w:divBdr>
                    <w:top w:val="none" w:sz="0" w:space="0" w:color="auto"/>
                    <w:left w:val="none" w:sz="0" w:space="0" w:color="auto"/>
                    <w:bottom w:val="none" w:sz="0" w:space="0" w:color="auto"/>
                    <w:right w:val="none" w:sz="0" w:space="0" w:color="auto"/>
                  </w:divBdr>
                </w:div>
              </w:divsChild>
            </w:div>
            <w:div w:id="1645620025">
              <w:marLeft w:val="0"/>
              <w:marRight w:val="0"/>
              <w:marTop w:val="0"/>
              <w:marBottom w:val="0"/>
              <w:divBdr>
                <w:top w:val="none" w:sz="0" w:space="0" w:color="auto"/>
                <w:left w:val="none" w:sz="0" w:space="0" w:color="auto"/>
                <w:bottom w:val="none" w:sz="0" w:space="0" w:color="auto"/>
                <w:right w:val="none" w:sz="0" w:space="0" w:color="auto"/>
              </w:divBdr>
              <w:divsChild>
                <w:div w:id="1977761145">
                  <w:marLeft w:val="0"/>
                  <w:marRight w:val="0"/>
                  <w:marTop w:val="120"/>
                  <w:marBottom w:val="0"/>
                  <w:divBdr>
                    <w:top w:val="none" w:sz="0" w:space="0" w:color="auto"/>
                    <w:left w:val="none" w:sz="0" w:space="0" w:color="auto"/>
                    <w:bottom w:val="none" w:sz="0" w:space="0" w:color="auto"/>
                    <w:right w:val="none" w:sz="0" w:space="0" w:color="auto"/>
                  </w:divBdr>
                </w:div>
                <w:div w:id="19992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9443">
      <w:bodyDiv w:val="1"/>
      <w:marLeft w:val="0"/>
      <w:marRight w:val="0"/>
      <w:marTop w:val="0"/>
      <w:marBottom w:val="0"/>
      <w:divBdr>
        <w:top w:val="none" w:sz="0" w:space="0" w:color="auto"/>
        <w:left w:val="none" w:sz="0" w:space="0" w:color="auto"/>
        <w:bottom w:val="none" w:sz="0" w:space="0" w:color="auto"/>
        <w:right w:val="none" w:sz="0" w:space="0" w:color="auto"/>
      </w:divBdr>
      <w:divsChild>
        <w:div w:id="1209997797">
          <w:marLeft w:val="0"/>
          <w:marRight w:val="0"/>
          <w:marTop w:val="0"/>
          <w:marBottom w:val="0"/>
          <w:divBdr>
            <w:top w:val="none" w:sz="0" w:space="0" w:color="auto"/>
            <w:left w:val="none" w:sz="0" w:space="0" w:color="auto"/>
            <w:bottom w:val="none" w:sz="0" w:space="0" w:color="auto"/>
            <w:right w:val="none" w:sz="0" w:space="0" w:color="auto"/>
          </w:divBdr>
          <w:divsChild>
            <w:div w:id="8805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5448">
      <w:bodyDiv w:val="1"/>
      <w:marLeft w:val="0"/>
      <w:marRight w:val="0"/>
      <w:marTop w:val="0"/>
      <w:marBottom w:val="0"/>
      <w:divBdr>
        <w:top w:val="none" w:sz="0" w:space="0" w:color="auto"/>
        <w:left w:val="none" w:sz="0" w:space="0" w:color="auto"/>
        <w:bottom w:val="none" w:sz="0" w:space="0" w:color="auto"/>
        <w:right w:val="none" w:sz="0" w:space="0" w:color="auto"/>
      </w:divBdr>
    </w:div>
    <w:div w:id="1849365281">
      <w:bodyDiv w:val="1"/>
      <w:marLeft w:val="0"/>
      <w:marRight w:val="0"/>
      <w:marTop w:val="0"/>
      <w:marBottom w:val="0"/>
      <w:divBdr>
        <w:top w:val="none" w:sz="0" w:space="0" w:color="auto"/>
        <w:left w:val="none" w:sz="0" w:space="0" w:color="auto"/>
        <w:bottom w:val="none" w:sz="0" w:space="0" w:color="auto"/>
        <w:right w:val="none" w:sz="0" w:space="0" w:color="auto"/>
      </w:divBdr>
      <w:divsChild>
        <w:div w:id="1834029891">
          <w:marLeft w:val="0"/>
          <w:marRight w:val="0"/>
          <w:marTop w:val="0"/>
          <w:marBottom w:val="0"/>
          <w:divBdr>
            <w:top w:val="none" w:sz="0" w:space="0" w:color="auto"/>
            <w:left w:val="none" w:sz="0" w:space="0" w:color="auto"/>
            <w:bottom w:val="none" w:sz="0" w:space="0" w:color="auto"/>
            <w:right w:val="none" w:sz="0" w:space="0" w:color="auto"/>
          </w:divBdr>
          <w:divsChild>
            <w:div w:id="291403295">
              <w:marLeft w:val="0"/>
              <w:marRight w:val="0"/>
              <w:marTop w:val="0"/>
              <w:marBottom w:val="0"/>
              <w:divBdr>
                <w:top w:val="none" w:sz="0" w:space="0" w:color="auto"/>
                <w:left w:val="none" w:sz="0" w:space="0" w:color="auto"/>
                <w:bottom w:val="none" w:sz="0" w:space="0" w:color="auto"/>
                <w:right w:val="none" w:sz="0" w:space="0" w:color="auto"/>
              </w:divBdr>
              <w:divsChild>
                <w:div w:id="1444573719">
                  <w:marLeft w:val="0"/>
                  <w:marRight w:val="0"/>
                  <w:marTop w:val="0"/>
                  <w:marBottom w:val="0"/>
                  <w:divBdr>
                    <w:top w:val="none" w:sz="0" w:space="0" w:color="auto"/>
                    <w:left w:val="none" w:sz="0" w:space="0" w:color="auto"/>
                    <w:bottom w:val="none" w:sz="0" w:space="0" w:color="auto"/>
                    <w:right w:val="none" w:sz="0" w:space="0" w:color="auto"/>
                  </w:divBdr>
                </w:div>
                <w:div w:id="2028091315">
                  <w:marLeft w:val="0"/>
                  <w:marRight w:val="0"/>
                  <w:marTop w:val="120"/>
                  <w:marBottom w:val="0"/>
                  <w:divBdr>
                    <w:top w:val="none" w:sz="0" w:space="0" w:color="auto"/>
                    <w:left w:val="none" w:sz="0" w:space="0" w:color="auto"/>
                    <w:bottom w:val="none" w:sz="0" w:space="0" w:color="auto"/>
                    <w:right w:val="none" w:sz="0" w:space="0" w:color="auto"/>
                  </w:divBdr>
                </w:div>
              </w:divsChild>
            </w:div>
            <w:div w:id="478574003">
              <w:marLeft w:val="0"/>
              <w:marRight w:val="0"/>
              <w:marTop w:val="0"/>
              <w:marBottom w:val="0"/>
              <w:divBdr>
                <w:top w:val="none" w:sz="0" w:space="0" w:color="auto"/>
                <w:left w:val="none" w:sz="0" w:space="0" w:color="auto"/>
                <w:bottom w:val="none" w:sz="0" w:space="0" w:color="auto"/>
                <w:right w:val="none" w:sz="0" w:space="0" w:color="auto"/>
              </w:divBdr>
              <w:divsChild>
                <w:div w:id="459111852">
                  <w:marLeft w:val="0"/>
                  <w:marRight w:val="0"/>
                  <w:marTop w:val="120"/>
                  <w:marBottom w:val="0"/>
                  <w:divBdr>
                    <w:top w:val="none" w:sz="0" w:space="0" w:color="auto"/>
                    <w:left w:val="none" w:sz="0" w:space="0" w:color="auto"/>
                    <w:bottom w:val="none" w:sz="0" w:space="0" w:color="auto"/>
                    <w:right w:val="none" w:sz="0" w:space="0" w:color="auto"/>
                  </w:divBdr>
                </w:div>
                <w:div w:id="1384787678">
                  <w:marLeft w:val="0"/>
                  <w:marRight w:val="0"/>
                  <w:marTop w:val="0"/>
                  <w:marBottom w:val="0"/>
                  <w:divBdr>
                    <w:top w:val="none" w:sz="0" w:space="0" w:color="auto"/>
                    <w:left w:val="none" w:sz="0" w:space="0" w:color="auto"/>
                    <w:bottom w:val="none" w:sz="0" w:space="0" w:color="auto"/>
                    <w:right w:val="none" w:sz="0" w:space="0" w:color="auto"/>
                  </w:divBdr>
                </w:div>
              </w:divsChild>
            </w:div>
            <w:div w:id="589655307">
              <w:marLeft w:val="0"/>
              <w:marRight w:val="0"/>
              <w:marTop w:val="0"/>
              <w:marBottom w:val="0"/>
              <w:divBdr>
                <w:top w:val="none" w:sz="0" w:space="0" w:color="auto"/>
                <w:left w:val="none" w:sz="0" w:space="0" w:color="auto"/>
                <w:bottom w:val="none" w:sz="0" w:space="0" w:color="auto"/>
                <w:right w:val="none" w:sz="0" w:space="0" w:color="auto"/>
              </w:divBdr>
              <w:divsChild>
                <w:div w:id="1037508752">
                  <w:marLeft w:val="0"/>
                  <w:marRight w:val="0"/>
                  <w:marTop w:val="120"/>
                  <w:marBottom w:val="0"/>
                  <w:divBdr>
                    <w:top w:val="none" w:sz="0" w:space="0" w:color="auto"/>
                    <w:left w:val="none" w:sz="0" w:space="0" w:color="auto"/>
                    <w:bottom w:val="none" w:sz="0" w:space="0" w:color="auto"/>
                    <w:right w:val="none" w:sz="0" w:space="0" w:color="auto"/>
                  </w:divBdr>
                </w:div>
                <w:div w:id="1229611392">
                  <w:marLeft w:val="0"/>
                  <w:marRight w:val="0"/>
                  <w:marTop w:val="0"/>
                  <w:marBottom w:val="0"/>
                  <w:divBdr>
                    <w:top w:val="none" w:sz="0" w:space="0" w:color="auto"/>
                    <w:left w:val="none" w:sz="0" w:space="0" w:color="auto"/>
                    <w:bottom w:val="none" w:sz="0" w:space="0" w:color="auto"/>
                    <w:right w:val="none" w:sz="0" w:space="0" w:color="auto"/>
                  </w:divBdr>
                </w:div>
              </w:divsChild>
            </w:div>
            <w:div w:id="798694200">
              <w:marLeft w:val="0"/>
              <w:marRight w:val="0"/>
              <w:marTop w:val="0"/>
              <w:marBottom w:val="0"/>
              <w:divBdr>
                <w:top w:val="none" w:sz="0" w:space="0" w:color="auto"/>
                <w:left w:val="none" w:sz="0" w:space="0" w:color="auto"/>
                <w:bottom w:val="none" w:sz="0" w:space="0" w:color="auto"/>
                <w:right w:val="none" w:sz="0" w:space="0" w:color="auto"/>
              </w:divBdr>
              <w:divsChild>
                <w:div w:id="627584962">
                  <w:marLeft w:val="0"/>
                  <w:marRight w:val="0"/>
                  <w:marTop w:val="0"/>
                  <w:marBottom w:val="0"/>
                  <w:divBdr>
                    <w:top w:val="none" w:sz="0" w:space="0" w:color="auto"/>
                    <w:left w:val="none" w:sz="0" w:space="0" w:color="auto"/>
                    <w:bottom w:val="none" w:sz="0" w:space="0" w:color="auto"/>
                    <w:right w:val="none" w:sz="0" w:space="0" w:color="auto"/>
                  </w:divBdr>
                </w:div>
                <w:div w:id="1959946068">
                  <w:marLeft w:val="0"/>
                  <w:marRight w:val="0"/>
                  <w:marTop w:val="120"/>
                  <w:marBottom w:val="0"/>
                  <w:divBdr>
                    <w:top w:val="none" w:sz="0" w:space="0" w:color="auto"/>
                    <w:left w:val="none" w:sz="0" w:space="0" w:color="auto"/>
                    <w:bottom w:val="none" w:sz="0" w:space="0" w:color="auto"/>
                    <w:right w:val="none" w:sz="0" w:space="0" w:color="auto"/>
                  </w:divBdr>
                </w:div>
              </w:divsChild>
            </w:div>
            <w:div w:id="1208488238">
              <w:marLeft w:val="0"/>
              <w:marRight w:val="0"/>
              <w:marTop w:val="0"/>
              <w:marBottom w:val="0"/>
              <w:divBdr>
                <w:top w:val="none" w:sz="0" w:space="0" w:color="auto"/>
                <w:left w:val="none" w:sz="0" w:space="0" w:color="auto"/>
                <w:bottom w:val="none" w:sz="0" w:space="0" w:color="auto"/>
                <w:right w:val="none" w:sz="0" w:space="0" w:color="auto"/>
              </w:divBdr>
              <w:divsChild>
                <w:div w:id="792866427">
                  <w:marLeft w:val="0"/>
                  <w:marRight w:val="0"/>
                  <w:marTop w:val="120"/>
                  <w:marBottom w:val="0"/>
                  <w:divBdr>
                    <w:top w:val="none" w:sz="0" w:space="0" w:color="auto"/>
                    <w:left w:val="none" w:sz="0" w:space="0" w:color="auto"/>
                    <w:bottom w:val="none" w:sz="0" w:space="0" w:color="auto"/>
                    <w:right w:val="none" w:sz="0" w:space="0" w:color="auto"/>
                  </w:divBdr>
                </w:div>
                <w:div w:id="968557897">
                  <w:marLeft w:val="0"/>
                  <w:marRight w:val="0"/>
                  <w:marTop w:val="0"/>
                  <w:marBottom w:val="0"/>
                  <w:divBdr>
                    <w:top w:val="none" w:sz="0" w:space="0" w:color="auto"/>
                    <w:left w:val="none" w:sz="0" w:space="0" w:color="auto"/>
                    <w:bottom w:val="none" w:sz="0" w:space="0" w:color="auto"/>
                    <w:right w:val="none" w:sz="0" w:space="0" w:color="auto"/>
                  </w:divBdr>
                </w:div>
              </w:divsChild>
            </w:div>
            <w:div w:id="1326937895">
              <w:marLeft w:val="0"/>
              <w:marRight w:val="0"/>
              <w:marTop w:val="0"/>
              <w:marBottom w:val="0"/>
              <w:divBdr>
                <w:top w:val="none" w:sz="0" w:space="0" w:color="auto"/>
                <w:left w:val="none" w:sz="0" w:space="0" w:color="auto"/>
                <w:bottom w:val="none" w:sz="0" w:space="0" w:color="auto"/>
                <w:right w:val="none" w:sz="0" w:space="0" w:color="auto"/>
              </w:divBdr>
              <w:divsChild>
                <w:div w:id="328992994">
                  <w:marLeft w:val="0"/>
                  <w:marRight w:val="0"/>
                  <w:marTop w:val="0"/>
                  <w:marBottom w:val="0"/>
                  <w:divBdr>
                    <w:top w:val="none" w:sz="0" w:space="0" w:color="auto"/>
                    <w:left w:val="none" w:sz="0" w:space="0" w:color="auto"/>
                    <w:bottom w:val="none" w:sz="0" w:space="0" w:color="auto"/>
                    <w:right w:val="none" w:sz="0" w:space="0" w:color="auto"/>
                  </w:divBdr>
                </w:div>
                <w:div w:id="1049065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50482757">
      <w:bodyDiv w:val="1"/>
      <w:marLeft w:val="0"/>
      <w:marRight w:val="0"/>
      <w:marTop w:val="0"/>
      <w:marBottom w:val="0"/>
      <w:divBdr>
        <w:top w:val="none" w:sz="0" w:space="0" w:color="auto"/>
        <w:left w:val="none" w:sz="0" w:space="0" w:color="auto"/>
        <w:bottom w:val="none" w:sz="0" w:space="0" w:color="auto"/>
        <w:right w:val="none" w:sz="0" w:space="0" w:color="auto"/>
      </w:divBdr>
      <w:divsChild>
        <w:div w:id="114099226">
          <w:marLeft w:val="0"/>
          <w:marRight w:val="0"/>
          <w:marTop w:val="0"/>
          <w:marBottom w:val="0"/>
          <w:divBdr>
            <w:top w:val="none" w:sz="0" w:space="0" w:color="auto"/>
            <w:left w:val="none" w:sz="0" w:space="0" w:color="auto"/>
            <w:bottom w:val="none" w:sz="0" w:space="0" w:color="auto"/>
            <w:right w:val="none" w:sz="0" w:space="0" w:color="auto"/>
          </w:divBdr>
          <w:divsChild>
            <w:div w:id="290483223">
              <w:marLeft w:val="0"/>
              <w:marRight w:val="0"/>
              <w:marTop w:val="120"/>
              <w:marBottom w:val="0"/>
              <w:divBdr>
                <w:top w:val="none" w:sz="0" w:space="0" w:color="auto"/>
                <w:left w:val="none" w:sz="0" w:space="0" w:color="auto"/>
                <w:bottom w:val="none" w:sz="0" w:space="0" w:color="auto"/>
                <w:right w:val="none" w:sz="0" w:space="0" w:color="auto"/>
              </w:divBdr>
            </w:div>
            <w:div w:id="1298418914">
              <w:marLeft w:val="0"/>
              <w:marRight w:val="0"/>
              <w:marTop w:val="0"/>
              <w:marBottom w:val="0"/>
              <w:divBdr>
                <w:top w:val="none" w:sz="0" w:space="0" w:color="auto"/>
                <w:left w:val="none" w:sz="0" w:space="0" w:color="auto"/>
                <w:bottom w:val="none" w:sz="0" w:space="0" w:color="auto"/>
                <w:right w:val="none" w:sz="0" w:space="0" w:color="auto"/>
              </w:divBdr>
            </w:div>
          </w:divsChild>
        </w:div>
        <w:div w:id="1566380429">
          <w:marLeft w:val="0"/>
          <w:marRight w:val="0"/>
          <w:marTop w:val="0"/>
          <w:marBottom w:val="0"/>
          <w:divBdr>
            <w:top w:val="none" w:sz="0" w:space="0" w:color="auto"/>
            <w:left w:val="none" w:sz="0" w:space="0" w:color="auto"/>
            <w:bottom w:val="none" w:sz="0" w:space="0" w:color="auto"/>
            <w:right w:val="none" w:sz="0" w:space="0" w:color="auto"/>
          </w:divBdr>
          <w:divsChild>
            <w:div w:id="124474106">
              <w:marLeft w:val="0"/>
              <w:marRight w:val="0"/>
              <w:marTop w:val="0"/>
              <w:marBottom w:val="0"/>
              <w:divBdr>
                <w:top w:val="none" w:sz="0" w:space="0" w:color="auto"/>
                <w:left w:val="none" w:sz="0" w:space="0" w:color="auto"/>
                <w:bottom w:val="none" w:sz="0" w:space="0" w:color="auto"/>
                <w:right w:val="none" w:sz="0" w:space="0" w:color="auto"/>
              </w:divBdr>
            </w:div>
            <w:div w:id="1425882533">
              <w:marLeft w:val="0"/>
              <w:marRight w:val="0"/>
              <w:marTop w:val="120"/>
              <w:marBottom w:val="0"/>
              <w:divBdr>
                <w:top w:val="none" w:sz="0" w:space="0" w:color="auto"/>
                <w:left w:val="none" w:sz="0" w:space="0" w:color="auto"/>
                <w:bottom w:val="none" w:sz="0" w:space="0" w:color="auto"/>
                <w:right w:val="none" w:sz="0" w:space="0" w:color="auto"/>
              </w:divBdr>
            </w:div>
          </w:divsChild>
        </w:div>
        <w:div w:id="2046176656">
          <w:marLeft w:val="0"/>
          <w:marRight w:val="0"/>
          <w:marTop w:val="0"/>
          <w:marBottom w:val="0"/>
          <w:divBdr>
            <w:top w:val="none" w:sz="0" w:space="0" w:color="auto"/>
            <w:left w:val="none" w:sz="0" w:space="0" w:color="auto"/>
            <w:bottom w:val="none" w:sz="0" w:space="0" w:color="auto"/>
            <w:right w:val="none" w:sz="0" w:space="0" w:color="auto"/>
          </w:divBdr>
          <w:divsChild>
            <w:div w:id="19941744">
              <w:marLeft w:val="0"/>
              <w:marRight w:val="0"/>
              <w:marTop w:val="0"/>
              <w:marBottom w:val="0"/>
              <w:divBdr>
                <w:top w:val="none" w:sz="0" w:space="0" w:color="auto"/>
                <w:left w:val="none" w:sz="0" w:space="0" w:color="auto"/>
                <w:bottom w:val="none" w:sz="0" w:space="0" w:color="auto"/>
                <w:right w:val="none" w:sz="0" w:space="0" w:color="auto"/>
              </w:divBdr>
              <w:divsChild>
                <w:div w:id="267734076">
                  <w:marLeft w:val="0"/>
                  <w:marRight w:val="0"/>
                  <w:marTop w:val="0"/>
                  <w:marBottom w:val="0"/>
                  <w:divBdr>
                    <w:top w:val="none" w:sz="0" w:space="0" w:color="auto"/>
                    <w:left w:val="none" w:sz="0" w:space="0" w:color="auto"/>
                    <w:bottom w:val="none" w:sz="0" w:space="0" w:color="auto"/>
                    <w:right w:val="none" w:sz="0" w:space="0" w:color="auto"/>
                  </w:divBdr>
                  <w:divsChild>
                    <w:div w:id="840387108">
                      <w:marLeft w:val="0"/>
                      <w:marRight w:val="0"/>
                      <w:marTop w:val="120"/>
                      <w:marBottom w:val="0"/>
                      <w:divBdr>
                        <w:top w:val="none" w:sz="0" w:space="0" w:color="auto"/>
                        <w:left w:val="none" w:sz="0" w:space="0" w:color="auto"/>
                        <w:bottom w:val="none" w:sz="0" w:space="0" w:color="auto"/>
                        <w:right w:val="none" w:sz="0" w:space="0" w:color="auto"/>
                      </w:divBdr>
                    </w:div>
                    <w:div w:id="1778403480">
                      <w:marLeft w:val="0"/>
                      <w:marRight w:val="0"/>
                      <w:marTop w:val="0"/>
                      <w:marBottom w:val="0"/>
                      <w:divBdr>
                        <w:top w:val="none" w:sz="0" w:space="0" w:color="auto"/>
                        <w:left w:val="none" w:sz="0" w:space="0" w:color="auto"/>
                        <w:bottom w:val="none" w:sz="0" w:space="0" w:color="auto"/>
                        <w:right w:val="none" w:sz="0" w:space="0" w:color="auto"/>
                      </w:divBdr>
                    </w:div>
                  </w:divsChild>
                </w:div>
                <w:div w:id="273750852">
                  <w:marLeft w:val="0"/>
                  <w:marRight w:val="0"/>
                  <w:marTop w:val="0"/>
                  <w:marBottom w:val="0"/>
                  <w:divBdr>
                    <w:top w:val="none" w:sz="0" w:space="0" w:color="auto"/>
                    <w:left w:val="none" w:sz="0" w:space="0" w:color="auto"/>
                    <w:bottom w:val="none" w:sz="0" w:space="0" w:color="auto"/>
                    <w:right w:val="none" w:sz="0" w:space="0" w:color="auto"/>
                  </w:divBdr>
                  <w:divsChild>
                    <w:div w:id="243078916">
                      <w:marLeft w:val="0"/>
                      <w:marRight w:val="0"/>
                      <w:marTop w:val="0"/>
                      <w:marBottom w:val="0"/>
                      <w:divBdr>
                        <w:top w:val="none" w:sz="0" w:space="0" w:color="auto"/>
                        <w:left w:val="none" w:sz="0" w:space="0" w:color="auto"/>
                        <w:bottom w:val="none" w:sz="0" w:space="0" w:color="auto"/>
                        <w:right w:val="none" w:sz="0" w:space="0" w:color="auto"/>
                      </w:divBdr>
                    </w:div>
                    <w:div w:id="1121919172">
                      <w:marLeft w:val="0"/>
                      <w:marRight w:val="0"/>
                      <w:marTop w:val="120"/>
                      <w:marBottom w:val="0"/>
                      <w:divBdr>
                        <w:top w:val="none" w:sz="0" w:space="0" w:color="auto"/>
                        <w:left w:val="none" w:sz="0" w:space="0" w:color="auto"/>
                        <w:bottom w:val="none" w:sz="0" w:space="0" w:color="auto"/>
                        <w:right w:val="none" w:sz="0" w:space="0" w:color="auto"/>
                      </w:divBdr>
                    </w:div>
                  </w:divsChild>
                </w:div>
                <w:div w:id="1226574873">
                  <w:marLeft w:val="0"/>
                  <w:marRight w:val="0"/>
                  <w:marTop w:val="0"/>
                  <w:marBottom w:val="0"/>
                  <w:divBdr>
                    <w:top w:val="none" w:sz="0" w:space="0" w:color="auto"/>
                    <w:left w:val="none" w:sz="0" w:space="0" w:color="auto"/>
                    <w:bottom w:val="none" w:sz="0" w:space="0" w:color="auto"/>
                    <w:right w:val="none" w:sz="0" w:space="0" w:color="auto"/>
                  </w:divBdr>
                  <w:divsChild>
                    <w:div w:id="66266409">
                      <w:marLeft w:val="0"/>
                      <w:marRight w:val="0"/>
                      <w:marTop w:val="120"/>
                      <w:marBottom w:val="0"/>
                      <w:divBdr>
                        <w:top w:val="none" w:sz="0" w:space="0" w:color="auto"/>
                        <w:left w:val="none" w:sz="0" w:space="0" w:color="auto"/>
                        <w:bottom w:val="none" w:sz="0" w:space="0" w:color="auto"/>
                        <w:right w:val="none" w:sz="0" w:space="0" w:color="auto"/>
                      </w:divBdr>
                    </w:div>
                    <w:div w:id="628825442">
                      <w:marLeft w:val="0"/>
                      <w:marRight w:val="0"/>
                      <w:marTop w:val="0"/>
                      <w:marBottom w:val="0"/>
                      <w:divBdr>
                        <w:top w:val="none" w:sz="0" w:space="0" w:color="auto"/>
                        <w:left w:val="none" w:sz="0" w:space="0" w:color="auto"/>
                        <w:bottom w:val="none" w:sz="0" w:space="0" w:color="auto"/>
                        <w:right w:val="none" w:sz="0" w:space="0" w:color="auto"/>
                      </w:divBdr>
                    </w:div>
                  </w:divsChild>
                </w:div>
                <w:div w:id="1628774886">
                  <w:marLeft w:val="0"/>
                  <w:marRight w:val="0"/>
                  <w:marTop w:val="0"/>
                  <w:marBottom w:val="0"/>
                  <w:divBdr>
                    <w:top w:val="none" w:sz="0" w:space="0" w:color="auto"/>
                    <w:left w:val="none" w:sz="0" w:space="0" w:color="auto"/>
                    <w:bottom w:val="none" w:sz="0" w:space="0" w:color="auto"/>
                    <w:right w:val="none" w:sz="0" w:space="0" w:color="auto"/>
                  </w:divBdr>
                  <w:divsChild>
                    <w:div w:id="326056582">
                      <w:marLeft w:val="0"/>
                      <w:marRight w:val="0"/>
                      <w:marTop w:val="120"/>
                      <w:marBottom w:val="0"/>
                      <w:divBdr>
                        <w:top w:val="none" w:sz="0" w:space="0" w:color="auto"/>
                        <w:left w:val="none" w:sz="0" w:space="0" w:color="auto"/>
                        <w:bottom w:val="none" w:sz="0" w:space="0" w:color="auto"/>
                        <w:right w:val="none" w:sz="0" w:space="0" w:color="auto"/>
                      </w:divBdr>
                    </w:div>
                    <w:div w:id="1107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1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3839964">
      <w:bodyDiv w:val="1"/>
      <w:marLeft w:val="0"/>
      <w:marRight w:val="0"/>
      <w:marTop w:val="0"/>
      <w:marBottom w:val="0"/>
      <w:divBdr>
        <w:top w:val="none" w:sz="0" w:space="0" w:color="auto"/>
        <w:left w:val="none" w:sz="0" w:space="0" w:color="auto"/>
        <w:bottom w:val="none" w:sz="0" w:space="0" w:color="auto"/>
        <w:right w:val="none" w:sz="0" w:space="0" w:color="auto"/>
      </w:divBdr>
      <w:divsChild>
        <w:div w:id="457843537">
          <w:marLeft w:val="0"/>
          <w:marRight w:val="0"/>
          <w:marTop w:val="120"/>
          <w:marBottom w:val="0"/>
          <w:divBdr>
            <w:top w:val="none" w:sz="0" w:space="0" w:color="auto"/>
            <w:left w:val="none" w:sz="0" w:space="0" w:color="auto"/>
            <w:bottom w:val="none" w:sz="0" w:space="0" w:color="auto"/>
            <w:right w:val="none" w:sz="0" w:space="0" w:color="auto"/>
          </w:divBdr>
        </w:div>
        <w:div w:id="1619027651">
          <w:marLeft w:val="0"/>
          <w:marRight w:val="0"/>
          <w:marTop w:val="0"/>
          <w:marBottom w:val="0"/>
          <w:divBdr>
            <w:top w:val="none" w:sz="0" w:space="0" w:color="auto"/>
            <w:left w:val="none" w:sz="0" w:space="0" w:color="auto"/>
            <w:bottom w:val="none" w:sz="0" w:space="0" w:color="auto"/>
            <w:right w:val="none" w:sz="0" w:space="0" w:color="auto"/>
          </w:divBdr>
        </w:div>
      </w:divsChild>
    </w:div>
    <w:div w:id="1864322701">
      <w:bodyDiv w:val="1"/>
      <w:marLeft w:val="0"/>
      <w:marRight w:val="0"/>
      <w:marTop w:val="0"/>
      <w:marBottom w:val="0"/>
      <w:divBdr>
        <w:top w:val="none" w:sz="0" w:space="0" w:color="auto"/>
        <w:left w:val="none" w:sz="0" w:space="0" w:color="auto"/>
        <w:bottom w:val="none" w:sz="0" w:space="0" w:color="auto"/>
        <w:right w:val="none" w:sz="0" w:space="0" w:color="auto"/>
      </w:divBdr>
    </w:div>
    <w:div w:id="1874541176">
      <w:bodyDiv w:val="1"/>
      <w:marLeft w:val="0"/>
      <w:marRight w:val="0"/>
      <w:marTop w:val="0"/>
      <w:marBottom w:val="0"/>
      <w:divBdr>
        <w:top w:val="none" w:sz="0" w:space="0" w:color="auto"/>
        <w:left w:val="none" w:sz="0" w:space="0" w:color="auto"/>
        <w:bottom w:val="none" w:sz="0" w:space="0" w:color="auto"/>
        <w:right w:val="none" w:sz="0" w:space="0" w:color="auto"/>
      </w:divBdr>
      <w:divsChild>
        <w:div w:id="404498645">
          <w:marLeft w:val="0"/>
          <w:marRight w:val="0"/>
          <w:marTop w:val="0"/>
          <w:marBottom w:val="0"/>
          <w:divBdr>
            <w:top w:val="none" w:sz="0" w:space="0" w:color="auto"/>
            <w:left w:val="none" w:sz="0" w:space="0" w:color="auto"/>
            <w:bottom w:val="none" w:sz="0" w:space="0" w:color="auto"/>
            <w:right w:val="none" w:sz="0" w:space="0" w:color="auto"/>
          </w:divBdr>
          <w:divsChild>
            <w:div w:id="654645017">
              <w:marLeft w:val="0"/>
              <w:marRight w:val="0"/>
              <w:marTop w:val="0"/>
              <w:marBottom w:val="0"/>
              <w:divBdr>
                <w:top w:val="none" w:sz="0" w:space="0" w:color="auto"/>
                <w:left w:val="none" w:sz="0" w:space="0" w:color="auto"/>
                <w:bottom w:val="none" w:sz="0" w:space="0" w:color="auto"/>
                <w:right w:val="none" w:sz="0" w:space="0" w:color="auto"/>
              </w:divBdr>
            </w:div>
          </w:divsChild>
        </w:div>
        <w:div w:id="1489250346">
          <w:marLeft w:val="0"/>
          <w:marRight w:val="0"/>
          <w:marTop w:val="0"/>
          <w:marBottom w:val="0"/>
          <w:divBdr>
            <w:top w:val="none" w:sz="0" w:space="0" w:color="auto"/>
            <w:left w:val="none" w:sz="0" w:space="0" w:color="auto"/>
            <w:bottom w:val="none" w:sz="0" w:space="0" w:color="auto"/>
            <w:right w:val="none" w:sz="0" w:space="0" w:color="auto"/>
          </w:divBdr>
          <w:divsChild>
            <w:div w:id="926037371">
              <w:marLeft w:val="0"/>
              <w:marRight w:val="0"/>
              <w:marTop w:val="0"/>
              <w:marBottom w:val="0"/>
              <w:divBdr>
                <w:top w:val="none" w:sz="0" w:space="0" w:color="auto"/>
                <w:left w:val="none" w:sz="0" w:space="0" w:color="auto"/>
                <w:bottom w:val="none" w:sz="0" w:space="0" w:color="auto"/>
                <w:right w:val="none" w:sz="0" w:space="0" w:color="auto"/>
              </w:divBdr>
            </w:div>
            <w:div w:id="1754204969">
              <w:marLeft w:val="0"/>
              <w:marRight w:val="0"/>
              <w:marTop w:val="120"/>
              <w:marBottom w:val="0"/>
              <w:divBdr>
                <w:top w:val="none" w:sz="0" w:space="0" w:color="auto"/>
                <w:left w:val="none" w:sz="0" w:space="0" w:color="auto"/>
                <w:bottom w:val="none" w:sz="0" w:space="0" w:color="auto"/>
                <w:right w:val="none" w:sz="0" w:space="0" w:color="auto"/>
              </w:divBdr>
            </w:div>
          </w:divsChild>
        </w:div>
        <w:div w:id="1496846453">
          <w:marLeft w:val="0"/>
          <w:marRight w:val="0"/>
          <w:marTop w:val="0"/>
          <w:marBottom w:val="0"/>
          <w:divBdr>
            <w:top w:val="none" w:sz="0" w:space="0" w:color="auto"/>
            <w:left w:val="none" w:sz="0" w:space="0" w:color="auto"/>
            <w:bottom w:val="none" w:sz="0" w:space="0" w:color="auto"/>
            <w:right w:val="none" w:sz="0" w:space="0" w:color="auto"/>
          </w:divBdr>
          <w:divsChild>
            <w:div w:id="20741099">
              <w:marLeft w:val="0"/>
              <w:marRight w:val="0"/>
              <w:marTop w:val="120"/>
              <w:marBottom w:val="0"/>
              <w:divBdr>
                <w:top w:val="none" w:sz="0" w:space="0" w:color="auto"/>
                <w:left w:val="none" w:sz="0" w:space="0" w:color="auto"/>
                <w:bottom w:val="none" w:sz="0" w:space="0" w:color="auto"/>
                <w:right w:val="none" w:sz="0" w:space="0" w:color="auto"/>
              </w:divBdr>
            </w:div>
            <w:div w:id="251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906">
      <w:bodyDiv w:val="1"/>
      <w:marLeft w:val="0"/>
      <w:marRight w:val="0"/>
      <w:marTop w:val="0"/>
      <w:marBottom w:val="0"/>
      <w:divBdr>
        <w:top w:val="none" w:sz="0" w:space="0" w:color="auto"/>
        <w:left w:val="none" w:sz="0" w:space="0" w:color="auto"/>
        <w:bottom w:val="none" w:sz="0" w:space="0" w:color="auto"/>
        <w:right w:val="none" w:sz="0" w:space="0" w:color="auto"/>
      </w:divBdr>
      <w:divsChild>
        <w:div w:id="892814722">
          <w:marLeft w:val="0"/>
          <w:marRight w:val="0"/>
          <w:marTop w:val="0"/>
          <w:marBottom w:val="0"/>
          <w:divBdr>
            <w:top w:val="none" w:sz="0" w:space="0" w:color="auto"/>
            <w:left w:val="none" w:sz="0" w:space="0" w:color="auto"/>
            <w:bottom w:val="none" w:sz="0" w:space="0" w:color="auto"/>
            <w:right w:val="none" w:sz="0" w:space="0" w:color="auto"/>
          </w:divBdr>
          <w:divsChild>
            <w:div w:id="967902930">
              <w:marLeft w:val="0"/>
              <w:marRight w:val="0"/>
              <w:marTop w:val="0"/>
              <w:marBottom w:val="0"/>
              <w:divBdr>
                <w:top w:val="none" w:sz="0" w:space="0" w:color="auto"/>
                <w:left w:val="none" w:sz="0" w:space="0" w:color="auto"/>
                <w:bottom w:val="none" w:sz="0" w:space="0" w:color="auto"/>
                <w:right w:val="none" w:sz="0" w:space="0" w:color="auto"/>
              </w:divBdr>
              <w:divsChild>
                <w:div w:id="766776420">
                  <w:marLeft w:val="0"/>
                  <w:marRight w:val="0"/>
                  <w:marTop w:val="0"/>
                  <w:marBottom w:val="0"/>
                  <w:divBdr>
                    <w:top w:val="none" w:sz="0" w:space="0" w:color="auto"/>
                    <w:left w:val="none" w:sz="0" w:space="0" w:color="auto"/>
                    <w:bottom w:val="none" w:sz="0" w:space="0" w:color="auto"/>
                    <w:right w:val="none" w:sz="0" w:space="0" w:color="auto"/>
                  </w:divBdr>
                  <w:divsChild>
                    <w:div w:id="1152411495">
                      <w:marLeft w:val="0"/>
                      <w:marRight w:val="0"/>
                      <w:marTop w:val="120"/>
                      <w:marBottom w:val="0"/>
                      <w:divBdr>
                        <w:top w:val="none" w:sz="0" w:space="0" w:color="auto"/>
                        <w:left w:val="none" w:sz="0" w:space="0" w:color="auto"/>
                        <w:bottom w:val="none" w:sz="0" w:space="0" w:color="auto"/>
                        <w:right w:val="none" w:sz="0" w:space="0" w:color="auto"/>
                      </w:divBdr>
                    </w:div>
                    <w:div w:id="2064792658">
                      <w:marLeft w:val="0"/>
                      <w:marRight w:val="0"/>
                      <w:marTop w:val="0"/>
                      <w:marBottom w:val="0"/>
                      <w:divBdr>
                        <w:top w:val="none" w:sz="0" w:space="0" w:color="auto"/>
                        <w:left w:val="none" w:sz="0" w:space="0" w:color="auto"/>
                        <w:bottom w:val="none" w:sz="0" w:space="0" w:color="auto"/>
                        <w:right w:val="none" w:sz="0" w:space="0" w:color="auto"/>
                      </w:divBdr>
                    </w:div>
                  </w:divsChild>
                </w:div>
                <w:div w:id="1988238876">
                  <w:marLeft w:val="0"/>
                  <w:marRight w:val="0"/>
                  <w:marTop w:val="0"/>
                  <w:marBottom w:val="0"/>
                  <w:divBdr>
                    <w:top w:val="none" w:sz="0" w:space="0" w:color="auto"/>
                    <w:left w:val="none" w:sz="0" w:space="0" w:color="auto"/>
                    <w:bottom w:val="none" w:sz="0" w:space="0" w:color="auto"/>
                    <w:right w:val="none" w:sz="0" w:space="0" w:color="auto"/>
                  </w:divBdr>
                  <w:divsChild>
                    <w:div w:id="1426658205">
                      <w:marLeft w:val="0"/>
                      <w:marRight w:val="0"/>
                      <w:marTop w:val="120"/>
                      <w:marBottom w:val="0"/>
                      <w:divBdr>
                        <w:top w:val="none" w:sz="0" w:space="0" w:color="auto"/>
                        <w:left w:val="none" w:sz="0" w:space="0" w:color="auto"/>
                        <w:bottom w:val="none" w:sz="0" w:space="0" w:color="auto"/>
                        <w:right w:val="none" w:sz="0" w:space="0" w:color="auto"/>
                      </w:divBdr>
                    </w:div>
                    <w:div w:id="20274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880">
          <w:marLeft w:val="0"/>
          <w:marRight w:val="0"/>
          <w:marTop w:val="0"/>
          <w:marBottom w:val="0"/>
          <w:divBdr>
            <w:top w:val="none" w:sz="0" w:space="0" w:color="auto"/>
            <w:left w:val="none" w:sz="0" w:space="0" w:color="auto"/>
            <w:bottom w:val="none" w:sz="0" w:space="0" w:color="auto"/>
            <w:right w:val="none" w:sz="0" w:space="0" w:color="auto"/>
          </w:divBdr>
          <w:divsChild>
            <w:div w:id="9139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8581">
      <w:bodyDiv w:val="1"/>
      <w:marLeft w:val="0"/>
      <w:marRight w:val="0"/>
      <w:marTop w:val="0"/>
      <w:marBottom w:val="0"/>
      <w:divBdr>
        <w:top w:val="none" w:sz="0" w:space="0" w:color="auto"/>
        <w:left w:val="none" w:sz="0" w:space="0" w:color="auto"/>
        <w:bottom w:val="none" w:sz="0" w:space="0" w:color="auto"/>
        <w:right w:val="none" w:sz="0" w:space="0" w:color="auto"/>
      </w:divBdr>
      <w:divsChild>
        <w:div w:id="65109796">
          <w:marLeft w:val="0"/>
          <w:marRight w:val="0"/>
          <w:marTop w:val="0"/>
          <w:marBottom w:val="0"/>
          <w:divBdr>
            <w:top w:val="none" w:sz="0" w:space="0" w:color="auto"/>
            <w:left w:val="none" w:sz="0" w:space="0" w:color="auto"/>
            <w:bottom w:val="none" w:sz="0" w:space="0" w:color="auto"/>
            <w:right w:val="none" w:sz="0" w:space="0" w:color="auto"/>
          </w:divBdr>
          <w:divsChild>
            <w:div w:id="1080634658">
              <w:marLeft w:val="0"/>
              <w:marRight w:val="0"/>
              <w:marTop w:val="0"/>
              <w:marBottom w:val="0"/>
              <w:divBdr>
                <w:top w:val="none" w:sz="0" w:space="0" w:color="auto"/>
                <w:left w:val="none" w:sz="0" w:space="0" w:color="auto"/>
                <w:bottom w:val="none" w:sz="0" w:space="0" w:color="auto"/>
                <w:right w:val="none" w:sz="0" w:space="0" w:color="auto"/>
              </w:divBdr>
            </w:div>
            <w:div w:id="1599098910">
              <w:marLeft w:val="0"/>
              <w:marRight w:val="0"/>
              <w:marTop w:val="120"/>
              <w:marBottom w:val="0"/>
              <w:divBdr>
                <w:top w:val="none" w:sz="0" w:space="0" w:color="auto"/>
                <w:left w:val="none" w:sz="0" w:space="0" w:color="auto"/>
                <w:bottom w:val="none" w:sz="0" w:space="0" w:color="auto"/>
                <w:right w:val="none" w:sz="0" w:space="0" w:color="auto"/>
              </w:divBdr>
            </w:div>
          </w:divsChild>
        </w:div>
        <w:div w:id="310988158">
          <w:marLeft w:val="0"/>
          <w:marRight w:val="0"/>
          <w:marTop w:val="0"/>
          <w:marBottom w:val="0"/>
          <w:divBdr>
            <w:top w:val="none" w:sz="0" w:space="0" w:color="auto"/>
            <w:left w:val="none" w:sz="0" w:space="0" w:color="auto"/>
            <w:bottom w:val="none" w:sz="0" w:space="0" w:color="auto"/>
            <w:right w:val="none" w:sz="0" w:space="0" w:color="auto"/>
          </w:divBdr>
          <w:divsChild>
            <w:div w:id="685250357">
              <w:marLeft w:val="0"/>
              <w:marRight w:val="0"/>
              <w:marTop w:val="120"/>
              <w:marBottom w:val="0"/>
              <w:divBdr>
                <w:top w:val="none" w:sz="0" w:space="0" w:color="auto"/>
                <w:left w:val="none" w:sz="0" w:space="0" w:color="auto"/>
                <w:bottom w:val="none" w:sz="0" w:space="0" w:color="auto"/>
                <w:right w:val="none" w:sz="0" w:space="0" w:color="auto"/>
              </w:divBdr>
            </w:div>
            <w:div w:id="1495997462">
              <w:marLeft w:val="0"/>
              <w:marRight w:val="0"/>
              <w:marTop w:val="0"/>
              <w:marBottom w:val="0"/>
              <w:divBdr>
                <w:top w:val="none" w:sz="0" w:space="0" w:color="auto"/>
                <w:left w:val="none" w:sz="0" w:space="0" w:color="auto"/>
                <w:bottom w:val="none" w:sz="0" w:space="0" w:color="auto"/>
                <w:right w:val="none" w:sz="0" w:space="0" w:color="auto"/>
              </w:divBdr>
            </w:div>
          </w:divsChild>
        </w:div>
        <w:div w:id="868488256">
          <w:marLeft w:val="0"/>
          <w:marRight w:val="0"/>
          <w:marTop w:val="0"/>
          <w:marBottom w:val="0"/>
          <w:divBdr>
            <w:top w:val="none" w:sz="0" w:space="0" w:color="auto"/>
            <w:left w:val="none" w:sz="0" w:space="0" w:color="auto"/>
            <w:bottom w:val="none" w:sz="0" w:space="0" w:color="auto"/>
            <w:right w:val="none" w:sz="0" w:space="0" w:color="auto"/>
          </w:divBdr>
          <w:divsChild>
            <w:div w:id="1077433896">
              <w:marLeft w:val="0"/>
              <w:marRight w:val="0"/>
              <w:marTop w:val="120"/>
              <w:marBottom w:val="0"/>
              <w:divBdr>
                <w:top w:val="none" w:sz="0" w:space="0" w:color="auto"/>
                <w:left w:val="none" w:sz="0" w:space="0" w:color="auto"/>
                <w:bottom w:val="none" w:sz="0" w:space="0" w:color="auto"/>
                <w:right w:val="none" w:sz="0" w:space="0" w:color="auto"/>
              </w:divBdr>
            </w:div>
            <w:div w:id="1266183907">
              <w:marLeft w:val="0"/>
              <w:marRight w:val="0"/>
              <w:marTop w:val="0"/>
              <w:marBottom w:val="0"/>
              <w:divBdr>
                <w:top w:val="none" w:sz="0" w:space="0" w:color="auto"/>
                <w:left w:val="none" w:sz="0" w:space="0" w:color="auto"/>
                <w:bottom w:val="none" w:sz="0" w:space="0" w:color="auto"/>
                <w:right w:val="none" w:sz="0" w:space="0" w:color="auto"/>
              </w:divBdr>
            </w:div>
          </w:divsChild>
        </w:div>
        <w:div w:id="1585721399">
          <w:marLeft w:val="0"/>
          <w:marRight w:val="0"/>
          <w:marTop w:val="0"/>
          <w:marBottom w:val="0"/>
          <w:divBdr>
            <w:top w:val="none" w:sz="0" w:space="0" w:color="auto"/>
            <w:left w:val="none" w:sz="0" w:space="0" w:color="auto"/>
            <w:bottom w:val="none" w:sz="0" w:space="0" w:color="auto"/>
            <w:right w:val="none" w:sz="0" w:space="0" w:color="auto"/>
          </w:divBdr>
          <w:divsChild>
            <w:div w:id="18680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911">
      <w:bodyDiv w:val="1"/>
      <w:marLeft w:val="0"/>
      <w:marRight w:val="0"/>
      <w:marTop w:val="0"/>
      <w:marBottom w:val="0"/>
      <w:divBdr>
        <w:top w:val="none" w:sz="0" w:space="0" w:color="auto"/>
        <w:left w:val="none" w:sz="0" w:space="0" w:color="auto"/>
        <w:bottom w:val="none" w:sz="0" w:space="0" w:color="auto"/>
        <w:right w:val="none" w:sz="0" w:space="0" w:color="auto"/>
      </w:divBdr>
      <w:divsChild>
        <w:div w:id="740908508">
          <w:marLeft w:val="0"/>
          <w:marRight w:val="0"/>
          <w:marTop w:val="0"/>
          <w:marBottom w:val="0"/>
          <w:divBdr>
            <w:top w:val="none" w:sz="0" w:space="0" w:color="auto"/>
            <w:left w:val="none" w:sz="0" w:space="0" w:color="auto"/>
            <w:bottom w:val="none" w:sz="0" w:space="0" w:color="auto"/>
            <w:right w:val="none" w:sz="0" w:space="0" w:color="auto"/>
          </w:divBdr>
          <w:divsChild>
            <w:div w:id="745421135">
              <w:marLeft w:val="0"/>
              <w:marRight w:val="0"/>
              <w:marTop w:val="0"/>
              <w:marBottom w:val="0"/>
              <w:divBdr>
                <w:top w:val="none" w:sz="0" w:space="0" w:color="auto"/>
                <w:left w:val="none" w:sz="0" w:space="0" w:color="auto"/>
                <w:bottom w:val="none" w:sz="0" w:space="0" w:color="auto"/>
                <w:right w:val="none" w:sz="0" w:space="0" w:color="auto"/>
              </w:divBdr>
              <w:divsChild>
                <w:div w:id="256526106">
                  <w:marLeft w:val="0"/>
                  <w:marRight w:val="0"/>
                  <w:marTop w:val="120"/>
                  <w:marBottom w:val="0"/>
                  <w:divBdr>
                    <w:top w:val="none" w:sz="0" w:space="0" w:color="auto"/>
                    <w:left w:val="none" w:sz="0" w:space="0" w:color="auto"/>
                    <w:bottom w:val="none" w:sz="0" w:space="0" w:color="auto"/>
                    <w:right w:val="none" w:sz="0" w:space="0" w:color="auto"/>
                  </w:divBdr>
                </w:div>
                <w:div w:id="1601374016">
                  <w:marLeft w:val="0"/>
                  <w:marRight w:val="0"/>
                  <w:marTop w:val="0"/>
                  <w:marBottom w:val="0"/>
                  <w:divBdr>
                    <w:top w:val="none" w:sz="0" w:space="0" w:color="auto"/>
                    <w:left w:val="none" w:sz="0" w:space="0" w:color="auto"/>
                    <w:bottom w:val="none" w:sz="0" w:space="0" w:color="auto"/>
                    <w:right w:val="none" w:sz="0" w:space="0" w:color="auto"/>
                  </w:divBdr>
                </w:div>
              </w:divsChild>
            </w:div>
            <w:div w:id="1861313868">
              <w:marLeft w:val="0"/>
              <w:marRight w:val="0"/>
              <w:marTop w:val="0"/>
              <w:marBottom w:val="0"/>
              <w:divBdr>
                <w:top w:val="none" w:sz="0" w:space="0" w:color="auto"/>
                <w:left w:val="none" w:sz="0" w:space="0" w:color="auto"/>
                <w:bottom w:val="none" w:sz="0" w:space="0" w:color="auto"/>
                <w:right w:val="none" w:sz="0" w:space="0" w:color="auto"/>
              </w:divBdr>
              <w:divsChild>
                <w:div w:id="385377852">
                  <w:marLeft w:val="0"/>
                  <w:marRight w:val="0"/>
                  <w:marTop w:val="120"/>
                  <w:marBottom w:val="0"/>
                  <w:divBdr>
                    <w:top w:val="none" w:sz="0" w:space="0" w:color="auto"/>
                    <w:left w:val="none" w:sz="0" w:space="0" w:color="auto"/>
                    <w:bottom w:val="none" w:sz="0" w:space="0" w:color="auto"/>
                    <w:right w:val="none" w:sz="0" w:space="0" w:color="auto"/>
                  </w:divBdr>
                </w:div>
                <w:div w:id="6068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71907">
      <w:bodyDiv w:val="1"/>
      <w:marLeft w:val="0"/>
      <w:marRight w:val="0"/>
      <w:marTop w:val="0"/>
      <w:marBottom w:val="0"/>
      <w:divBdr>
        <w:top w:val="none" w:sz="0" w:space="0" w:color="auto"/>
        <w:left w:val="none" w:sz="0" w:space="0" w:color="auto"/>
        <w:bottom w:val="none" w:sz="0" w:space="0" w:color="auto"/>
        <w:right w:val="none" w:sz="0" w:space="0" w:color="auto"/>
      </w:divBdr>
      <w:divsChild>
        <w:div w:id="485904566">
          <w:marLeft w:val="0"/>
          <w:marRight w:val="0"/>
          <w:marTop w:val="0"/>
          <w:marBottom w:val="0"/>
          <w:divBdr>
            <w:top w:val="none" w:sz="0" w:space="0" w:color="auto"/>
            <w:left w:val="none" w:sz="0" w:space="0" w:color="auto"/>
            <w:bottom w:val="none" w:sz="0" w:space="0" w:color="auto"/>
            <w:right w:val="none" w:sz="0" w:space="0" w:color="auto"/>
          </w:divBdr>
        </w:div>
        <w:div w:id="1130243445">
          <w:marLeft w:val="0"/>
          <w:marRight w:val="0"/>
          <w:marTop w:val="120"/>
          <w:marBottom w:val="0"/>
          <w:divBdr>
            <w:top w:val="none" w:sz="0" w:space="0" w:color="auto"/>
            <w:left w:val="none" w:sz="0" w:space="0" w:color="auto"/>
            <w:bottom w:val="none" w:sz="0" w:space="0" w:color="auto"/>
            <w:right w:val="none" w:sz="0" w:space="0" w:color="auto"/>
          </w:divBdr>
        </w:div>
      </w:divsChild>
    </w:div>
    <w:div w:id="1921400320">
      <w:bodyDiv w:val="1"/>
      <w:marLeft w:val="0"/>
      <w:marRight w:val="0"/>
      <w:marTop w:val="0"/>
      <w:marBottom w:val="0"/>
      <w:divBdr>
        <w:top w:val="none" w:sz="0" w:space="0" w:color="auto"/>
        <w:left w:val="none" w:sz="0" w:space="0" w:color="auto"/>
        <w:bottom w:val="none" w:sz="0" w:space="0" w:color="auto"/>
        <w:right w:val="none" w:sz="0" w:space="0" w:color="auto"/>
      </w:divBdr>
      <w:divsChild>
        <w:div w:id="504366884">
          <w:marLeft w:val="0"/>
          <w:marRight w:val="0"/>
          <w:marTop w:val="0"/>
          <w:marBottom w:val="0"/>
          <w:divBdr>
            <w:top w:val="none" w:sz="0" w:space="0" w:color="auto"/>
            <w:left w:val="none" w:sz="0" w:space="0" w:color="auto"/>
            <w:bottom w:val="none" w:sz="0" w:space="0" w:color="auto"/>
            <w:right w:val="none" w:sz="0" w:space="0" w:color="auto"/>
          </w:divBdr>
        </w:div>
      </w:divsChild>
    </w:div>
    <w:div w:id="1925727408">
      <w:bodyDiv w:val="1"/>
      <w:marLeft w:val="0"/>
      <w:marRight w:val="0"/>
      <w:marTop w:val="0"/>
      <w:marBottom w:val="0"/>
      <w:divBdr>
        <w:top w:val="none" w:sz="0" w:space="0" w:color="auto"/>
        <w:left w:val="none" w:sz="0" w:space="0" w:color="auto"/>
        <w:bottom w:val="none" w:sz="0" w:space="0" w:color="auto"/>
        <w:right w:val="none" w:sz="0" w:space="0" w:color="auto"/>
      </w:divBdr>
      <w:divsChild>
        <w:div w:id="1049106517">
          <w:marLeft w:val="0"/>
          <w:marRight w:val="0"/>
          <w:marTop w:val="0"/>
          <w:marBottom w:val="0"/>
          <w:divBdr>
            <w:top w:val="none" w:sz="0" w:space="0" w:color="auto"/>
            <w:left w:val="none" w:sz="0" w:space="0" w:color="auto"/>
            <w:bottom w:val="none" w:sz="0" w:space="0" w:color="auto"/>
            <w:right w:val="none" w:sz="0" w:space="0" w:color="auto"/>
          </w:divBdr>
        </w:div>
      </w:divsChild>
    </w:div>
    <w:div w:id="1935092477">
      <w:bodyDiv w:val="1"/>
      <w:marLeft w:val="0"/>
      <w:marRight w:val="0"/>
      <w:marTop w:val="0"/>
      <w:marBottom w:val="0"/>
      <w:divBdr>
        <w:top w:val="none" w:sz="0" w:space="0" w:color="auto"/>
        <w:left w:val="none" w:sz="0" w:space="0" w:color="auto"/>
        <w:bottom w:val="none" w:sz="0" w:space="0" w:color="auto"/>
        <w:right w:val="none" w:sz="0" w:space="0" w:color="auto"/>
      </w:divBdr>
      <w:divsChild>
        <w:div w:id="1368486546">
          <w:marLeft w:val="0"/>
          <w:marRight w:val="0"/>
          <w:marTop w:val="0"/>
          <w:marBottom w:val="0"/>
          <w:divBdr>
            <w:top w:val="none" w:sz="0" w:space="0" w:color="auto"/>
            <w:left w:val="none" w:sz="0" w:space="0" w:color="auto"/>
            <w:bottom w:val="none" w:sz="0" w:space="0" w:color="auto"/>
            <w:right w:val="none" w:sz="0" w:space="0" w:color="auto"/>
          </w:divBdr>
        </w:div>
        <w:div w:id="1853377964">
          <w:marLeft w:val="0"/>
          <w:marRight w:val="0"/>
          <w:marTop w:val="120"/>
          <w:marBottom w:val="0"/>
          <w:divBdr>
            <w:top w:val="none" w:sz="0" w:space="0" w:color="auto"/>
            <w:left w:val="none" w:sz="0" w:space="0" w:color="auto"/>
            <w:bottom w:val="none" w:sz="0" w:space="0" w:color="auto"/>
            <w:right w:val="none" w:sz="0" w:space="0" w:color="auto"/>
          </w:divBdr>
        </w:div>
      </w:divsChild>
    </w:div>
    <w:div w:id="1952593484">
      <w:bodyDiv w:val="1"/>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440491319">
              <w:marLeft w:val="0"/>
              <w:marRight w:val="0"/>
              <w:marTop w:val="0"/>
              <w:marBottom w:val="0"/>
              <w:divBdr>
                <w:top w:val="none" w:sz="0" w:space="0" w:color="auto"/>
                <w:left w:val="none" w:sz="0" w:space="0" w:color="auto"/>
                <w:bottom w:val="none" w:sz="0" w:space="0" w:color="auto"/>
                <w:right w:val="none" w:sz="0" w:space="0" w:color="auto"/>
              </w:divBdr>
            </w:div>
          </w:divsChild>
        </w:div>
        <w:div w:id="1115174735">
          <w:marLeft w:val="0"/>
          <w:marRight w:val="0"/>
          <w:marTop w:val="0"/>
          <w:marBottom w:val="0"/>
          <w:divBdr>
            <w:top w:val="none" w:sz="0" w:space="0" w:color="auto"/>
            <w:left w:val="none" w:sz="0" w:space="0" w:color="auto"/>
            <w:bottom w:val="none" w:sz="0" w:space="0" w:color="auto"/>
            <w:right w:val="none" w:sz="0" w:space="0" w:color="auto"/>
          </w:divBdr>
          <w:divsChild>
            <w:div w:id="1496606989">
              <w:marLeft w:val="0"/>
              <w:marRight w:val="0"/>
              <w:marTop w:val="0"/>
              <w:marBottom w:val="0"/>
              <w:divBdr>
                <w:top w:val="none" w:sz="0" w:space="0" w:color="auto"/>
                <w:left w:val="none" w:sz="0" w:space="0" w:color="auto"/>
                <w:bottom w:val="none" w:sz="0" w:space="0" w:color="auto"/>
                <w:right w:val="none" w:sz="0" w:space="0" w:color="auto"/>
              </w:divBdr>
              <w:divsChild>
                <w:div w:id="391540713">
                  <w:marLeft w:val="0"/>
                  <w:marRight w:val="0"/>
                  <w:marTop w:val="0"/>
                  <w:marBottom w:val="0"/>
                  <w:divBdr>
                    <w:top w:val="none" w:sz="0" w:space="0" w:color="auto"/>
                    <w:left w:val="none" w:sz="0" w:space="0" w:color="auto"/>
                    <w:bottom w:val="none" w:sz="0" w:space="0" w:color="auto"/>
                    <w:right w:val="none" w:sz="0" w:space="0" w:color="auto"/>
                  </w:divBdr>
                  <w:divsChild>
                    <w:div w:id="1482691635">
                      <w:marLeft w:val="0"/>
                      <w:marRight w:val="0"/>
                      <w:marTop w:val="120"/>
                      <w:marBottom w:val="0"/>
                      <w:divBdr>
                        <w:top w:val="none" w:sz="0" w:space="0" w:color="auto"/>
                        <w:left w:val="none" w:sz="0" w:space="0" w:color="auto"/>
                        <w:bottom w:val="none" w:sz="0" w:space="0" w:color="auto"/>
                        <w:right w:val="none" w:sz="0" w:space="0" w:color="auto"/>
                      </w:divBdr>
                    </w:div>
                    <w:div w:id="1900169558">
                      <w:marLeft w:val="0"/>
                      <w:marRight w:val="0"/>
                      <w:marTop w:val="0"/>
                      <w:marBottom w:val="0"/>
                      <w:divBdr>
                        <w:top w:val="none" w:sz="0" w:space="0" w:color="auto"/>
                        <w:left w:val="none" w:sz="0" w:space="0" w:color="auto"/>
                        <w:bottom w:val="none" w:sz="0" w:space="0" w:color="auto"/>
                        <w:right w:val="none" w:sz="0" w:space="0" w:color="auto"/>
                      </w:divBdr>
                    </w:div>
                  </w:divsChild>
                </w:div>
                <w:div w:id="1576669761">
                  <w:marLeft w:val="0"/>
                  <w:marRight w:val="0"/>
                  <w:marTop w:val="0"/>
                  <w:marBottom w:val="0"/>
                  <w:divBdr>
                    <w:top w:val="none" w:sz="0" w:space="0" w:color="auto"/>
                    <w:left w:val="none" w:sz="0" w:space="0" w:color="auto"/>
                    <w:bottom w:val="none" w:sz="0" w:space="0" w:color="auto"/>
                    <w:right w:val="none" w:sz="0" w:space="0" w:color="auto"/>
                  </w:divBdr>
                  <w:divsChild>
                    <w:div w:id="397167092">
                      <w:marLeft w:val="0"/>
                      <w:marRight w:val="0"/>
                      <w:marTop w:val="120"/>
                      <w:marBottom w:val="0"/>
                      <w:divBdr>
                        <w:top w:val="none" w:sz="0" w:space="0" w:color="auto"/>
                        <w:left w:val="none" w:sz="0" w:space="0" w:color="auto"/>
                        <w:bottom w:val="none" w:sz="0" w:space="0" w:color="auto"/>
                        <w:right w:val="none" w:sz="0" w:space="0" w:color="auto"/>
                      </w:divBdr>
                    </w:div>
                    <w:div w:id="6815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3334">
          <w:marLeft w:val="0"/>
          <w:marRight w:val="0"/>
          <w:marTop w:val="0"/>
          <w:marBottom w:val="0"/>
          <w:divBdr>
            <w:top w:val="none" w:sz="0" w:space="0" w:color="auto"/>
            <w:left w:val="none" w:sz="0" w:space="0" w:color="auto"/>
            <w:bottom w:val="none" w:sz="0" w:space="0" w:color="auto"/>
            <w:right w:val="none" w:sz="0" w:space="0" w:color="auto"/>
          </w:divBdr>
          <w:divsChild>
            <w:div w:id="2127045076">
              <w:marLeft w:val="0"/>
              <w:marRight w:val="0"/>
              <w:marTop w:val="0"/>
              <w:marBottom w:val="0"/>
              <w:divBdr>
                <w:top w:val="none" w:sz="0" w:space="0" w:color="auto"/>
                <w:left w:val="none" w:sz="0" w:space="0" w:color="auto"/>
                <w:bottom w:val="none" w:sz="0" w:space="0" w:color="auto"/>
                <w:right w:val="none" w:sz="0" w:space="0" w:color="auto"/>
              </w:divBdr>
            </w:div>
          </w:divsChild>
        </w:div>
        <w:div w:id="1503279602">
          <w:marLeft w:val="0"/>
          <w:marRight w:val="0"/>
          <w:marTop w:val="0"/>
          <w:marBottom w:val="0"/>
          <w:divBdr>
            <w:top w:val="none" w:sz="0" w:space="0" w:color="auto"/>
            <w:left w:val="none" w:sz="0" w:space="0" w:color="auto"/>
            <w:bottom w:val="none" w:sz="0" w:space="0" w:color="auto"/>
            <w:right w:val="none" w:sz="0" w:space="0" w:color="auto"/>
          </w:divBdr>
          <w:divsChild>
            <w:div w:id="833298957">
              <w:marLeft w:val="0"/>
              <w:marRight w:val="0"/>
              <w:marTop w:val="0"/>
              <w:marBottom w:val="0"/>
              <w:divBdr>
                <w:top w:val="none" w:sz="0" w:space="0" w:color="auto"/>
                <w:left w:val="none" w:sz="0" w:space="0" w:color="auto"/>
                <w:bottom w:val="none" w:sz="0" w:space="0" w:color="auto"/>
                <w:right w:val="none" w:sz="0" w:space="0" w:color="auto"/>
              </w:divBdr>
            </w:div>
          </w:divsChild>
        </w:div>
        <w:div w:id="1851135852">
          <w:marLeft w:val="0"/>
          <w:marRight w:val="0"/>
          <w:marTop w:val="0"/>
          <w:marBottom w:val="0"/>
          <w:divBdr>
            <w:top w:val="none" w:sz="0" w:space="0" w:color="auto"/>
            <w:left w:val="none" w:sz="0" w:space="0" w:color="auto"/>
            <w:bottom w:val="none" w:sz="0" w:space="0" w:color="auto"/>
            <w:right w:val="none" w:sz="0" w:space="0" w:color="auto"/>
          </w:divBdr>
          <w:divsChild>
            <w:div w:id="887835106">
              <w:marLeft w:val="0"/>
              <w:marRight w:val="0"/>
              <w:marTop w:val="0"/>
              <w:marBottom w:val="0"/>
              <w:divBdr>
                <w:top w:val="none" w:sz="0" w:space="0" w:color="auto"/>
                <w:left w:val="none" w:sz="0" w:space="0" w:color="auto"/>
                <w:bottom w:val="none" w:sz="0" w:space="0" w:color="auto"/>
                <w:right w:val="none" w:sz="0" w:space="0" w:color="auto"/>
              </w:divBdr>
              <w:divsChild>
                <w:div w:id="728268347">
                  <w:marLeft w:val="0"/>
                  <w:marRight w:val="0"/>
                  <w:marTop w:val="0"/>
                  <w:marBottom w:val="0"/>
                  <w:divBdr>
                    <w:top w:val="none" w:sz="0" w:space="0" w:color="auto"/>
                    <w:left w:val="none" w:sz="0" w:space="0" w:color="auto"/>
                    <w:bottom w:val="none" w:sz="0" w:space="0" w:color="auto"/>
                    <w:right w:val="none" w:sz="0" w:space="0" w:color="auto"/>
                  </w:divBdr>
                  <w:divsChild>
                    <w:div w:id="1768428719">
                      <w:marLeft w:val="0"/>
                      <w:marRight w:val="0"/>
                      <w:marTop w:val="120"/>
                      <w:marBottom w:val="0"/>
                      <w:divBdr>
                        <w:top w:val="none" w:sz="0" w:space="0" w:color="auto"/>
                        <w:left w:val="none" w:sz="0" w:space="0" w:color="auto"/>
                        <w:bottom w:val="none" w:sz="0" w:space="0" w:color="auto"/>
                        <w:right w:val="none" w:sz="0" w:space="0" w:color="auto"/>
                      </w:divBdr>
                    </w:div>
                    <w:div w:id="2042703633">
                      <w:marLeft w:val="0"/>
                      <w:marRight w:val="0"/>
                      <w:marTop w:val="0"/>
                      <w:marBottom w:val="0"/>
                      <w:divBdr>
                        <w:top w:val="none" w:sz="0" w:space="0" w:color="auto"/>
                        <w:left w:val="none" w:sz="0" w:space="0" w:color="auto"/>
                        <w:bottom w:val="none" w:sz="0" w:space="0" w:color="auto"/>
                        <w:right w:val="none" w:sz="0" w:space="0" w:color="auto"/>
                      </w:divBdr>
                    </w:div>
                  </w:divsChild>
                </w:div>
                <w:div w:id="972901524">
                  <w:marLeft w:val="0"/>
                  <w:marRight w:val="0"/>
                  <w:marTop w:val="0"/>
                  <w:marBottom w:val="0"/>
                  <w:divBdr>
                    <w:top w:val="none" w:sz="0" w:space="0" w:color="auto"/>
                    <w:left w:val="none" w:sz="0" w:space="0" w:color="auto"/>
                    <w:bottom w:val="none" w:sz="0" w:space="0" w:color="auto"/>
                    <w:right w:val="none" w:sz="0" w:space="0" w:color="auto"/>
                  </w:divBdr>
                  <w:divsChild>
                    <w:div w:id="360516393">
                      <w:marLeft w:val="0"/>
                      <w:marRight w:val="0"/>
                      <w:marTop w:val="120"/>
                      <w:marBottom w:val="0"/>
                      <w:divBdr>
                        <w:top w:val="none" w:sz="0" w:space="0" w:color="auto"/>
                        <w:left w:val="none" w:sz="0" w:space="0" w:color="auto"/>
                        <w:bottom w:val="none" w:sz="0" w:space="0" w:color="auto"/>
                        <w:right w:val="none" w:sz="0" w:space="0" w:color="auto"/>
                      </w:divBdr>
                    </w:div>
                    <w:div w:id="951859742">
                      <w:marLeft w:val="0"/>
                      <w:marRight w:val="0"/>
                      <w:marTop w:val="0"/>
                      <w:marBottom w:val="0"/>
                      <w:divBdr>
                        <w:top w:val="none" w:sz="0" w:space="0" w:color="auto"/>
                        <w:left w:val="none" w:sz="0" w:space="0" w:color="auto"/>
                        <w:bottom w:val="none" w:sz="0" w:space="0" w:color="auto"/>
                        <w:right w:val="none" w:sz="0" w:space="0" w:color="auto"/>
                      </w:divBdr>
                    </w:div>
                  </w:divsChild>
                </w:div>
                <w:div w:id="993722928">
                  <w:marLeft w:val="0"/>
                  <w:marRight w:val="0"/>
                  <w:marTop w:val="0"/>
                  <w:marBottom w:val="0"/>
                  <w:divBdr>
                    <w:top w:val="none" w:sz="0" w:space="0" w:color="auto"/>
                    <w:left w:val="none" w:sz="0" w:space="0" w:color="auto"/>
                    <w:bottom w:val="none" w:sz="0" w:space="0" w:color="auto"/>
                    <w:right w:val="none" w:sz="0" w:space="0" w:color="auto"/>
                  </w:divBdr>
                  <w:divsChild>
                    <w:div w:id="1539971495">
                      <w:marLeft w:val="0"/>
                      <w:marRight w:val="0"/>
                      <w:marTop w:val="0"/>
                      <w:marBottom w:val="0"/>
                      <w:divBdr>
                        <w:top w:val="none" w:sz="0" w:space="0" w:color="auto"/>
                        <w:left w:val="none" w:sz="0" w:space="0" w:color="auto"/>
                        <w:bottom w:val="none" w:sz="0" w:space="0" w:color="auto"/>
                        <w:right w:val="none" w:sz="0" w:space="0" w:color="auto"/>
                      </w:divBdr>
                    </w:div>
                    <w:div w:id="1764454080">
                      <w:marLeft w:val="0"/>
                      <w:marRight w:val="0"/>
                      <w:marTop w:val="120"/>
                      <w:marBottom w:val="0"/>
                      <w:divBdr>
                        <w:top w:val="none" w:sz="0" w:space="0" w:color="auto"/>
                        <w:left w:val="none" w:sz="0" w:space="0" w:color="auto"/>
                        <w:bottom w:val="none" w:sz="0" w:space="0" w:color="auto"/>
                        <w:right w:val="none" w:sz="0" w:space="0" w:color="auto"/>
                      </w:divBdr>
                    </w:div>
                  </w:divsChild>
                </w:div>
                <w:div w:id="1200700495">
                  <w:marLeft w:val="0"/>
                  <w:marRight w:val="0"/>
                  <w:marTop w:val="0"/>
                  <w:marBottom w:val="0"/>
                  <w:divBdr>
                    <w:top w:val="none" w:sz="0" w:space="0" w:color="auto"/>
                    <w:left w:val="none" w:sz="0" w:space="0" w:color="auto"/>
                    <w:bottom w:val="none" w:sz="0" w:space="0" w:color="auto"/>
                    <w:right w:val="none" w:sz="0" w:space="0" w:color="auto"/>
                  </w:divBdr>
                  <w:divsChild>
                    <w:div w:id="550843497">
                      <w:marLeft w:val="0"/>
                      <w:marRight w:val="0"/>
                      <w:marTop w:val="0"/>
                      <w:marBottom w:val="0"/>
                      <w:divBdr>
                        <w:top w:val="none" w:sz="0" w:space="0" w:color="auto"/>
                        <w:left w:val="none" w:sz="0" w:space="0" w:color="auto"/>
                        <w:bottom w:val="none" w:sz="0" w:space="0" w:color="auto"/>
                        <w:right w:val="none" w:sz="0" w:space="0" w:color="auto"/>
                      </w:divBdr>
                    </w:div>
                    <w:div w:id="1641882247">
                      <w:marLeft w:val="0"/>
                      <w:marRight w:val="0"/>
                      <w:marTop w:val="120"/>
                      <w:marBottom w:val="0"/>
                      <w:divBdr>
                        <w:top w:val="none" w:sz="0" w:space="0" w:color="auto"/>
                        <w:left w:val="none" w:sz="0" w:space="0" w:color="auto"/>
                        <w:bottom w:val="none" w:sz="0" w:space="0" w:color="auto"/>
                        <w:right w:val="none" w:sz="0" w:space="0" w:color="auto"/>
                      </w:divBdr>
                    </w:div>
                  </w:divsChild>
                </w:div>
                <w:div w:id="1210415860">
                  <w:marLeft w:val="0"/>
                  <w:marRight w:val="0"/>
                  <w:marTop w:val="0"/>
                  <w:marBottom w:val="0"/>
                  <w:divBdr>
                    <w:top w:val="none" w:sz="0" w:space="0" w:color="auto"/>
                    <w:left w:val="none" w:sz="0" w:space="0" w:color="auto"/>
                    <w:bottom w:val="none" w:sz="0" w:space="0" w:color="auto"/>
                    <w:right w:val="none" w:sz="0" w:space="0" w:color="auto"/>
                  </w:divBdr>
                  <w:divsChild>
                    <w:div w:id="382490669">
                      <w:marLeft w:val="0"/>
                      <w:marRight w:val="0"/>
                      <w:marTop w:val="0"/>
                      <w:marBottom w:val="0"/>
                      <w:divBdr>
                        <w:top w:val="none" w:sz="0" w:space="0" w:color="auto"/>
                        <w:left w:val="none" w:sz="0" w:space="0" w:color="auto"/>
                        <w:bottom w:val="none" w:sz="0" w:space="0" w:color="auto"/>
                        <w:right w:val="none" w:sz="0" w:space="0" w:color="auto"/>
                      </w:divBdr>
                    </w:div>
                    <w:div w:id="12382426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480129">
      <w:bodyDiv w:val="1"/>
      <w:marLeft w:val="0"/>
      <w:marRight w:val="0"/>
      <w:marTop w:val="0"/>
      <w:marBottom w:val="0"/>
      <w:divBdr>
        <w:top w:val="none" w:sz="0" w:space="0" w:color="auto"/>
        <w:left w:val="none" w:sz="0" w:space="0" w:color="auto"/>
        <w:bottom w:val="none" w:sz="0" w:space="0" w:color="auto"/>
        <w:right w:val="none" w:sz="0" w:space="0" w:color="auto"/>
      </w:divBdr>
      <w:divsChild>
        <w:div w:id="952321096">
          <w:marLeft w:val="0"/>
          <w:marRight w:val="0"/>
          <w:marTop w:val="0"/>
          <w:marBottom w:val="0"/>
          <w:divBdr>
            <w:top w:val="none" w:sz="0" w:space="0" w:color="auto"/>
            <w:left w:val="none" w:sz="0" w:space="0" w:color="auto"/>
            <w:bottom w:val="none" w:sz="0" w:space="0" w:color="auto"/>
            <w:right w:val="none" w:sz="0" w:space="0" w:color="auto"/>
          </w:divBdr>
          <w:divsChild>
            <w:div w:id="985209242">
              <w:marLeft w:val="0"/>
              <w:marRight w:val="0"/>
              <w:marTop w:val="0"/>
              <w:marBottom w:val="0"/>
              <w:divBdr>
                <w:top w:val="none" w:sz="0" w:space="0" w:color="auto"/>
                <w:left w:val="none" w:sz="0" w:space="0" w:color="auto"/>
                <w:bottom w:val="none" w:sz="0" w:space="0" w:color="auto"/>
                <w:right w:val="none" w:sz="0" w:space="0" w:color="auto"/>
              </w:divBdr>
            </w:div>
          </w:divsChild>
        </w:div>
        <w:div w:id="1304850421">
          <w:marLeft w:val="0"/>
          <w:marRight w:val="0"/>
          <w:marTop w:val="0"/>
          <w:marBottom w:val="0"/>
          <w:divBdr>
            <w:top w:val="none" w:sz="0" w:space="0" w:color="auto"/>
            <w:left w:val="none" w:sz="0" w:space="0" w:color="auto"/>
            <w:bottom w:val="none" w:sz="0" w:space="0" w:color="auto"/>
            <w:right w:val="none" w:sz="0" w:space="0" w:color="auto"/>
          </w:divBdr>
          <w:divsChild>
            <w:div w:id="1220089272">
              <w:marLeft w:val="0"/>
              <w:marRight w:val="0"/>
              <w:marTop w:val="0"/>
              <w:marBottom w:val="0"/>
              <w:divBdr>
                <w:top w:val="none" w:sz="0" w:space="0" w:color="auto"/>
                <w:left w:val="none" w:sz="0" w:space="0" w:color="auto"/>
                <w:bottom w:val="none" w:sz="0" w:space="0" w:color="auto"/>
                <w:right w:val="none" w:sz="0" w:space="0" w:color="auto"/>
              </w:divBdr>
            </w:div>
          </w:divsChild>
        </w:div>
        <w:div w:id="1941722952">
          <w:marLeft w:val="0"/>
          <w:marRight w:val="0"/>
          <w:marTop w:val="0"/>
          <w:marBottom w:val="0"/>
          <w:divBdr>
            <w:top w:val="none" w:sz="0" w:space="0" w:color="auto"/>
            <w:left w:val="none" w:sz="0" w:space="0" w:color="auto"/>
            <w:bottom w:val="none" w:sz="0" w:space="0" w:color="auto"/>
            <w:right w:val="none" w:sz="0" w:space="0" w:color="auto"/>
          </w:divBdr>
          <w:divsChild>
            <w:div w:id="4891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1432">
      <w:bodyDiv w:val="1"/>
      <w:marLeft w:val="0"/>
      <w:marRight w:val="0"/>
      <w:marTop w:val="0"/>
      <w:marBottom w:val="0"/>
      <w:divBdr>
        <w:top w:val="none" w:sz="0" w:space="0" w:color="auto"/>
        <w:left w:val="none" w:sz="0" w:space="0" w:color="auto"/>
        <w:bottom w:val="none" w:sz="0" w:space="0" w:color="auto"/>
        <w:right w:val="none" w:sz="0" w:space="0" w:color="auto"/>
      </w:divBdr>
      <w:divsChild>
        <w:div w:id="1454521464">
          <w:marLeft w:val="0"/>
          <w:marRight w:val="0"/>
          <w:marTop w:val="0"/>
          <w:marBottom w:val="0"/>
          <w:divBdr>
            <w:top w:val="none" w:sz="0" w:space="0" w:color="auto"/>
            <w:left w:val="none" w:sz="0" w:space="0" w:color="auto"/>
            <w:bottom w:val="none" w:sz="0" w:space="0" w:color="auto"/>
            <w:right w:val="none" w:sz="0" w:space="0" w:color="auto"/>
          </w:divBdr>
          <w:divsChild>
            <w:div w:id="1754278076">
              <w:marLeft w:val="0"/>
              <w:marRight w:val="0"/>
              <w:marTop w:val="0"/>
              <w:marBottom w:val="0"/>
              <w:divBdr>
                <w:top w:val="none" w:sz="0" w:space="0" w:color="auto"/>
                <w:left w:val="none" w:sz="0" w:space="0" w:color="auto"/>
                <w:bottom w:val="none" w:sz="0" w:space="0" w:color="auto"/>
                <w:right w:val="none" w:sz="0" w:space="0" w:color="auto"/>
              </w:divBdr>
            </w:div>
          </w:divsChild>
        </w:div>
        <w:div w:id="1880504991">
          <w:marLeft w:val="0"/>
          <w:marRight w:val="0"/>
          <w:marTop w:val="0"/>
          <w:marBottom w:val="0"/>
          <w:divBdr>
            <w:top w:val="none" w:sz="0" w:space="0" w:color="auto"/>
            <w:left w:val="none" w:sz="0" w:space="0" w:color="auto"/>
            <w:bottom w:val="none" w:sz="0" w:space="0" w:color="auto"/>
            <w:right w:val="none" w:sz="0" w:space="0" w:color="auto"/>
          </w:divBdr>
          <w:divsChild>
            <w:div w:id="17689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4197">
      <w:bodyDiv w:val="1"/>
      <w:marLeft w:val="0"/>
      <w:marRight w:val="0"/>
      <w:marTop w:val="0"/>
      <w:marBottom w:val="0"/>
      <w:divBdr>
        <w:top w:val="none" w:sz="0" w:space="0" w:color="auto"/>
        <w:left w:val="none" w:sz="0" w:space="0" w:color="auto"/>
        <w:bottom w:val="none" w:sz="0" w:space="0" w:color="auto"/>
        <w:right w:val="none" w:sz="0" w:space="0" w:color="auto"/>
      </w:divBdr>
      <w:divsChild>
        <w:div w:id="1568803814">
          <w:marLeft w:val="0"/>
          <w:marRight w:val="0"/>
          <w:marTop w:val="0"/>
          <w:marBottom w:val="0"/>
          <w:divBdr>
            <w:top w:val="none" w:sz="0" w:space="0" w:color="auto"/>
            <w:left w:val="none" w:sz="0" w:space="0" w:color="auto"/>
            <w:bottom w:val="none" w:sz="0" w:space="0" w:color="auto"/>
            <w:right w:val="none" w:sz="0" w:space="0" w:color="auto"/>
          </w:divBdr>
        </w:div>
      </w:divsChild>
    </w:div>
    <w:div w:id="2050259409">
      <w:bodyDiv w:val="1"/>
      <w:marLeft w:val="0"/>
      <w:marRight w:val="0"/>
      <w:marTop w:val="0"/>
      <w:marBottom w:val="0"/>
      <w:divBdr>
        <w:top w:val="none" w:sz="0" w:space="0" w:color="auto"/>
        <w:left w:val="none" w:sz="0" w:space="0" w:color="auto"/>
        <w:bottom w:val="none" w:sz="0" w:space="0" w:color="auto"/>
        <w:right w:val="none" w:sz="0" w:space="0" w:color="auto"/>
      </w:divBdr>
      <w:divsChild>
        <w:div w:id="749430200">
          <w:marLeft w:val="0"/>
          <w:marRight w:val="0"/>
          <w:marTop w:val="0"/>
          <w:marBottom w:val="0"/>
          <w:divBdr>
            <w:top w:val="none" w:sz="0" w:space="0" w:color="auto"/>
            <w:left w:val="none" w:sz="0" w:space="0" w:color="auto"/>
            <w:bottom w:val="none" w:sz="0" w:space="0" w:color="auto"/>
            <w:right w:val="none" w:sz="0" w:space="0" w:color="auto"/>
          </w:divBdr>
          <w:divsChild>
            <w:div w:id="268508838">
              <w:marLeft w:val="0"/>
              <w:marRight w:val="0"/>
              <w:marTop w:val="120"/>
              <w:marBottom w:val="0"/>
              <w:divBdr>
                <w:top w:val="none" w:sz="0" w:space="0" w:color="auto"/>
                <w:left w:val="none" w:sz="0" w:space="0" w:color="auto"/>
                <w:bottom w:val="none" w:sz="0" w:space="0" w:color="auto"/>
                <w:right w:val="none" w:sz="0" w:space="0" w:color="auto"/>
              </w:divBdr>
            </w:div>
            <w:div w:id="1339382321">
              <w:marLeft w:val="0"/>
              <w:marRight w:val="0"/>
              <w:marTop w:val="0"/>
              <w:marBottom w:val="0"/>
              <w:divBdr>
                <w:top w:val="none" w:sz="0" w:space="0" w:color="auto"/>
                <w:left w:val="none" w:sz="0" w:space="0" w:color="auto"/>
                <w:bottom w:val="none" w:sz="0" w:space="0" w:color="auto"/>
                <w:right w:val="none" w:sz="0" w:space="0" w:color="auto"/>
              </w:divBdr>
            </w:div>
          </w:divsChild>
        </w:div>
        <w:div w:id="1410611117">
          <w:marLeft w:val="0"/>
          <w:marRight w:val="0"/>
          <w:marTop w:val="0"/>
          <w:marBottom w:val="0"/>
          <w:divBdr>
            <w:top w:val="none" w:sz="0" w:space="0" w:color="auto"/>
            <w:left w:val="none" w:sz="0" w:space="0" w:color="auto"/>
            <w:bottom w:val="none" w:sz="0" w:space="0" w:color="auto"/>
            <w:right w:val="none" w:sz="0" w:space="0" w:color="auto"/>
          </w:divBdr>
          <w:divsChild>
            <w:div w:id="544760267">
              <w:marLeft w:val="0"/>
              <w:marRight w:val="0"/>
              <w:marTop w:val="0"/>
              <w:marBottom w:val="0"/>
              <w:divBdr>
                <w:top w:val="none" w:sz="0" w:space="0" w:color="auto"/>
                <w:left w:val="none" w:sz="0" w:space="0" w:color="auto"/>
                <w:bottom w:val="none" w:sz="0" w:space="0" w:color="auto"/>
                <w:right w:val="none" w:sz="0" w:space="0" w:color="auto"/>
              </w:divBdr>
            </w:div>
            <w:div w:id="1464620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270138">
      <w:bodyDiv w:val="1"/>
      <w:marLeft w:val="0"/>
      <w:marRight w:val="0"/>
      <w:marTop w:val="0"/>
      <w:marBottom w:val="0"/>
      <w:divBdr>
        <w:top w:val="none" w:sz="0" w:space="0" w:color="auto"/>
        <w:left w:val="none" w:sz="0" w:space="0" w:color="auto"/>
        <w:bottom w:val="none" w:sz="0" w:space="0" w:color="auto"/>
        <w:right w:val="none" w:sz="0" w:space="0" w:color="auto"/>
      </w:divBdr>
      <w:divsChild>
        <w:div w:id="649597626">
          <w:marLeft w:val="0"/>
          <w:marRight w:val="0"/>
          <w:marTop w:val="0"/>
          <w:marBottom w:val="0"/>
          <w:divBdr>
            <w:top w:val="none" w:sz="0" w:space="0" w:color="auto"/>
            <w:left w:val="none" w:sz="0" w:space="0" w:color="auto"/>
            <w:bottom w:val="none" w:sz="0" w:space="0" w:color="auto"/>
            <w:right w:val="none" w:sz="0" w:space="0" w:color="auto"/>
          </w:divBdr>
        </w:div>
        <w:div w:id="1835685948">
          <w:marLeft w:val="0"/>
          <w:marRight w:val="0"/>
          <w:marTop w:val="120"/>
          <w:marBottom w:val="0"/>
          <w:divBdr>
            <w:top w:val="none" w:sz="0" w:space="0" w:color="auto"/>
            <w:left w:val="none" w:sz="0" w:space="0" w:color="auto"/>
            <w:bottom w:val="none" w:sz="0" w:space="0" w:color="auto"/>
            <w:right w:val="none" w:sz="0" w:space="0" w:color="auto"/>
          </w:divBdr>
        </w:div>
      </w:divsChild>
    </w:div>
    <w:div w:id="2069109922">
      <w:bodyDiv w:val="1"/>
      <w:marLeft w:val="0"/>
      <w:marRight w:val="0"/>
      <w:marTop w:val="0"/>
      <w:marBottom w:val="0"/>
      <w:divBdr>
        <w:top w:val="none" w:sz="0" w:space="0" w:color="auto"/>
        <w:left w:val="none" w:sz="0" w:space="0" w:color="auto"/>
        <w:bottom w:val="none" w:sz="0" w:space="0" w:color="auto"/>
        <w:right w:val="none" w:sz="0" w:space="0" w:color="auto"/>
      </w:divBdr>
    </w:div>
    <w:div w:id="2078627551">
      <w:bodyDiv w:val="1"/>
      <w:marLeft w:val="0"/>
      <w:marRight w:val="0"/>
      <w:marTop w:val="0"/>
      <w:marBottom w:val="0"/>
      <w:divBdr>
        <w:top w:val="none" w:sz="0" w:space="0" w:color="auto"/>
        <w:left w:val="none" w:sz="0" w:space="0" w:color="auto"/>
        <w:bottom w:val="none" w:sz="0" w:space="0" w:color="auto"/>
        <w:right w:val="none" w:sz="0" w:space="0" w:color="auto"/>
      </w:divBdr>
      <w:divsChild>
        <w:div w:id="1226994759">
          <w:marLeft w:val="0"/>
          <w:marRight w:val="0"/>
          <w:marTop w:val="0"/>
          <w:marBottom w:val="0"/>
          <w:divBdr>
            <w:top w:val="none" w:sz="0" w:space="0" w:color="auto"/>
            <w:left w:val="none" w:sz="0" w:space="0" w:color="auto"/>
            <w:bottom w:val="none" w:sz="0" w:space="0" w:color="auto"/>
            <w:right w:val="none" w:sz="0" w:space="0" w:color="auto"/>
          </w:divBdr>
          <w:divsChild>
            <w:div w:id="592131095">
              <w:marLeft w:val="0"/>
              <w:marRight w:val="0"/>
              <w:marTop w:val="0"/>
              <w:marBottom w:val="0"/>
              <w:divBdr>
                <w:top w:val="none" w:sz="0" w:space="0" w:color="auto"/>
                <w:left w:val="none" w:sz="0" w:space="0" w:color="auto"/>
                <w:bottom w:val="none" w:sz="0" w:space="0" w:color="auto"/>
                <w:right w:val="none" w:sz="0" w:space="0" w:color="auto"/>
              </w:divBdr>
              <w:divsChild>
                <w:div w:id="134688468">
                  <w:marLeft w:val="0"/>
                  <w:marRight w:val="0"/>
                  <w:marTop w:val="0"/>
                  <w:marBottom w:val="0"/>
                  <w:divBdr>
                    <w:top w:val="none" w:sz="0" w:space="0" w:color="auto"/>
                    <w:left w:val="none" w:sz="0" w:space="0" w:color="auto"/>
                    <w:bottom w:val="none" w:sz="0" w:space="0" w:color="auto"/>
                    <w:right w:val="none" w:sz="0" w:space="0" w:color="auto"/>
                  </w:divBdr>
                </w:div>
                <w:div w:id="797994082">
                  <w:marLeft w:val="0"/>
                  <w:marRight w:val="0"/>
                  <w:marTop w:val="120"/>
                  <w:marBottom w:val="0"/>
                  <w:divBdr>
                    <w:top w:val="none" w:sz="0" w:space="0" w:color="auto"/>
                    <w:left w:val="none" w:sz="0" w:space="0" w:color="auto"/>
                    <w:bottom w:val="none" w:sz="0" w:space="0" w:color="auto"/>
                    <w:right w:val="none" w:sz="0" w:space="0" w:color="auto"/>
                  </w:divBdr>
                </w:div>
              </w:divsChild>
            </w:div>
            <w:div w:id="1150439488">
              <w:marLeft w:val="0"/>
              <w:marRight w:val="0"/>
              <w:marTop w:val="0"/>
              <w:marBottom w:val="0"/>
              <w:divBdr>
                <w:top w:val="none" w:sz="0" w:space="0" w:color="auto"/>
                <w:left w:val="none" w:sz="0" w:space="0" w:color="auto"/>
                <w:bottom w:val="none" w:sz="0" w:space="0" w:color="auto"/>
                <w:right w:val="none" w:sz="0" w:space="0" w:color="auto"/>
              </w:divBdr>
              <w:divsChild>
                <w:div w:id="889146522">
                  <w:marLeft w:val="0"/>
                  <w:marRight w:val="0"/>
                  <w:marTop w:val="0"/>
                  <w:marBottom w:val="0"/>
                  <w:divBdr>
                    <w:top w:val="none" w:sz="0" w:space="0" w:color="auto"/>
                    <w:left w:val="none" w:sz="0" w:space="0" w:color="auto"/>
                    <w:bottom w:val="none" w:sz="0" w:space="0" w:color="auto"/>
                    <w:right w:val="none" w:sz="0" w:space="0" w:color="auto"/>
                  </w:divBdr>
                </w:div>
                <w:div w:id="21357539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0929757">
      <w:bodyDiv w:val="1"/>
      <w:marLeft w:val="0"/>
      <w:marRight w:val="0"/>
      <w:marTop w:val="0"/>
      <w:marBottom w:val="0"/>
      <w:divBdr>
        <w:top w:val="none" w:sz="0" w:space="0" w:color="auto"/>
        <w:left w:val="none" w:sz="0" w:space="0" w:color="auto"/>
        <w:bottom w:val="none" w:sz="0" w:space="0" w:color="auto"/>
        <w:right w:val="none" w:sz="0" w:space="0" w:color="auto"/>
      </w:divBdr>
      <w:divsChild>
        <w:div w:id="984238697">
          <w:marLeft w:val="0"/>
          <w:marRight w:val="0"/>
          <w:marTop w:val="0"/>
          <w:marBottom w:val="0"/>
          <w:divBdr>
            <w:top w:val="none" w:sz="0" w:space="0" w:color="auto"/>
            <w:left w:val="none" w:sz="0" w:space="0" w:color="auto"/>
            <w:bottom w:val="none" w:sz="0" w:space="0" w:color="auto"/>
            <w:right w:val="none" w:sz="0" w:space="0" w:color="auto"/>
          </w:divBdr>
          <w:divsChild>
            <w:div w:id="710039506">
              <w:marLeft w:val="0"/>
              <w:marRight w:val="0"/>
              <w:marTop w:val="0"/>
              <w:marBottom w:val="0"/>
              <w:divBdr>
                <w:top w:val="none" w:sz="0" w:space="0" w:color="auto"/>
                <w:left w:val="none" w:sz="0" w:space="0" w:color="auto"/>
                <w:bottom w:val="none" w:sz="0" w:space="0" w:color="auto"/>
                <w:right w:val="none" w:sz="0" w:space="0" w:color="auto"/>
              </w:divBdr>
            </w:div>
            <w:div w:id="1464156476">
              <w:marLeft w:val="0"/>
              <w:marRight w:val="0"/>
              <w:marTop w:val="120"/>
              <w:marBottom w:val="0"/>
              <w:divBdr>
                <w:top w:val="none" w:sz="0" w:space="0" w:color="auto"/>
                <w:left w:val="none" w:sz="0" w:space="0" w:color="auto"/>
                <w:bottom w:val="none" w:sz="0" w:space="0" w:color="auto"/>
                <w:right w:val="none" w:sz="0" w:space="0" w:color="auto"/>
              </w:divBdr>
            </w:div>
          </w:divsChild>
        </w:div>
        <w:div w:id="2021541572">
          <w:marLeft w:val="0"/>
          <w:marRight w:val="0"/>
          <w:marTop w:val="0"/>
          <w:marBottom w:val="0"/>
          <w:divBdr>
            <w:top w:val="none" w:sz="0" w:space="0" w:color="auto"/>
            <w:left w:val="none" w:sz="0" w:space="0" w:color="auto"/>
            <w:bottom w:val="none" w:sz="0" w:space="0" w:color="auto"/>
            <w:right w:val="none" w:sz="0" w:space="0" w:color="auto"/>
          </w:divBdr>
          <w:divsChild>
            <w:div w:id="796029361">
              <w:marLeft w:val="0"/>
              <w:marRight w:val="0"/>
              <w:marTop w:val="120"/>
              <w:marBottom w:val="0"/>
              <w:divBdr>
                <w:top w:val="none" w:sz="0" w:space="0" w:color="auto"/>
                <w:left w:val="none" w:sz="0" w:space="0" w:color="auto"/>
                <w:bottom w:val="none" w:sz="0" w:space="0" w:color="auto"/>
                <w:right w:val="none" w:sz="0" w:space="0" w:color="auto"/>
              </w:divBdr>
            </w:div>
            <w:div w:id="11749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921">
      <w:bodyDiv w:val="1"/>
      <w:marLeft w:val="0"/>
      <w:marRight w:val="0"/>
      <w:marTop w:val="0"/>
      <w:marBottom w:val="0"/>
      <w:divBdr>
        <w:top w:val="none" w:sz="0" w:space="0" w:color="auto"/>
        <w:left w:val="none" w:sz="0" w:space="0" w:color="auto"/>
        <w:bottom w:val="none" w:sz="0" w:space="0" w:color="auto"/>
        <w:right w:val="none" w:sz="0" w:space="0" w:color="auto"/>
      </w:divBdr>
      <w:divsChild>
        <w:div w:id="1241910723">
          <w:marLeft w:val="0"/>
          <w:marRight w:val="0"/>
          <w:marTop w:val="0"/>
          <w:marBottom w:val="0"/>
          <w:divBdr>
            <w:top w:val="none" w:sz="0" w:space="0" w:color="auto"/>
            <w:left w:val="none" w:sz="0" w:space="0" w:color="auto"/>
            <w:bottom w:val="none" w:sz="0" w:space="0" w:color="auto"/>
            <w:right w:val="none" w:sz="0" w:space="0" w:color="auto"/>
          </w:divBdr>
        </w:div>
      </w:divsChild>
    </w:div>
    <w:div w:id="2095783582">
      <w:bodyDiv w:val="1"/>
      <w:marLeft w:val="0"/>
      <w:marRight w:val="0"/>
      <w:marTop w:val="0"/>
      <w:marBottom w:val="0"/>
      <w:divBdr>
        <w:top w:val="none" w:sz="0" w:space="0" w:color="auto"/>
        <w:left w:val="none" w:sz="0" w:space="0" w:color="auto"/>
        <w:bottom w:val="none" w:sz="0" w:space="0" w:color="auto"/>
        <w:right w:val="none" w:sz="0" w:space="0" w:color="auto"/>
      </w:divBdr>
      <w:divsChild>
        <w:div w:id="13852545">
          <w:marLeft w:val="0"/>
          <w:marRight w:val="0"/>
          <w:marTop w:val="0"/>
          <w:marBottom w:val="0"/>
          <w:divBdr>
            <w:top w:val="none" w:sz="0" w:space="0" w:color="auto"/>
            <w:left w:val="none" w:sz="0" w:space="0" w:color="auto"/>
            <w:bottom w:val="none" w:sz="0" w:space="0" w:color="auto"/>
            <w:right w:val="none" w:sz="0" w:space="0" w:color="auto"/>
          </w:divBdr>
        </w:div>
        <w:div w:id="330956886">
          <w:marLeft w:val="0"/>
          <w:marRight w:val="0"/>
          <w:marTop w:val="0"/>
          <w:marBottom w:val="0"/>
          <w:divBdr>
            <w:top w:val="none" w:sz="0" w:space="0" w:color="auto"/>
            <w:left w:val="none" w:sz="0" w:space="0" w:color="auto"/>
            <w:bottom w:val="none" w:sz="0" w:space="0" w:color="auto"/>
            <w:right w:val="none" w:sz="0" w:space="0" w:color="auto"/>
          </w:divBdr>
          <w:divsChild>
            <w:div w:id="230652190">
              <w:marLeft w:val="0"/>
              <w:marRight w:val="0"/>
              <w:marTop w:val="0"/>
              <w:marBottom w:val="0"/>
              <w:divBdr>
                <w:top w:val="none" w:sz="0" w:space="0" w:color="auto"/>
                <w:left w:val="none" w:sz="0" w:space="0" w:color="auto"/>
                <w:bottom w:val="none" w:sz="0" w:space="0" w:color="auto"/>
                <w:right w:val="none" w:sz="0" w:space="0" w:color="auto"/>
              </w:divBdr>
            </w:div>
            <w:div w:id="287853517">
              <w:marLeft w:val="0"/>
              <w:marRight w:val="0"/>
              <w:marTop w:val="120"/>
              <w:marBottom w:val="0"/>
              <w:divBdr>
                <w:top w:val="none" w:sz="0" w:space="0" w:color="auto"/>
                <w:left w:val="none" w:sz="0" w:space="0" w:color="auto"/>
                <w:bottom w:val="none" w:sz="0" w:space="0" w:color="auto"/>
                <w:right w:val="none" w:sz="0" w:space="0" w:color="auto"/>
              </w:divBdr>
            </w:div>
          </w:divsChild>
        </w:div>
        <w:div w:id="1014267628">
          <w:marLeft w:val="0"/>
          <w:marRight w:val="0"/>
          <w:marTop w:val="0"/>
          <w:marBottom w:val="0"/>
          <w:divBdr>
            <w:top w:val="none" w:sz="0" w:space="0" w:color="auto"/>
            <w:left w:val="none" w:sz="0" w:space="0" w:color="auto"/>
            <w:bottom w:val="none" w:sz="0" w:space="0" w:color="auto"/>
            <w:right w:val="none" w:sz="0" w:space="0" w:color="auto"/>
          </w:divBdr>
          <w:divsChild>
            <w:div w:id="62487193">
              <w:marLeft w:val="0"/>
              <w:marRight w:val="0"/>
              <w:marTop w:val="120"/>
              <w:marBottom w:val="0"/>
              <w:divBdr>
                <w:top w:val="none" w:sz="0" w:space="0" w:color="auto"/>
                <w:left w:val="none" w:sz="0" w:space="0" w:color="auto"/>
                <w:bottom w:val="none" w:sz="0" w:space="0" w:color="auto"/>
                <w:right w:val="none" w:sz="0" w:space="0" w:color="auto"/>
              </w:divBdr>
            </w:div>
            <w:div w:id="1928921593">
              <w:marLeft w:val="0"/>
              <w:marRight w:val="0"/>
              <w:marTop w:val="0"/>
              <w:marBottom w:val="0"/>
              <w:divBdr>
                <w:top w:val="none" w:sz="0" w:space="0" w:color="auto"/>
                <w:left w:val="none" w:sz="0" w:space="0" w:color="auto"/>
                <w:bottom w:val="none" w:sz="0" w:space="0" w:color="auto"/>
                <w:right w:val="none" w:sz="0" w:space="0" w:color="auto"/>
              </w:divBdr>
            </w:div>
          </w:divsChild>
        </w:div>
        <w:div w:id="1400399943">
          <w:marLeft w:val="0"/>
          <w:marRight w:val="0"/>
          <w:marTop w:val="0"/>
          <w:marBottom w:val="0"/>
          <w:divBdr>
            <w:top w:val="none" w:sz="0" w:space="0" w:color="auto"/>
            <w:left w:val="none" w:sz="0" w:space="0" w:color="auto"/>
            <w:bottom w:val="none" w:sz="0" w:space="0" w:color="auto"/>
            <w:right w:val="none" w:sz="0" w:space="0" w:color="auto"/>
          </w:divBdr>
          <w:divsChild>
            <w:div w:id="1195575192">
              <w:marLeft w:val="0"/>
              <w:marRight w:val="0"/>
              <w:marTop w:val="0"/>
              <w:marBottom w:val="0"/>
              <w:divBdr>
                <w:top w:val="none" w:sz="0" w:space="0" w:color="auto"/>
                <w:left w:val="none" w:sz="0" w:space="0" w:color="auto"/>
                <w:bottom w:val="none" w:sz="0" w:space="0" w:color="auto"/>
                <w:right w:val="none" w:sz="0" w:space="0" w:color="auto"/>
              </w:divBdr>
            </w:div>
            <w:div w:id="12895119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247969">
      <w:bodyDiv w:val="1"/>
      <w:marLeft w:val="0"/>
      <w:marRight w:val="0"/>
      <w:marTop w:val="0"/>
      <w:marBottom w:val="0"/>
      <w:divBdr>
        <w:top w:val="none" w:sz="0" w:space="0" w:color="auto"/>
        <w:left w:val="none" w:sz="0" w:space="0" w:color="auto"/>
        <w:bottom w:val="none" w:sz="0" w:space="0" w:color="auto"/>
        <w:right w:val="none" w:sz="0" w:space="0" w:color="auto"/>
      </w:divBdr>
      <w:divsChild>
        <w:div w:id="194470078">
          <w:marLeft w:val="0"/>
          <w:marRight w:val="0"/>
          <w:marTop w:val="0"/>
          <w:marBottom w:val="0"/>
          <w:divBdr>
            <w:top w:val="none" w:sz="0" w:space="0" w:color="auto"/>
            <w:left w:val="none" w:sz="0" w:space="0" w:color="auto"/>
            <w:bottom w:val="none" w:sz="0" w:space="0" w:color="auto"/>
            <w:right w:val="none" w:sz="0" w:space="0" w:color="auto"/>
          </w:divBdr>
          <w:divsChild>
            <w:div w:id="808745459">
              <w:marLeft w:val="0"/>
              <w:marRight w:val="0"/>
              <w:marTop w:val="0"/>
              <w:marBottom w:val="0"/>
              <w:divBdr>
                <w:top w:val="none" w:sz="0" w:space="0" w:color="auto"/>
                <w:left w:val="none" w:sz="0" w:space="0" w:color="auto"/>
                <w:bottom w:val="none" w:sz="0" w:space="0" w:color="auto"/>
                <w:right w:val="none" w:sz="0" w:space="0" w:color="auto"/>
              </w:divBdr>
            </w:div>
          </w:divsChild>
        </w:div>
        <w:div w:id="979768079">
          <w:marLeft w:val="0"/>
          <w:marRight w:val="0"/>
          <w:marTop w:val="0"/>
          <w:marBottom w:val="0"/>
          <w:divBdr>
            <w:top w:val="none" w:sz="0" w:space="0" w:color="auto"/>
            <w:left w:val="none" w:sz="0" w:space="0" w:color="auto"/>
            <w:bottom w:val="none" w:sz="0" w:space="0" w:color="auto"/>
            <w:right w:val="none" w:sz="0" w:space="0" w:color="auto"/>
          </w:divBdr>
          <w:divsChild>
            <w:div w:id="6448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042">
      <w:bodyDiv w:val="1"/>
      <w:marLeft w:val="0"/>
      <w:marRight w:val="0"/>
      <w:marTop w:val="0"/>
      <w:marBottom w:val="0"/>
      <w:divBdr>
        <w:top w:val="none" w:sz="0" w:space="0" w:color="auto"/>
        <w:left w:val="none" w:sz="0" w:space="0" w:color="auto"/>
        <w:bottom w:val="none" w:sz="0" w:space="0" w:color="auto"/>
        <w:right w:val="none" w:sz="0" w:space="0" w:color="auto"/>
      </w:divBdr>
      <w:divsChild>
        <w:div w:id="53358955">
          <w:marLeft w:val="0"/>
          <w:marRight w:val="0"/>
          <w:marTop w:val="0"/>
          <w:marBottom w:val="0"/>
          <w:divBdr>
            <w:top w:val="none" w:sz="0" w:space="0" w:color="auto"/>
            <w:left w:val="none" w:sz="0" w:space="0" w:color="auto"/>
            <w:bottom w:val="none" w:sz="0" w:space="0" w:color="auto"/>
            <w:right w:val="none" w:sz="0" w:space="0" w:color="auto"/>
          </w:divBdr>
          <w:divsChild>
            <w:div w:id="689451249">
              <w:marLeft w:val="0"/>
              <w:marRight w:val="0"/>
              <w:marTop w:val="120"/>
              <w:marBottom w:val="0"/>
              <w:divBdr>
                <w:top w:val="none" w:sz="0" w:space="0" w:color="auto"/>
                <w:left w:val="none" w:sz="0" w:space="0" w:color="auto"/>
                <w:bottom w:val="none" w:sz="0" w:space="0" w:color="auto"/>
                <w:right w:val="none" w:sz="0" w:space="0" w:color="auto"/>
              </w:divBdr>
            </w:div>
            <w:div w:id="916940520">
              <w:marLeft w:val="0"/>
              <w:marRight w:val="0"/>
              <w:marTop w:val="0"/>
              <w:marBottom w:val="0"/>
              <w:divBdr>
                <w:top w:val="none" w:sz="0" w:space="0" w:color="auto"/>
                <w:left w:val="none" w:sz="0" w:space="0" w:color="auto"/>
                <w:bottom w:val="none" w:sz="0" w:space="0" w:color="auto"/>
                <w:right w:val="none" w:sz="0" w:space="0" w:color="auto"/>
              </w:divBdr>
            </w:div>
          </w:divsChild>
        </w:div>
        <w:div w:id="1187716551">
          <w:marLeft w:val="0"/>
          <w:marRight w:val="0"/>
          <w:marTop w:val="0"/>
          <w:marBottom w:val="0"/>
          <w:divBdr>
            <w:top w:val="none" w:sz="0" w:space="0" w:color="auto"/>
            <w:left w:val="none" w:sz="0" w:space="0" w:color="auto"/>
            <w:bottom w:val="none" w:sz="0" w:space="0" w:color="auto"/>
            <w:right w:val="none" w:sz="0" w:space="0" w:color="auto"/>
          </w:divBdr>
          <w:divsChild>
            <w:div w:id="10962754">
              <w:marLeft w:val="0"/>
              <w:marRight w:val="0"/>
              <w:marTop w:val="0"/>
              <w:marBottom w:val="0"/>
              <w:divBdr>
                <w:top w:val="none" w:sz="0" w:space="0" w:color="auto"/>
                <w:left w:val="none" w:sz="0" w:space="0" w:color="auto"/>
                <w:bottom w:val="none" w:sz="0" w:space="0" w:color="auto"/>
                <w:right w:val="none" w:sz="0" w:space="0" w:color="auto"/>
              </w:divBdr>
            </w:div>
            <w:div w:id="1763649862">
              <w:marLeft w:val="0"/>
              <w:marRight w:val="0"/>
              <w:marTop w:val="120"/>
              <w:marBottom w:val="0"/>
              <w:divBdr>
                <w:top w:val="none" w:sz="0" w:space="0" w:color="auto"/>
                <w:left w:val="none" w:sz="0" w:space="0" w:color="auto"/>
                <w:bottom w:val="none" w:sz="0" w:space="0" w:color="auto"/>
                <w:right w:val="none" w:sz="0" w:space="0" w:color="auto"/>
              </w:divBdr>
            </w:div>
          </w:divsChild>
        </w:div>
        <w:div w:id="1569879474">
          <w:marLeft w:val="0"/>
          <w:marRight w:val="0"/>
          <w:marTop w:val="0"/>
          <w:marBottom w:val="0"/>
          <w:divBdr>
            <w:top w:val="none" w:sz="0" w:space="0" w:color="auto"/>
            <w:left w:val="none" w:sz="0" w:space="0" w:color="auto"/>
            <w:bottom w:val="none" w:sz="0" w:space="0" w:color="auto"/>
            <w:right w:val="none" w:sz="0" w:space="0" w:color="auto"/>
          </w:divBdr>
          <w:divsChild>
            <w:div w:id="258218959">
              <w:marLeft w:val="0"/>
              <w:marRight w:val="0"/>
              <w:marTop w:val="0"/>
              <w:marBottom w:val="0"/>
              <w:divBdr>
                <w:top w:val="none" w:sz="0" w:space="0" w:color="auto"/>
                <w:left w:val="none" w:sz="0" w:space="0" w:color="auto"/>
                <w:bottom w:val="none" w:sz="0" w:space="0" w:color="auto"/>
                <w:right w:val="none" w:sz="0" w:space="0" w:color="auto"/>
              </w:divBdr>
            </w:div>
            <w:div w:id="570192000">
              <w:marLeft w:val="0"/>
              <w:marRight w:val="0"/>
              <w:marTop w:val="120"/>
              <w:marBottom w:val="0"/>
              <w:divBdr>
                <w:top w:val="none" w:sz="0" w:space="0" w:color="auto"/>
                <w:left w:val="none" w:sz="0" w:space="0" w:color="auto"/>
                <w:bottom w:val="none" w:sz="0" w:space="0" w:color="auto"/>
                <w:right w:val="none" w:sz="0" w:space="0" w:color="auto"/>
              </w:divBdr>
            </w:div>
          </w:divsChild>
        </w:div>
        <w:div w:id="1748532474">
          <w:marLeft w:val="0"/>
          <w:marRight w:val="0"/>
          <w:marTop w:val="0"/>
          <w:marBottom w:val="0"/>
          <w:divBdr>
            <w:top w:val="none" w:sz="0" w:space="0" w:color="auto"/>
            <w:left w:val="none" w:sz="0" w:space="0" w:color="auto"/>
            <w:bottom w:val="none" w:sz="0" w:space="0" w:color="auto"/>
            <w:right w:val="none" w:sz="0" w:space="0" w:color="auto"/>
          </w:divBdr>
          <w:divsChild>
            <w:div w:id="1320228207">
              <w:marLeft w:val="0"/>
              <w:marRight w:val="0"/>
              <w:marTop w:val="120"/>
              <w:marBottom w:val="0"/>
              <w:divBdr>
                <w:top w:val="none" w:sz="0" w:space="0" w:color="auto"/>
                <w:left w:val="none" w:sz="0" w:space="0" w:color="auto"/>
                <w:bottom w:val="none" w:sz="0" w:space="0" w:color="auto"/>
                <w:right w:val="none" w:sz="0" w:space="0" w:color="auto"/>
              </w:divBdr>
            </w:div>
            <w:div w:id="1655523683">
              <w:marLeft w:val="0"/>
              <w:marRight w:val="0"/>
              <w:marTop w:val="0"/>
              <w:marBottom w:val="0"/>
              <w:divBdr>
                <w:top w:val="none" w:sz="0" w:space="0" w:color="auto"/>
                <w:left w:val="none" w:sz="0" w:space="0" w:color="auto"/>
                <w:bottom w:val="none" w:sz="0" w:space="0" w:color="auto"/>
                <w:right w:val="none" w:sz="0" w:space="0" w:color="auto"/>
              </w:divBdr>
            </w:div>
          </w:divsChild>
        </w:div>
        <w:div w:id="2030833903">
          <w:marLeft w:val="0"/>
          <w:marRight w:val="0"/>
          <w:marTop w:val="0"/>
          <w:marBottom w:val="0"/>
          <w:divBdr>
            <w:top w:val="none" w:sz="0" w:space="0" w:color="auto"/>
            <w:left w:val="none" w:sz="0" w:space="0" w:color="auto"/>
            <w:bottom w:val="none" w:sz="0" w:space="0" w:color="auto"/>
            <w:right w:val="none" w:sz="0" w:space="0" w:color="auto"/>
          </w:divBdr>
          <w:divsChild>
            <w:div w:id="16869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3119">
      <w:bodyDiv w:val="1"/>
      <w:marLeft w:val="0"/>
      <w:marRight w:val="0"/>
      <w:marTop w:val="0"/>
      <w:marBottom w:val="0"/>
      <w:divBdr>
        <w:top w:val="none" w:sz="0" w:space="0" w:color="auto"/>
        <w:left w:val="none" w:sz="0" w:space="0" w:color="auto"/>
        <w:bottom w:val="none" w:sz="0" w:space="0" w:color="auto"/>
        <w:right w:val="none" w:sz="0" w:space="0" w:color="auto"/>
      </w:divBdr>
    </w:div>
    <w:div w:id="2121562569">
      <w:bodyDiv w:val="1"/>
      <w:marLeft w:val="0"/>
      <w:marRight w:val="0"/>
      <w:marTop w:val="0"/>
      <w:marBottom w:val="0"/>
      <w:divBdr>
        <w:top w:val="none" w:sz="0" w:space="0" w:color="auto"/>
        <w:left w:val="none" w:sz="0" w:space="0" w:color="auto"/>
        <w:bottom w:val="none" w:sz="0" w:space="0" w:color="auto"/>
        <w:right w:val="none" w:sz="0" w:space="0" w:color="auto"/>
      </w:divBdr>
    </w:div>
    <w:div w:id="2126189339">
      <w:bodyDiv w:val="1"/>
      <w:marLeft w:val="0"/>
      <w:marRight w:val="0"/>
      <w:marTop w:val="0"/>
      <w:marBottom w:val="0"/>
      <w:divBdr>
        <w:top w:val="none" w:sz="0" w:space="0" w:color="auto"/>
        <w:left w:val="none" w:sz="0" w:space="0" w:color="auto"/>
        <w:bottom w:val="none" w:sz="0" w:space="0" w:color="auto"/>
        <w:right w:val="none" w:sz="0" w:space="0" w:color="auto"/>
      </w:divBdr>
    </w:div>
    <w:div w:id="2126266026">
      <w:bodyDiv w:val="1"/>
      <w:marLeft w:val="0"/>
      <w:marRight w:val="0"/>
      <w:marTop w:val="0"/>
      <w:marBottom w:val="0"/>
      <w:divBdr>
        <w:top w:val="none" w:sz="0" w:space="0" w:color="auto"/>
        <w:left w:val="none" w:sz="0" w:space="0" w:color="auto"/>
        <w:bottom w:val="none" w:sz="0" w:space="0" w:color="auto"/>
        <w:right w:val="none" w:sz="0" w:space="0" w:color="auto"/>
      </w:divBdr>
      <w:divsChild>
        <w:div w:id="446316071">
          <w:marLeft w:val="0"/>
          <w:marRight w:val="0"/>
          <w:marTop w:val="0"/>
          <w:marBottom w:val="0"/>
          <w:divBdr>
            <w:top w:val="none" w:sz="0" w:space="0" w:color="auto"/>
            <w:left w:val="none" w:sz="0" w:space="0" w:color="auto"/>
            <w:bottom w:val="none" w:sz="0" w:space="0" w:color="auto"/>
            <w:right w:val="none" w:sz="0" w:space="0" w:color="auto"/>
          </w:divBdr>
          <w:divsChild>
            <w:div w:id="1124423136">
              <w:marLeft w:val="0"/>
              <w:marRight w:val="0"/>
              <w:marTop w:val="0"/>
              <w:marBottom w:val="0"/>
              <w:divBdr>
                <w:top w:val="none" w:sz="0" w:space="0" w:color="auto"/>
                <w:left w:val="none" w:sz="0" w:space="0" w:color="auto"/>
                <w:bottom w:val="none" w:sz="0" w:space="0" w:color="auto"/>
                <w:right w:val="none" w:sz="0" w:space="0" w:color="auto"/>
              </w:divBdr>
            </w:div>
          </w:divsChild>
        </w:div>
        <w:div w:id="483008921">
          <w:marLeft w:val="0"/>
          <w:marRight w:val="0"/>
          <w:marTop w:val="0"/>
          <w:marBottom w:val="0"/>
          <w:divBdr>
            <w:top w:val="none" w:sz="0" w:space="0" w:color="auto"/>
            <w:left w:val="none" w:sz="0" w:space="0" w:color="auto"/>
            <w:bottom w:val="none" w:sz="0" w:space="0" w:color="auto"/>
            <w:right w:val="none" w:sz="0" w:space="0" w:color="auto"/>
          </w:divBdr>
          <w:divsChild>
            <w:div w:id="1264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5421">
      <w:bodyDiv w:val="1"/>
      <w:marLeft w:val="0"/>
      <w:marRight w:val="0"/>
      <w:marTop w:val="0"/>
      <w:marBottom w:val="0"/>
      <w:divBdr>
        <w:top w:val="none" w:sz="0" w:space="0" w:color="auto"/>
        <w:left w:val="none" w:sz="0" w:space="0" w:color="auto"/>
        <w:bottom w:val="none" w:sz="0" w:space="0" w:color="auto"/>
        <w:right w:val="none" w:sz="0" w:space="0" w:color="auto"/>
      </w:divBdr>
      <w:divsChild>
        <w:div w:id="371728052">
          <w:marLeft w:val="0"/>
          <w:marRight w:val="0"/>
          <w:marTop w:val="0"/>
          <w:marBottom w:val="0"/>
          <w:divBdr>
            <w:top w:val="none" w:sz="0" w:space="0" w:color="auto"/>
            <w:left w:val="none" w:sz="0" w:space="0" w:color="auto"/>
            <w:bottom w:val="none" w:sz="0" w:space="0" w:color="auto"/>
            <w:right w:val="none" w:sz="0" w:space="0" w:color="auto"/>
          </w:divBdr>
          <w:divsChild>
            <w:div w:id="654145238">
              <w:marLeft w:val="0"/>
              <w:marRight w:val="0"/>
              <w:marTop w:val="0"/>
              <w:marBottom w:val="0"/>
              <w:divBdr>
                <w:top w:val="none" w:sz="0" w:space="0" w:color="auto"/>
                <w:left w:val="none" w:sz="0" w:space="0" w:color="auto"/>
                <w:bottom w:val="none" w:sz="0" w:space="0" w:color="auto"/>
                <w:right w:val="none" w:sz="0" w:space="0" w:color="auto"/>
              </w:divBdr>
              <w:divsChild>
                <w:div w:id="63526515">
                  <w:marLeft w:val="0"/>
                  <w:marRight w:val="0"/>
                  <w:marTop w:val="0"/>
                  <w:marBottom w:val="0"/>
                  <w:divBdr>
                    <w:top w:val="none" w:sz="0" w:space="0" w:color="auto"/>
                    <w:left w:val="none" w:sz="0" w:space="0" w:color="auto"/>
                    <w:bottom w:val="none" w:sz="0" w:space="0" w:color="auto"/>
                    <w:right w:val="none" w:sz="0" w:space="0" w:color="auto"/>
                  </w:divBdr>
                  <w:divsChild>
                    <w:div w:id="1954943394">
                      <w:marLeft w:val="0"/>
                      <w:marRight w:val="0"/>
                      <w:marTop w:val="0"/>
                      <w:marBottom w:val="0"/>
                      <w:divBdr>
                        <w:top w:val="none" w:sz="0" w:space="0" w:color="auto"/>
                        <w:left w:val="none" w:sz="0" w:space="0" w:color="auto"/>
                        <w:bottom w:val="none" w:sz="0" w:space="0" w:color="auto"/>
                        <w:right w:val="none" w:sz="0" w:space="0" w:color="auto"/>
                      </w:divBdr>
                    </w:div>
                    <w:div w:id="2049066926">
                      <w:marLeft w:val="0"/>
                      <w:marRight w:val="0"/>
                      <w:marTop w:val="120"/>
                      <w:marBottom w:val="0"/>
                      <w:divBdr>
                        <w:top w:val="none" w:sz="0" w:space="0" w:color="auto"/>
                        <w:left w:val="none" w:sz="0" w:space="0" w:color="auto"/>
                        <w:bottom w:val="none" w:sz="0" w:space="0" w:color="auto"/>
                        <w:right w:val="none" w:sz="0" w:space="0" w:color="auto"/>
                      </w:divBdr>
                    </w:div>
                  </w:divsChild>
                </w:div>
                <w:div w:id="331954047">
                  <w:marLeft w:val="0"/>
                  <w:marRight w:val="0"/>
                  <w:marTop w:val="0"/>
                  <w:marBottom w:val="0"/>
                  <w:divBdr>
                    <w:top w:val="none" w:sz="0" w:space="0" w:color="auto"/>
                    <w:left w:val="none" w:sz="0" w:space="0" w:color="auto"/>
                    <w:bottom w:val="none" w:sz="0" w:space="0" w:color="auto"/>
                    <w:right w:val="none" w:sz="0" w:space="0" w:color="auto"/>
                  </w:divBdr>
                  <w:divsChild>
                    <w:div w:id="1191996522">
                      <w:marLeft w:val="0"/>
                      <w:marRight w:val="0"/>
                      <w:marTop w:val="120"/>
                      <w:marBottom w:val="0"/>
                      <w:divBdr>
                        <w:top w:val="none" w:sz="0" w:space="0" w:color="auto"/>
                        <w:left w:val="none" w:sz="0" w:space="0" w:color="auto"/>
                        <w:bottom w:val="none" w:sz="0" w:space="0" w:color="auto"/>
                        <w:right w:val="none" w:sz="0" w:space="0" w:color="auto"/>
                      </w:divBdr>
                    </w:div>
                    <w:div w:id="1427379709">
                      <w:marLeft w:val="0"/>
                      <w:marRight w:val="0"/>
                      <w:marTop w:val="0"/>
                      <w:marBottom w:val="0"/>
                      <w:divBdr>
                        <w:top w:val="none" w:sz="0" w:space="0" w:color="auto"/>
                        <w:left w:val="none" w:sz="0" w:space="0" w:color="auto"/>
                        <w:bottom w:val="none" w:sz="0" w:space="0" w:color="auto"/>
                        <w:right w:val="none" w:sz="0" w:space="0" w:color="auto"/>
                      </w:divBdr>
                    </w:div>
                  </w:divsChild>
                </w:div>
                <w:div w:id="335889082">
                  <w:marLeft w:val="0"/>
                  <w:marRight w:val="0"/>
                  <w:marTop w:val="0"/>
                  <w:marBottom w:val="0"/>
                  <w:divBdr>
                    <w:top w:val="none" w:sz="0" w:space="0" w:color="auto"/>
                    <w:left w:val="none" w:sz="0" w:space="0" w:color="auto"/>
                    <w:bottom w:val="none" w:sz="0" w:space="0" w:color="auto"/>
                    <w:right w:val="none" w:sz="0" w:space="0" w:color="auto"/>
                  </w:divBdr>
                  <w:divsChild>
                    <w:div w:id="219639336">
                      <w:marLeft w:val="0"/>
                      <w:marRight w:val="0"/>
                      <w:marTop w:val="0"/>
                      <w:marBottom w:val="0"/>
                      <w:divBdr>
                        <w:top w:val="none" w:sz="0" w:space="0" w:color="auto"/>
                        <w:left w:val="none" w:sz="0" w:space="0" w:color="auto"/>
                        <w:bottom w:val="none" w:sz="0" w:space="0" w:color="auto"/>
                        <w:right w:val="none" w:sz="0" w:space="0" w:color="auto"/>
                      </w:divBdr>
                      <w:divsChild>
                        <w:div w:id="84037681">
                          <w:marLeft w:val="0"/>
                          <w:marRight w:val="0"/>
                          <w:marTop w:val="0"/>
                          <w:marBottom w:val="0"/>
                          <w:divBdr>
                            <w:top w:val="none" w:sz="0" w:space="0" w:color="auto"/>
                            <w:left w:val="none" w:sz="0" w:space="0" w:color="auto"/>
                            <w:bottom w:val="none" w:sz="0" w:space="0" w:color="auto"/>
                            <w:right w:val="none" w:sz="0" w:space="0" w:color="auto"/>
                          </w:divBdr>
                          <w:divsChild>
                            <w:div w:id="582839557">
                              <w:marLeft w:val="0"/>
                              <w:marRight w:val="0"/>
                              <w:marTop w:val="0"/>
                              <w:marBottom w:val="0"/>
                              <w:divBdr>
                                <w:top w:val="none" w:sz="0" w:space="0" w:color="auto"/>
                                <w:left w:val="none" w:sz="0" w:space="0" w:color="auto"/>
                                <w:bottom w:val="none" w:sz="0" w:space="0" w:color="auto"/>
                                <w:right w:val="none" w:sz="0" w:space="0" w:color="auto"/>
                              </w:divBdr>
                            </w:div>
                            <w:div w:id="1634946895">
                              <w:marLeft w:val="0"/>
                              <w:marRight w:val="0"/>
                              <w:marTop w:val="120"/>
                              <w:marBottom w:val="0"/>
                              <w:divBdr>
                                <w:top w:val="none" w:sz="0" w:space="0" w:color="auto"/>
                                <w:left w:val="none" w:sz="0" w:space="0" w:color="auto"/>
                                <w:bottom w:val="none" w:sz="0" w:space="0" w:color="auto"/>
                                <w:right w:val="none" w:sz="0" w:space="0" w:color="auto"/>
                              </w:divBdr>
                            </w:div>
                          </w:divsChild>
                        </w:div>
                        <w:div w:id="755901458">
                          <w:marLeft w:val="0"/>
                          <w:marRight w:val="0"/>
                          <w:marTop w:val="0"/>
                          <w:marBottom w:val="0"/>
                          <w:divBdr>
                            <w:top w:val="none" w:sz="0" w:space="0" w:color="auto"/>
                            <w:left w:val="none" w:sz="0" w:space="0" w:color="auto"/>
                            <w:bottom w:val="none" w:sz="0" w:space="0" w:color="auto"/>
                            <w:right w:val="none" w:sz="0" w:space="0" w:color="auto"/>
                          </w:divBdr>
                          <w:divsChild>
                            <w:div w:id="176507336">
                              <w:marLeft w:val="0"/>
                              <w:marRight w:val="0"/>
                              <w:marTop w:val="0"/>
                              <w:marBottom w:val="0"/>
                              <w:divBdr>
                                <w:top w:val="none" w:sz="0" w:space="0" w:color="auto"/>
                                <w:left w:val="none" w:sz="0" w:space="0" w:color="auto"/>
                                <w:bottom w:val="none" w:sz="0" w:space="0" w:color="auto"/>
                                <w:right w:val="none" w:sz="0" w:space="0" w:color="auto"/>
                              </w:divBdr>
                            </w:div>
                            <w:div w:id="3942827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8062431">
                      <w:marLeft w:val="0"/>
                      <w:marRight w:val="0"/>
                      <w:marTop w:val="120"/>
                      <w:marBottom w:val="0"/>
                      <w:divBdr>
                        <w:top w:val="none" w:sz="0" w:space="0" w:color="auto"/>
                        <w:left w:val="none" w:sz="0" w:space="0" w:color="auto"/>
                        <w:bottom w:val="none" w:sz="0" w:space="0" w:color="auto"/>
                        <w:right w:val="none" w:sz="0" w:space="0" w:color="auto"/>
                      </w:divBdr>
                    </w:div>
                  </w:divsChild>
                </w:div>
                <w:div w:id="961569483">
                  <w:marLeft w:val="0"/>
                  <w:marRight w:val="0"/>
                  <w:marTop w:val="0"/>
                  <w:marBottom w:val="0"/>
                  <w:divBdr>
                    <w:top w:val="none" w:sz="0" w:space="0" w:color="auto"/>
                    <w:left w:val="none" w:sz="0" w:space="0" w:color="auto"/>
                    <w:bottom w:val="none" w:sz="0" w:space="0" w:color="auto"/>
                    <w:right w:val="none" w:sz="0" w:space="0" w:color="auto"/>
                  </w:divBdr>
                  <w:divsChild>
                    <w:div w:id="336276578">
                      <w:marLeft w:val="0"/>
                      <w:marRight w:val="0"/>
                      <w:marTop w:val="0"/>
                      <w:marBottom w:val="0"/>
                      <w:divBdr>
                        <w:top w:val="none" w:sz="0" w:space="0" w:color="auto"/>
                        <w:left w:val="none" w:sz="0" w:space="0" w:color="auto"/>
                        <w:bottom w:val="none" w:sz="0" w:space="0" w:color="auto"/>
                        <w:right w:val="none" w:sz="0" w:space="0" w:color="auto"/>
                      </w:divBdr>
                    </w:div>
                    <w:div w:id="1257330111">
                      <w:marLeft w:val="0"/>
                      <w:marRight w:val="0"/>
                      <w:marTop w:val="120"/>
                      <w:marBottom w:val="0"/>
                      <w:divBdr>
                        <w:top w:val="none" w:sz="0" w:space="0" w:color="auto"/>
                        <w:left w:val="none" w:sz="0" w:space="0" w:color="auto"/>
                        <w:bottom w:val="none" w:sz="0" w:space="0" w:color="auto"/>
                        <w:right w:val="none" w:sz="0" w:space="0" w:color="auto"/>
                      </w:divBdr>
                    </w:div>
                  </w:divsChild>
                </w:div>
                <w:div w:id="1225920167">
                  <w:marLeft w:val="0"/>
                  <w:marRight w:val="0"/>
                  <w:marTop w:val="0"/>
                  <w:marBottom w:val="0"/>
                  <w:divBdr>
                    <w:top w:val="none" w:sz="0" w:space="0" w:color="auto"/>
                    <w:left w:val="none" w:sz="0" w:space="0" w:color="auto"/>
                    <w:bottom w:val="none" w:sz="0" w:space="0" w:color="auto"/>
                    <w:right w:val="none" w:sz="0" w:space="0" w:color="auto"/>
                  </w:divBdr>
                  <w:divsChild>
                    <w:div w:id="207301727">
                      <w:marLeft w:val="0"/>
                      <w:marRight w:val="0"/>
                      <w:marTop w:val="120"/>
                      <w:marBottom w:val="0"/>
                      <w:divBdr>
                        <w:top w:val="none" w:sz="0" w:space="0" w:color="auto"/>
                        <w:left w:val="none" w:sz="0" w:space="0" w:color="auto"/>
                        <w:bottom w:val="none" w:sz="0" w:space="0" w:color="auto"/>
                        <w:right w:val="none" w:sz="0" w:space="0" w:color="auto"/>
                      </w:divBdr>
                    </w:div>
                    <w:div w:id="1134757783">
                      <w:marLeft w:val="0"/>
                      <w:marRight w:val="0"/>
                      <w:marTop w:val="0"/>
                      <w:marBottom w:val="0"/>
                      <w:divBdr>
                        <w:top w:val="none" w:sz="0" w:space="0" w:color="auto"/>
                        <w:left w:val="none" w:sz="0" w:space="0" w:color="auto"/>
                        <w:bottom w:val="none" w:sz="0" w:space="0" w:color="auto"/>
                        <w:right w:val="none" w:sz="0" w:space="0" w:color="auto"/>
                      </w:divBdr>
                    </w:div>
                  </w:divsChild>
                </w:div>
                <w:div w:id="1481457043">
                  <w:marLeft w:val="0"/>
                  <w:marRight w:val="0"/>
                  <w:marTop w:val="0"/>
                  <w:marBottom w:val="0"/>
                  <w:divBdr>
                    <w:top w:val="none" w:sz="0" w:space="0" w:color="auto"/>
                    <w:left w:val="none" w:sz="0" w:space="0" w:color="auto"/>
                    <w:bottom w:val="none" w:sz="0" w:space="0" w:color="auto"/>
                    <w:right w:val="none" w:sz="0" w:space="0" w:color="auto"/>
                  </w:divBdr>
                  <w:divsChild>
                    <w:div w:id="705639174">
                      <w:marLeft w:val="0"/>
                      <w:marRight w:val="0"/>
                      <w:marTop w:val="120"/>
                      <w:marBottom w:val="0"/>
                      <w:divBdr>
                        <w:top w:val="none" w:sz="0" w:space="0" w:color="auto"/>
                        <w:left w:val="none" w:sz="0" w:space="0" w:color="auto"/>
                        <w:bottom w:val="none" w:sz="0" w:space="0" w:color="auto"/>
                        <w:right w:val="none" w:sz="0" w:space="0" w:color="auto"/>
                      </w:divBdr>
                    </w:div>
                    <w:div w:id="2005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88682">
      <w:bodyDiv w:val="1"/>
      <w:marLeft w:val="0"/>
      <w:marRight w:val="0"/>
      <w:marTop w:val="0"/>
      <w:marBottom w:val="0"/>
      <w:divBdr>
        <w:top w:val="none" w:sz="0" w:space="0" w:color="auto"/>
        <w:left w:val="none" w:sz="0" w:space="0" w:color="auto"/>
        <w:bottom w:val="none" w:sz="0" w:space="0" w:color="auto"/>
        <w:right w:val="none" w:sz="0" w:space="0" w:color="auto"/>
      </w:divBdr>
      <w:divsChild>
        <w:div w:id="18749735">
          <w:marLeft w:val="0"/>
          <w:marRight w:val="0"/>
          <w:marTop w:val="0"/>
          <w:marBottom w:val="0"/>
          <w:divBdr>
            <w:top w:val="none" w:sz="0" w:space="0" w:color="auto"/>
            <w:left w:val="none" w:sz="0" w:space="0" w:color="auto"/>
            <w:bottom w:val="none" w:sz="0" w:space="0" w:color="auto"/>
            <w:right w:val="none" w:sz="0" w:space="0" w:color="auto"/>
          </w:divBdr>
        </w:div>
      </w:divsChild>
    </w:div>
    <w:div w:id="2137790981">
      <w:bodyDiv w:val="1"/>
      <w:marLeft w:val="0"/>
      <w:marRight w:val="0"/>
      <w:marTop w:val="0"/>
      <w:marBottom w:val="0"/>
      <w:divBdr>
        <w:top w:val="none" w:sz="0" w:space="0" w:color="auto"/>
        <w:left w:val="none" w:sz="0" w:space="0" w:color="auto"/>
        <w:bottom w:val="none" w:sz="0" w:space="0" w:color="auto"/>
        <w:right w:val="none" w:sz="0" w:space="0" w:color="auto"/>
      </w:divBdr>
      <w:divsChild>
        <w:div w:id="1329867986">
          <w:marLeft w:val="0"/>
          <w:marRight w:val="0"/>
          <w:marTop w:val="0"/>
          <w:marBottom w:val="0"/>
          <w:divBdr>
            <w:top w:val="none" w:sz="0" w:space="0" w:color="auto"/>
            <w:left w:val="none" w:sz="0" w:space="0" w:color="auto"/>
            <w:bottom w:val="none" w:sz="0" w:space="0" w:color="auto"/>
            <w:right w:val="none" w:sz="0" w:space="0" w:color="auto"/>
          </w:divBdr>
          <w:divsChild>
            <w:div w:id="258759648">
              <w:marLeft w:val="0"/>
              <w:marRight w:val="0"/>
              <w:marTop w:val="0"/>
              <w:marBottom w:val="0"/>
              <w:divBdr>
                <w:top w:val="none" w:sz="0" w:space="0" w:color="auto"/>
                <w:left w:val="none" w:sz="0" w:space="0" w:color="auto"/>
                <w:bottom w:val="none" w:sz="0" w:space="0" w:color="auto"/>
                <w:right w:val="none" w:sz="0" w:space="0" w:color="auto"/>
              </w:divBdr>
              <w:divsChild>
                <w:div w:id="598298062">
                  <w:marLeft w:val="0"/>
                  <w:marRight w:val="0"/>
                  <w:marTop w:val="120"/>
                  <w:marBottom w:val="0"/>
                  <w:divBdr>
                    <w:top w:val="none" w:sz="0" w:space="0" w:color="auto"/>
                    <w:left w:val="none" w:sz="0" w:space="0" w:color="auto"/>
                    <w:bottom w:val="none" w:sz="0" w:space="0" w:color="auto"/>
                    <w:right w:val="none" w:sz="0" w:space="0" w:color="auto"/>
                  </w:divBdr>
                </w:div>
                <w:div w:id="1743139403">
                  <w:marLeft w:val="0"/>
                  <w:marRight w:val="0"/>
                  <w:marTop w:val="0"/>
                  <w:marBottom w:val="0"/>
                  <w:divBdr>
                    <w:top w:val="none" w:sz="0" w:space="0" w:color="auto"/>
                    <w:left w:val="none" w:sz="0" w:space="0" w:color="auto"/>
                    <w:bottom w:val="none" w:sz="0" w:space="0" w:color="auto"/>
                    <w:right w:val="none" w:sz="0" w:space="0" w:color="auto"/>
                  </w:divBdr>
                </w:div>
              </w:divsChild>
            </w:div>
            <w:div w:id="524516433">
              <w:marLeft w:val="0"/>
              <w:marRight w:val="0"/>
              <w:marTop w:val="0"/>
              <w:marBottom w:val="0"/>
              <w:divBdr>
                <w:top w:val="none" w:sz="0" w:space="0" w:color="auto"/>
                <w:left w:val="none" w:sz="0" w:space="0" w:color="auto"/>
                <w:bottom w:val="none" w:sz="0" w:space="0" w:color="auto"/>
                <w:right w:val="none" w:sz="0" w:space="0" w:color="auto"/>
              </w:divBdr>
              <w:divsChild>
                <w:div w:id="92745885">
                  <w:marLeft w:val="0"/>
                  <w:marRight w:val="0"/>
                  <w:marTop w:val="0"/>
                  <w:marBottom w:val="0"/>
                  <w:divBdr>
                    <w:top w:val="none" w:sz="0" w:space="0" w:color="auto"/>
                    <w:left w:val="none" w:sz="0" w:space="0" w:color="auto"/>
                    <w:bottom w:val="none" w:sz="0" w:space="0" w:color="auto"/>
                    <w:right w:val="none" w:sz="0" w:space="0" w:color="auto"/>
                  </w:divBdr>
                </w:div>
                <w:div w:id="619647361">
                  <w:marLeft w:val="0"/>
                  <w:marRight w:val="0"/>
                  <w:marTop w:val="120"/>
                  <w:marBottom w:val="0"/>
                  <w:divBdr>
                    <w:top w:val="none" w:sz="0" w:space="0" w:color="auto"/>
                    <w:left w:val="none" w:sz="0" w:space="0" w:color="auto"/>
                    <w:bottom w:val="none" w:sz="0" w:space="0" w:color="auto"/>
                    <w:right w:val="none" w:sz="0" w:space="0" w:color="auto"/>
                  </w:divBdr>
                </w:div>
              </w:divsChild>
            </w:div>
            <w:div w:id="1432816628">
              <w:marLeft w:val="0"/>
              <w:marRight w:val="0"/>
              <w:marTop w:val="0"/>
              <w:marBottom w:val="0"/>
              <w:divBdr>
                <w:top w:val="none" w:sz="0" w:space="0" w:color="auto"/>
                <w:left w:val="none" w:sz="0" w:space="0" w:color="auto"/>
                <w:bottom w:val="none" w:sz="0" w:space="0" w:color="auto"/>
                <w:right w:val="none" w:sz="0" w:space="0" w:color="auto"/>
              </w:divBdr>
              <w:divsChild>
                <w:div w:id="309596016">
                  <w:marLeft w:val="0"/>
                  <w:marRight w:val="0"/>
                  <w:marTop w:val="0"/>
                  <w:marBottom w:val="0"/>
                  <w:divBdr>
                    <w:top w:val="none" w:sz="0" w:space="0" w:color="auto"/>
                    <w:left w:val="none" w:sz="0" w:space="0" w:color="auto"/>
                    <w:bottom w:val="none" w:sz="0" w:space="0" w:color="auto"/>
                    <w:right w:val="none" w:sz="0" w:space="0" w:color="auto"/>
                  </w:divBdr>
                </w:div>
                <w:div w:id="1448429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1681039">
      <w:bodyDiv w:val="1"/>
      <w:marLeft w:val="0"/>
      <w:marRight w:val="0"/>
      <w:marTop w:val="0"/>
      <w:marBottom w:val="0"/>
      <w:divBdr>
        <w:top w:val="none" w:sz="0" w:space="0" w:color="auto"/>
        <w:left w:val="none" w:sz="0" w:space="0" w:color="auto"/>
        <w:bottom w:val="none" w:sz="0" w:space="0" w:color="auto"/>
        <w:right w:val="none" w:sz="0" w:space="0" w:color="auto"/>
      </w:divBdr>
      <w:divsChild>
        <w:div w:id="585847700">
          <w:marLeft w:val="0"/>
          <w:marRight w:val="0"/>
          <w:marTop w:val="0"/>
          <w:marBottom w:val="0"/>
          <w:divBdr>
            <w:top w:val="none" w:sz="0" w:space="0" w:color="auto"/>
            <w:left w:val="none" w:sz="0" w:space="0" w:color="auto"/>
            <w:bottom w:val="none" w:sz="0" w:space="0" w:color="auto"/>
            <w:right w:val="none" w:sz="0" w:space="0" w:color="auto"/>
          </w:divBdr>
          <w:divsChild>
            <w:div w:id="268507222">
              <w:marLeft w:val="0"/>
              <w:marRight w:val="0"/>
              <w:marTop w:val="0"/>
              <w:marBottom w:val="0"/>
              <w:divBdr>
                <w:top w:val="none" w:sz="0" w:space="0" w:color="auto"/>
                <w:left w:val="none" w:sz="0" w:space="0" w:color="auto"/>
                <w:bottom w:val="none" w:sz="0" w:space="0" w:color="auto"/>
                <w:right w:val="none" w:sz="0" w:space="0" w:color="auto"/>
              </w:divBdr>
              <w:divsChild>
                <w:div w:id="962542952">
                  <w:marLeft w:val="0"/>
                  <w:marRight w:val="0"/>
                  <w:marTop w:val="120"/>
                  <w:marBottom w:val="0"/>
                  <w:divBdr>
                    <w:top w:val="none" w:sz="0" w:space="0" w:color="auto"/>
                    <w:left w:val="none" w:sz="0" w:space="0" w:color="auto"/>
                    <w:bottom w:val="none" w:sz="0" w:space="0" w:color="auto"/>
                    <w:right w:val="none" w:sz="0" w:space="0" w:color="auto"/>
                  </w:divBdr>
                </w:div>
                <w:div w:id="1625380670">
                  <w:marLeft w:val="0"/>
                  <w:marRight w:val="0"/>
                  <w:marTop w:val="0"/>
                  <w:marBottom w:val="0"/>
                  <w:divBdr>
                    <w:top w:val="none" w:sz="0" w:space="0" w:color="auto"/>
                    <w:left w:val="none" w:sz="0" w:space="0" w:color="auto"/>
                    <w:bottom w:val="none" w:sz="0" w:space="0" w:color="auto"/>
                    <w:right w:val="none" w:sz="0" w:space="0" w:color="auto"/>
                  </w:divBdr>
                </w:div>
              </w:divsChild>
            </w:div>
            <w:div w:id="566695061">
              <w:marLeft w:val="0"/>
              <w:marRight w:val="0"/>
              <w:marTop w:val="0"/>
              <w:marBottom w:val="0"/>
              <w:divBdr>
                <w:top w:val="none" w:sz="0" w:space="0" w:color="auto"/>
                <w:left w:val="none" w:sz="0" w:space="0" w:color="auto"/>
                <w:bottom w:val="none" w:sz="0" w:space="0" w:color="auto"/>
                <w:right w:val="none" w:sz="0" w:space="0" w:color="auto"/>
              </w:divBdr>
              <w:divsChild>
                <w:div w:id="204028337">
                  <w:marLeft w:val="0"/>
                  <w:marRight w:val="0"/>
                  <w:marTop w:val="120"/>
                  <w:marBottom w:val="0"/>
                  <w:divBdr>
                    <w:top w:val="none" w:sz="0" w:space="0" w:color="auto"/>
                    <w:left w:val="none" w:sz="0" w:space="0" w:color="auto"/>
                    <w:bottom w:val="none" w:sz="0" w:space="0" w:color="auto"/>
                    <w:right w:val="none" w:sz="0" w:space="0" w:color="auto"/>
                  </w:divBdr>
                </w:div>
                <w:div w:id="1326401158">
                  <w:marLeft w:val="0"/>
                  <w:marRight w:val="0"/>
                  <w:marTop w:val="0"/>
                  <w:marBottom w:val="0"/>
                  <w:divBdr>
                    <w:top w:val="none" w:sz="0" w:space="0" w:color="auto"/>
                    <w:left w:val="none" w:sz="0" w:space="0" w:color="auto"/>
                    <w:bottom w:val="none" w:sz="0" w:space="0" w:color="auto"/>
                    <w:right w:val="none" w:sz="0" w:space="0" w:color="auto"/>
                  </w:divBdr>
                </w:div>
              </w:divsChild>
            </w:div>
            <w:div w:id="1263490152">
              <w:marLeft w:val="0"/>
              <w:marRight w:val="0"/>
              <w:marTop w:val="0"/>
              <w:marBottom w:val="0"/>
              <w:divBdr>
                <w:top w:val="none" w:sz="0" w:space="0" w:color="auto"/>
                <w:left w:val="none" w:sz="0" w:space="0" w:color="auto"/>
                <w:bottom w:val="none" w:sz="0" w:space="0" w:color="auto"/>
                <w:right w:val="none" w:sz="0" w:space="0" w:color="auto"/>
              </w:divBdr>
              <w:divsChild>
                <w:div w:id="830563150">
                  <w:marLeft w:val="0"/>
                  <w:marRight w:val="0"/>
                  <w:marTop w:val="120"/>
                  <w:marBottom w:val="0"/>
                  <w:divBdr>
                    <w:top w:val="none" w:sz="0" w:space="0" w:color="auto"/>
                    <w:left w:val="none" w:sz="0" w:space="0" w:color="auto"/>
                    <w:bottom w:val="none" w:sz="0" w:space="0" w:color="auto"/>
                    <w:right w:val="none" w:sz="0" w:space="0" w:color="auto"/>
                  </w:divBdr>
                </w:div>
                <w:div w:id="14114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71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3d8dcc8a-cbd8-44cc-8026-b187f53e5755</TitusGUID>
  <TitusMetadata xmlns="">eyJucyI6IioiLCJwcm9wcyI6W3sibiI6IkNsYXNpZmljYXJlIiwidmFscyI6W3sidmFsdWUiOiJOT05FIn1dfV19</TitusMetadata>
</titu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DAE5D-15DF-4540-8D86-278CC310366A}">
  <ds:schemaRefs>
    <ds:schemaRef ds:uri="http://schemas.openxmlformats.org/officeDocument/2006/bibliography"/>
  </ds:schemaRefs>
</ds:datastoreItem>
</file>

<file path=customXml/itemProps2.xml><?xml version="1.0" encoding="utf-8"?>
<ds:datastoreItem xmlns:ds="http://schemas.openxmlformats.org/officeDocument/2006/customXml" ds:itemID="{C9469EFF-F87B-4C3B-AF97-F00B86FE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42F34-E457-42C8-99DD-70410CA1EAF2}">
  <ds:schemaRefs>
    <ds:schemaRef ds:uri="http://schemas.titus.com/TitusProperties/"/>
    <ds:schemaRef ds:uri=""/>
  </ds:schemaRefs>
</ds:datastoreItem>
</file>

<file path=customXml/itemProps4.xml><?xml version="1.0" encoding="utf-8"?>
<ds:datastoreItem xmlns:ds="http://schemas.openxmlformats.org/officeDocument/2006/customXml" ds:itemID="{5EECD7FE-1191-4F7D-B380-468FE8A193B3}">
  <ds:schemaRefs>
    <ds:schemaRef ds:uri="http://schemas.microsoft.com/sharepoint/v3/contenttype/forms"/>
  </ds:schemaRefs>
</ds:datastoreItem>
</file>

<file path=customXml/itemProps5.xml><?xml version="1.0" encoding="utf-8"?>
<ds:datastoreItem xmlns:ds="http://schemas.openxmlformats.org/officeDocument/2006/customXml" ds:itemID="{7765AC9C-B751-4242-AE5E-719BCFDC2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28016</Words>
  <Characters>184911</Characters>
  <Application>Microsoft Office Word</Application>
  <DocSecurity>0</DocSecurity>
  <Lines>8039</Lines>
  <Paragraphs>4175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2026-07-13T14:47:00Z</cp:lastPrinted>
  <dcterms:created xsi:type="dcterms:W3CDTF">2026-07-13T14:48:00Z</dcterms:created>
  <dcterms:modified xsi:type="dcterms:W3CDTF">2026-07-13T14:48:00Z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3d8dcc8a-cbd8-44cc-8026-b187f53e5755</vt:lpwstr>
  </property>
  <property fmtid="{D5CDD505-2E9C-101B-9397-08002B2CF9AE}" pid="4" name="Clasificare">
    <vt:lpwstr>NONE</vt:lpwstr>
  </property>
  <property fmtid="{D5CDD505-2E9C-101B-9397-08002B2CF9AE}" pid="5" name="ClassificationContentMarkingHeaderShapeIds">
    <vt:lpwstr>3833c99b,4dfd10ff,4458b2c5</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ClassificationContentMarkingFooterShapeIds">
    <vt:lpwstr>2324ceb6,765a4dcf,102bcb55</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70108aff-3426-4749-9d04-de3a5077dcce_Enabled">
    <vt:lpwstr>true</vt:lpwstr>
  </property>
  <property fmtid="{D5CDD505-2E9C-101B-9397-08002B2CF9AE}" pid="12" name="MSIP_Label_70108aff-3426-4749-9d04-de3a5077dcce_SetDate">
    <vt:lpwstr>2026-07-12T21:50:17Z</vt:lpwstr>
  </property>
  <property fmtid="{D5CDD505-2E9C-101B-9397-08002B2CF9AE}" pid="13" name="MSIP_Label_70108aff-3426-4749-9d04-de3a5077dcce_Method">
    <vt:lpwstr>Privileged</vt:lpwstr>
  </property>
  <property fmtid="{D5CDD505-2E9C-101B-9397-08002B2CF9AE}" pid="14" name="MSIP_Label_70108aff-3426-4749-9d04-de3a5077dcce_Name">
    <vt:lpwstr>SP-2</vt:lpwstr>
  </property>
  <property fmtid="{D5CDD505-2E9C-101B-9397-08002B2CF9AE}" pid="15" name="MSIP_Label_70108aff-3426-4749-9d04-de3a5077dcce_SiteId">
    <vt:lpwstr>5887d430-0034-4561-b771-12c77faf2fa0</vt:lpwstr>
  </property>
  <property fmtid="{D5CDD505-2E9C-101B-9397-08002B2CF9AE}" pid="16" name="MSIP_Label_70108aff-3426-4749-9d04-de3a5077dcce_ActionId">
    <vt:lpwstr>550eebad-1ad7-4073-a7ca-d6115d22acba</vt:lpwstr>
  </property>
  <property fmtid="{D5CDD505-2E9C-101B-9397-08002B2CF9AE}" pid="17" name="MSIP_Label_70108aff-3426-4749-9d04-de3a5077dcce_ContentBits">
    <vt:lpwstr>3</vt:lpwstr>
  </property>
  <property fmtid="{D5CDD505-2E9C-101B-9397-08002B2CF9AE}" pid="18" name="MSIP_Label_70108aff-3426-4749-9d04-de3a5077dcce_Tag">
    <vt:lpwstr>10, 0, 1, 1</vt:lpwstr>
  </property>
</Properties>
</file>